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1087"/>
        <w:gridCol w:w="1087"/>
        <w:gridCol w:w="1087"/>
        <w:gridCol w:w="948"/>
        <w:gridCol w:w="1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60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b/>
                <w:bCs/>
                <w:kern w:val="0"/>
                <w:sz w:val="32"/>
                <w:szCs w:val="32"/>
              </w:rPr>
              <w:t>各职能部门回复率和服务过程满意率统计表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0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日期：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3月30日00:00:00-4月5日23:59:59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按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期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回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访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服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过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程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天桥区教育局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天桥区停车管理办公室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97.18%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天桥区食品药品监管分局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91.18%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天桥区农业经济发展局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天桥区物价局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天桥区人力资源社会保障局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天桥区环保局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93.55%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天桥区园林绿化管理局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天桥区城乡建设委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天桥区民政局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天桥区卫计局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天桥区环卫管护服务中心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天桥区房屋征收服务中心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天桥区文化局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天桥区委组织部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天桥区委宣传部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北郊林场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天桥区行政审批服务中心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天桥区经济和信息化局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天桥区市场监督管理局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308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305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99.03%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112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99.11%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天桥区住房保障管理局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186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186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天桥区市政工程管理局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天桥区城管执法局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99.22%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北湖片区指挥部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天桥区残联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济南新材料产业园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天桥区财政局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天桥区排水管理服务中心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天桥区信访局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100%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1"/>
              </w:rPr>
              <w:t>各职能部门合计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1315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szCs w:val="21"/>
              </w:rPr>
              <w:t>1301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98.94%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397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97.98%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309CA"/>
    <w:rsid w:val="3A0309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hp</cp:lastModifiedBy>
  <dcterms:modified xsi:type="dcterms:W3CDTF">2018-04-17T07:12:57Z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