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F275A86">
      <w:pPr>
        <w:jc w:val="center"/>
        <w:rPr>
          <w:rFonts w:hint="eastAsia" w:ascii="仿宋" w:hAnsi="仿宋" w:eastAsia="仿宋"/>
          <w:sz w:val="28"/>
          <w:szCs w:val="28"/>
        </w:rPr>
      </w:pPr>
      <w:bookmarkStart w:id="0" w:name="_Hlk184450216"/>
      <w:bookmarkEnd w:id="0"/>
    </w:p>
    <w:p w14:paraId="382A99FA">
      <w:pPr>
        <w:jc w:val="center"/>
        <w:rPr>
          <w:rFonts w:hint="eastAsia" w:ascii="仿宋" w:hAnsi="仿宋" w:eastAsia="仿宋"/>
          <w:sz w:val="28"/>
          <w:szCs w:val="28"/>
        </w:rPr>
      </w:pPr>
    </w:p>
    <w:p w14:paraId="3D9A5D83">
      <w:pPr>
        <w:jc w:val="center"/>
        <w:rPr>
          <w:rFonts w:hint="eastAsia" w:ascii="仿宋" w:hAnsi="仿宋" w:eastAsia="仿宋"/>
          <w:sz w:val="28"/>
          <w:szCs w:val="28"/>
        </w:rPr>
      </w:pPr>
    </w:p>
    <w:p w14:paraId="63A89236">
      <w:pPr>
        <w:jc w:val="center"/>
        <w:rPr>
          <w:rFonts w:hint="eastAsia" w:ascii="仿宋" w:hAnsi="仿宋" w:eastAsia="仿宋"/>
          <w:sz w:val="28"/>
          <w:szCs w:val="28"/>
        </w:rPr>
      </w:pPr>
    </w:p>
    <w:p w14:paraId="5FD45309">
      <w:pPr>
        <w:jc w:val="center"/>
        <w:rPr>
          <w:rFonts w:hint="eastAsia" w:ascii="仿宋" w:hAnsi="仿宋" w:eastAsia="仿宋"/>
          <w:sz w:val="28"/>
          <w:szCs w:val="28"/>
        </w:rPr>
      </w:pPr>
    </w:p>
    <w:p w14:paraId="0C46954D">
      <w:pPr>
        <w:jc w:val="center"/>
        <w:rPr>
          <w:rFonts w:hint="eastAsia" w:ascii="仿宋" w:hAnsi="仿宋" w:eastAsia="仿宋"/>
          <w:b/>
          <w:bCs/>
          <w:sz w:val="48"/>
          <w:szCs w:val="48"/>
          <w:lang w:eastAsia="zh-CN"/>
        </w:rPr>
      </w:pPr>
      <w:r>
        <w:rPr>
          <w:rFonts w:hint="eastAsia" w:ascii="仿宋" w:hAnsi="仿宋" w:eastAsia="仿宋"/>
          <w:b/>
          <w:bCs/>
          <w:sz w:val="48"/>
          <w:szCs w:val="48"/>
        </w:rPr>
        <w:t>新版</w:t>
      </w:r>
      <w:r>
        <w:rPr>
          <w:rFonts w:hint="eastAsia" w:ascii="仿宋" w:hAnsi="仿宋" w:eastAsia="仿宋"/>
          <w:b/>
          <w:bCs/>
          <w:sz w:val="48"/>
          <w:szCs w:val="48"/>
          <w:lang w:eastAsia="zh-CN"/>
        </w:rPr>
        <w:t>全国发行单位年度核验系统</w:t>
      </w:r>
    </w:p>
    <w:p w14:paraId="5A8812DC">
      <w:pPr>
        <w:jc w:val="center"/>
        <w:rPr>
          <w:rFonts w:hint="eastAsia" w:ascii="仿宋" w:hAnsi="仿宋" w:eastAsia="仿宋"/>
          <w:b/>
          <w:bCs/>
          <w:sz w:val="48"/>
          <w:szCs w:val="48"/>
        </w:rPr>
      </w:pPr>
      <w:r>
        <w:rPr>
          <w:rFonts w:hint="eastAsia" w:ascii="仿宋" w:hAnsi="仿宋" w:eastAsia="仿宋"/>
          <w:b/>
          <w:bCs/>
          <w:sz w:val="48"/>
          <w:szCs w:val="48"/>
        </w:rPr>
        <w:t>操作手册（发行单位）</w:t>
      </w:r>
    </w:p>
    <w:p w14:paraId="0ED99544">
      <w:pPr>
        <w:rPr>
          <w:rFonts w:hint="eastAsia" w:ascii="仿宋" w:hAnsi="仿宋" w:eastAsia="仿宋"/>
          <w:sz w:val="28"/>
          <w:szCs w:val="28"/>
        </w:rPr>
      </w:pPr>
    </w:p>
    <w:p w14:paraId="07529CAC">
      <w:pPr>
        <w:rPr>
          <w:rFonts w:hint="eastAsia" w:ascii="仿宋" w:hAnsi="仿宋" w:eastAsia="仿宋"/>
          <w:sz w:val="28"/>
          <w:szCs w:val="28"/>
        </w:rPr>
      </w:pPr>
    </w:p>
    <w:p w14:paraId="54DA257A">
      <w:pPr>
        <w:rPr>
          <w:rFonts w:hint="eastAsia" w:ascii="仿宋" w:hAnsi="仿宋" w:eastAsia="仿宋"/>
          <w:sz w:val="28"/>
          <w:szCs w:val="28"/>
        </w:rPr>
      </w:pPr>
    </w:p>
    <w:p w14:paraId="60C4B635">
      <w:pPr>
        <w:rPr>
          <w:rFonts w:hint="eastAsia" w:ascii="仿宋" w:hAnsi="仿宋" w:eastAsia="仿宋"/>
          <w:sz w:val="28"/>
          <w:szCs w:val="28"/>
        </w:rPr>
      </w:pPr>
    </w:p>
    <w:p w14:paraId="2981DF8C">
      <w:pPr>
        <w:rPr>
          <w:rFonts w:hint="eastAsia" w:ascii="仿宋" w:hAnsi="仿宋" w:eastAsia="仿宋"/>
          <w:sz w:val="28"/>
          <w:szCs w:val="28"/>
        </w:rPr>
      </w:pPr>
    </w:p>
    <w:p w14:paraId="01A7B317">
      <w:pPr>
        <w:rPr>
          <w:rFonts w:hint="eastAsia" w:ascii="仿宋" w:hAnsi="仿宋" w:eastAsia="仿宋"/>
          <w:sz w:val="28"/>
          <w:szCs w:val="28"/>
        </w:rPr>
      </w:pPr>
    </w:p>
    <w:p w14:paraId="02F1EB9B">
      <w:pPr>
        <w:rPr>
          <w:rFonts w:hint="eastAsia" w:ascii="仿宋" w:hAnsi="仿宋" w:eastAsia="仿宋"/>
          <w:sz w:val="28"/>
          <w:szCs w:val="28"/>
        </w:rPr>
      </w:pPr>
    </w:p>
    <w:p w14:paraId="4A1717CB">
      <w:pPr>
        <w:rPr>
          <w:rFonts w:hint="eastAsia" w:ascii="仿宋" w:hAnsi="仿宋" w:eastAsia="仿宋"/>
          <w:sz w:val="28"/>
          <w:szCs w:val="28"/>
        </w:rPr>
      </w:pPr>
    </w:p>
    <w:p w14:paraId="0256BFE0">
      <w:pPr>
        <w:rPr>
          <w:rFonts w:hint="eastAsia" w:ascii="仿宋" w:hAnsi="仿宋" w:eastAsia="仿宋"/>
          <w:sz w:val="28"/>
          <w:szCs w:val="28"/>
        </w:rPr>
      </w:pPr>
    </w:p>
    <w:p w14:paraId="049FBDC1"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2024年12月</w:t>
      </w:r>
    </w:p>
    <w:p w14:paraId="48128029"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br w:type="page"/>
      </w:r>
    </w:p>
    <w:sdt>
      <w:sdtPr>
        <w:rPr>
          <w:rFonts w:hint="eastAsia" w:ascii="仿宋" w:hAnsi="仿宋" w:eastAsia="仿宋" w:cs="仿宋"/>
          <w:color w:val="auto"/>
          <w:kern w:val="2"/>
          <w:sz w:val="52"/>
          <w:szCs w:val="52"/>
          <w:lang w:val="zh-CN"/>
        </w:rPr>
        <w:id w:val="487532704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 w14:paraId="2392F8C2">
          <w:pPr>
            <w:pStyle w:val="17"/>
            <w:jc w:val="center"/>
            <w:rPr>
              <w:rFonts w:hint="eastAsia" w:ascii="仿宋" w:hAnsi="仿宋" w:eastAsia="仿宋" w:cs="仿宋"/>
              <w:b/>
              <w:bCs/>
              <w:color w:val="auto"/>
              <w:sz w:val="52"/>
              <w:szCs w:val="52"/>
            </w:rPr>
          </w:pPr>
          <w:r>
            <w:rPr>
              <w:rFonts w:hint="eastAsia" w:ascii="仿宋" w:hAnsi="仿宋" w:eastAsia="仿宋" w:cs="仿宋"/>
              <w:b/>
              <w:bCs/>
              <w:color w:val="auto"/>
              <w:sz w:val="52"/>
              <w:szCs w:val="52"/>
              <w:lang w:val="zh-CN"/>
            </w:rPr>
            <w:t>目录</w:t>
          </w:r>
        </w:p>
        <w:p w14:paraId="6D426591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63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HYPERLINK \l _Toc1853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1. 系统说明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_Toc1853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4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</w:p>
        <w:p w14:paraId="019A48F3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63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_Toc24449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/>
            </w:rPr>
            <w:t xml:space="preserve">2. </w:t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系统</w: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t>流程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_Toc24449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4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53D24A3F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_Toc16817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 xml:space="preserve">2.1. </w: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t>非年检期审核流程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_Toc16817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5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408B001B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_Toc281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 xml:space="preserve">2.2. </w: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t>年检期审核流程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_Toc281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5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698FD431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63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_Toc23589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3. 宣传文化政务服务平台用户注册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_Toc23589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6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5B1B26A6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_Toc23972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3.1. 平台访问路径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_Toc23972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6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3623C26B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_Toc17907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3.2. 用户注册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_Toc17907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7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75512781"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68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_Toc6291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3.2.1. 企业/社团/机关事业单位/个体工商户法人注册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_Toc6291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8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39C66EBD"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68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_Toc18493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3.2.2. 非法人编辑部注册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_Toc18493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10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19A8E268"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68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_Toc9233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3.2.3. 创建经办人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_Toc9233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11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0DBBAFBD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_Toc27596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3.3. 平台登录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_Toc27596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12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7CADAE00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63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_Toc28649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4. 年检信息填报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_Toc28649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13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31A18678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_Toc19163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4.1. 系统入口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_Toc19163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13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08F3A2B8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_Toc22676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4.2. 信息填报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_Toc22676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14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4BD2A2F2"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68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_Toc5735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4.2.1. 基本信息和企业信息填报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_Toc5735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14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45F7D7D2"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68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_Toc8167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4.2.2. 发行单位年度核验登记表填报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_Toc8167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15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7D5DA363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_Toc4783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4.3. 填报状态查询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_Toc4783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19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76E3DC67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_Toc17392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4.4. 登记表打印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_Toc17392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20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53168527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_Toc11532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4.5. 登记表撤回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_Toc11532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20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69F6D6C6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_Toc28169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4.6. 退审操作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_Toc28169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21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564402E6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_Toc7507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 xml:space="preserve">4.7. </w: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t>不予通过</w:t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操作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_Toc7507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21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4AE0FFFE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_Toc17188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4.8. 作废操作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_Toc17188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21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0989519A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_Toc22352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4.9. 缓审操作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_Toc22352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22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36F8CA78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_Toc26593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4.10. 基本信息修改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_Toc26593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22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0595DAE9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63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_Toc29987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5. 其他功能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_Toc29987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22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2C7CBD6F"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68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_Toc24045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5.1. 修改密码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_Toc24045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22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35A6AA6E"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68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_Toc18825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5.2. 修改手机号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_Toc18825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24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406FEB22">
          <w:pPr>
            <w:pStyle w:val="4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68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_Toc19897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5.3. 经办人管理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_Toc19897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25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19C634D6">
          <w:r>
            <w:rPr>
              <w:rFonts w:ascii="仿宋" w:hAnsi="仿宋" w:eastAsia="仿宋"/>
              <w:bCs/>
              <w:lang w:val="zh-CN"/>
            </w:rPr>
            <w:fldChar w:fldCharType="end"/>
          </w:r>
        </w:p>
      </w:sdtContent>
    </w:sdt>
    <w:p w14:paraId="46B77D37">
      <w:pPr>
        <w:rPr>
          <w:rFonts w:hint="eastAsia"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br w:type="page"/>
      </w:r>
    </w:p>
    <w:p w14:paraId="64B75950">
      <w:pPr>
        <w:numPr>
          <w:ilvl w:val="0"/>
          <w:numId w:val="1"/>
        </w:numPr>
        <w:outlineLvl w:val="0"/>
        <w:rPr>
          <w:rFonts w:hint="eastAsia" w:ascii="楷体" w:hAnsi="楷体" w:eastAsia="楷体"/>
          <w:b/>
          <w:bCs/>
          <w:sz w:val="28"/>
          <w:szCs w:val="28"/>
        </w:rPr>
      </w:pPr>
      <w:bookmarkStart w:id="1" w:name="_Toc1853"/>
      <w:r>
        <w:rPr>
          <w:rFonts w:hint="eastAsia" w:ascii="楷体" w:hAnsi="楷体" w:eastAsia="楷体"/>
          <w:b/>
          <w:bCs/>
          <w:sz w:val="28"/>
          <w:szCs w:val="28"/>
        </w:rPr>
        <w:t>系统说明</w:t>
      </w:r>
      <w:bookmarkEnd w:id="1"/>
    </w:p>
    <w:p w14:paraId="1A7E6234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新版</w:t>
      </w:r>
      <w:r>
        <w:rPr>
          <w:rFonts w:hint="eastAsia" w:ascii="仿宋" w:hAnsi="仿宋" w:eastAsia="仿宋"/>
          <w:sz w:val="28"/>
          <w:szCs w:val="28"/>
          <w:lang w:eastAsia="zh-CN"/>
        </w:rPr>
        <w:t>全国发行单位年度核验系统</w:t>
      </w:r>
      <w:r>
        <w:rPr>
          <w:rFonts w:hint="eastAsia" w:ascii="仿宋" w:hAnsi="仿宋" w:eastAsia="仿宋"/>
          <w:sz w:val="28"/>
          <w:szCs w:val="28"/>
        </w:rPr>
        <w:t>包括日常填报和年度核验填报两个阶段。日常填报期间，发行单位可进行单位基本信息的填报和审核；年度核验填报期间，发行单位需对单位基本信息和业务信息进行统一填报和审核。</w:t>
      </w:r>
    </w:p>
    <w:p w14:paraId="0C408BA2">
      <w:pPr>
        <w:numPr>
          <w:ilvl w:val="0"/>
          <w:numId w:val="1"/>
        </w:numPr>
        <w:outlineLvl w:val="0"/>
        <w:rPr>
          <w:rFonts w:hint="default" w:ascii="楷体" w:hAnsi="楷体" w:eastAsia="楷体"/>
          <w:b/>
          <w:bCs/>
          <w:sz w:val="28"/>
          <w:szCs w:val="28"/>
          <w:lang w:val="en-US"/>
        </w:rPr>
      </w:pPr>
      <w:bookmarkStart w:id="2" w:name="_Toc24449"/>
      <w:r>
        <w:rPr>
          <w:rFonts w:hint="eastAsia" w:ascii="楷体" w:hAnsi="楷体" w:eastAsia="楷体"/>
          <w:b/>
          <w:bCs/>
          <w:sz w:val="28"/>
          <w:szCs w:val="28"/>
        </w:rPr>
        <w:t>系统</w:t>
      </w:r>
      <w:r>
        <w:rPr>
          <w:rFonts w:hint="eastAsia" w:ascii="楷体" w:hAnsi="楷体" w:eastAsia="楷体"/>
          <w:b/>
          <w:bCs/>
          <w:sz w:val="28"/>
          <w:szCs w:val="28"/>
          <w:lang w:val="en-US" w:eastAsia="zh-CN"/>
        </w:rPr>
        <w:t>流程</w:t>
      </w:r>
      <w:bookmarkEnd w:id="2"/>
    </w:p>
    <w:p w14:paraId="7D5A107C">
      <w:pPr>
        <w:ind w:firstLine="560" w:firstLineChars="200"/>
        <w:rPr>
          <w:rFonts w:hint="eastAsia" w:ascii="仿宋" w:hAnsi="仿宋" w:eastAsia="仿宋"/>
          <w:sz w:val="28"/>
          <w:szCs w:val="28"/>
          <w:lang w:val="en-US"/>
        </w:rPr>
      </w:pPr>
      <w:r>
        <w:rPr>
          <w:rFonts w:hint="eastAsia" w:ascii="仿宋" w:hAnsi="仿宋" w:eastAsia="仿宋"/>
          <w:sz w:val="28"/>
          <w:szCs w:val="28"/>
          <w:lang w:val="en-US"/>
        </w:rPr>
        <w:t>出版物发行单位需在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每年度</w:t>
      </w:r>
      <w:r>
        <w:rPr>
          <w:rFonts w:hint="eastAsia" w:ascii="仿宋" w:hAnsi="仿宋" w:eastAsia="仿宋"/>
          <w:sz w:val="28"/>
          <w:szCs w:val="28"/>
          <w:lang w:val="en-US"/>
        </w:rPr>
        <w:t>规定时间内通过宣传文化政务服务平台登录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“全国发行单位年度核验系统”</w:t>
      </w:r>
      <w:r>
        <w:rPr>
          <w:rFonts w:hint="eastAsia" w:ascii="仿宋" w:hAnsi="仿宋" w:eastAsia="仿宋"/>
          <w:sz w:val="28"/>
          <w:szCs w:val="28"/>
          <w:lang w:val="en-US"/>
        </w:rPr>
        <w:t>，如实填报《年度发行单位年度核验登记表》，并上传相关材料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，</w:t>
      </w:r>
      <w:r>
        <w:rPr>
          <w:rFonts w:hint="eastAsia" w:ascii="仿宋" w:hAnsi="仿宋" w:eastAsia="仿宋"/>
          <w:sz w:val="28"/>
          <w:szCs w:val="28"/>
          <w:lang w:val="en-US"/>
        </w:rPr>
        <w:t>进行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发行</w:t>
      </w:r>
      <w:r>
        <w:rPr>
          <w:rFonts w:hint="eastAsia" w:ascii="仿宋" w:hAnsi="仿宋" w:eastAsia="仿宋"/>
          <w:sz w:val="28"/>
          <w:szCs w:val="28"/>
          <w:lang w:val="en-US"/>
        </w:rPr>
        <w:t>单位信息及核验登记表的在线填报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工作</w:t>
      </w:r>
      <w:r>
        <w:rPr>
          <w:rFonts w:hint="eastAsia" w:ascii="仿宋" w:hAnsi="仿宋" w:eastAsia="仿宋"/>
          <w:sz w:val="28"/>
          <w:szCs w:val="28"/>
          <w:lang w:val="en-US"/>
        </w:rPr>
        <w:t>。</w:t>
      </w:r>
    </w:p>
    <w:p w14:paraId="048381AE">
      <w:pPr>
        <w:ind w:firstLine="560" w:firstLineChars="200"/>
        <w:rPr>
          <w:rFonts w:hint="eastAsia" w:ascii="仿宋" w:hAnsi="仿宋" w:eastAsia="仿宋"/>
          <w:sz w:val="28"/>
          <w:szCs w:val="28"/>
          <w:lang w:val="en-US"/>
        </w:rPr>
      </w:pPr>
      <w:r>
        <w:rPr>
          <w:rFonts w:hint="eastAsia" w:ascii="仿宋" w:hAnsi="仿宋" w:eastAsia="仿宋"/>
          <w:sz w:val="28"/>
          <w:szCs w:val="28"/>
          <w:lang w:val="en-US"/>
        </w:rPr>
        <w:t>用户首次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使用</w:t>
      </w:r>
      <w:r>
        <w:rPr>
          <w:rFonts w:hint="eastAsia" w:ascii="仿宋" w:hAnsi="仿宋" w:eastAsia="仿宋"/>
          <w:sz w:val="28"/>
          <w:szCs w:val="28"/>
          <w:lang w:val="en-US"/>
        </w:rPr>
        <w:t>本系统时，需在宣传文化政务服务平台完成用户注册流程。注册成功后，登录宣传文化政务服务平台，在首页界面点击“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全国发行单位年度核验系统</w:t>
      </w:r>
      <w:r>
        <w:rPr>
          <w:rFonts w:hint="eastAsia" w:ascii="仿宋" w:hAnsi="仿宋" w:eastAsia="仿宋"/>
          <w:sz w:val="28"/>
          <w:szCs w:val="28"/>
          <w:lang w:val="en-US"/>
        </w:rPr>
        <w:t>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卡片按钮</w:t>
      </w:r>
      <w:r>
        <w:rPr>
          <w:rFonts w:hint="eastAsia" w:ascii="仿宋" w:hAnsi="仿宋" w:eastAsia="仿宋"/>
          <w:sz w:val="28"/>
          <w:szCs w:val="28"/>
          <w:lang w:val="en-US"/>
        </w:rPr>
        <w:t>，即可进入该系统。</w:t>
      </w:r>
    </w:p>
    <w:p w14:paraId="78A39E80">
      <w:pPr>
        <w:bidi w:val="0"/>
        <w:spacing w:line="360" w:lineRule="auto"/>
        <w:jc w:val="center"/>
        <w:rPr>
          <w:rFonts w:hint="eastAsia" w:ascii="仿宋" w:hAnsi="仿宋" w:eastAsia="仿宋" w:cs="仿宋"/>
          <w:sz w:val="28"/>
          <w:szCs w:val="36"/>
          <w:lang w:val="en-US"/>
        </w:rPr>
      </w:pPr>
      <w:r>
        <w:drawing>
          <wp:inline distT="0" distB="0" distL="0" distR="0">
            <wp:extent cx="4748530" cy="3386455"/>
            <wp:effectExtent l="0" t="0" r="127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7473" cy="339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1DCCB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3" w:name="_Toc16817"/>
      <w:r>
        <w:rPr>
          <w:rFonts w:hint="eastAsia" w:ascii="楷体" w:hAnsi="楷体" w:eastAsia="楷体"/>
          <w:b/>
          <w:bCs/>
          <w:sz w:val="28"/>
          <w:szCs w:val="28"/>
          <w:lang w:val="en-US" w:eastAsia="zh-CN"/>
        </w:rPr>
        <w:t>非年检期审核流程</w:t>
      </w:r>
      <w:bookmarkEnd w:id="3"/>
    </w:p>
    <w:p w14:paraId="4259BC43">
      <w:pPr>
        <w:bidi w:val="0"/>
        <w:rPr>
          <w:rFonts w:hint="eastAsia"/>
          <w:lang w:eastAsia="zh-CN"/>
        </w:rPr>
      </w:pPr>
      <w:r>
        <w:drawing>
          <wp:inline distT="0" distB="0" distL="114300" distR="114300">
            <wp:extent cx="5265420" cy="7932420"/>
            <wp:effectExtent l="0" t="0" r="1778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FC972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4" w:name="_Toc281"/>
      <w:r>
        <w:rPr>
          <w:rFonts w:hint="eastAsia" w:ascii="楷体" w:hAnsi="楷体" w:eastAsia="楷体"/>
          <w:b/>
          <w:bCs/>
          <w:sz w:val="28"/>
          <w:szCs w:val="28"/>
          <w:lang w:val="en-US" w:eastAsia="zh-CN"/>
        </w:rPr>
        <w:t>年检期审核流程</w:t>
      </w:r>
      <w:bookmarkEnd w:id="4"/>
    </w:p>
    <w:p w14:paraId="068097B6"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50180" cy="6827520"/>
            <wp:effectExtent l="0" t="0" r="7620" b="5080"/>
            <wp:docPr id="6" name="图片 6" descr="全国发行单位年度核验登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全国发行单位年度核验登记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54144">
      <w:pPr>
        <w:numPr>
          <w:ilvl w:val="0"/>
          <w:numId w:val="1"/>
        </w:numPr>
        <w:outlineLvl w:val="0"/>
        <w:rPr>
          <w:rFonts w:hint="eastAsia" w:ascii="楷体" w:hAnsi="楷体" w:eastAsia="楷体"/>
          <w:b/>
          <w:bCs/>
          <w:sz w:val="28"/>
          <w:szCs w:val="28"/>
        </w:rPr>
      </w:pPr>
      <w:bookmarkStart w:id="5" w:name="_Toc23589"/>
      <w:r>
        <w:rPr>
          <w:rFonts w:hint="eastAsia" w:ascii="楷体" w:hAnsi="楷体" w:eastAsia="楷体"/>
          <w:b/>
          <w:bCs/>
          <w:sz w:val="28"/>
          <w:szCs w:val="28"/>
        </w:rPr>
        <w:t>宣传文化政务服务平台用户注册</w:t>
      </w:r>
      <w:bookmarkEnd w:id="5"/>
    </w:p>
    <w:p w14:paraId="5A33A3E0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新版</w:t>
      </w:r>
      <w:r>
        <w:rPr>
          <w:rFonts w:hint="eastAsia" w:ascii="仿宋" w:hAnsi="仿宋" w:eastAsia="仿宋"/>
          <w:sz w:val="28"/>
          <w:szCs w:val="28"/>
          <w:lang w:eastAsia="zh-CN"/>
        </w:rPr>
        <w:t>全国发行单位年度核验系统</w:t>
      </w:r>
      <w:r>
        <w:rPr>
          <w:rFonts w:hint="eastAsia" w:ascii="仿宋" w:hAnsi="仿宋" w:eastAsia="仿宋"/>
          <w:sz w:val="28"/>
          <w:szCs w:val="28"/>
        </w:rPr>
        <w:t>属于宣传文化政务服务平台的业务系统之一，发行单位</w:t>
      </w:r>
      <w:r>
        <w:rPr>
          <w:rFonts w:hint="eastAsia" w:ascii="仿宋" w:hAnsi="仿宋" w:eastAsia="仿宋"/>
          <w:sz w:val="28"/>
          <w:szCs w:val="28"/>
          <w:lang w:eastAsia="zh-CN"/>
        </w:rPr>
        <w:t>首次登录</w:t>
      </w:r>
      <w:r>
        <w:rPr>
          <w:rFonts w:hint="eastAsia" w:ascii="仿宋" w:hAnsi="仿宋" w:eastAsia="仿宋"/>
          <w:sz w:val="28"/>
          <w:szCs w:val="28"/>
        </w:rPr>
        <w:t>宣传文化政务服务平台需要注册平台用户。</w:t>
      </w:r>
    </w:p>
    <w:p w14:paraId="5487207E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6" w:name="_Toc23972"/>
      <w:r>
        <w:rPr>
          <w:rFonts w:hint="eastAsia" w:ascii="楷体" w:hAnsi="楷体" w:eastAsia="楷体"/>
          <w:b/>
          <w:bCs/>
          <w:sz w:val="28"/>
          <w:szCs w:val="28"/>
        </w:rPr>
        <w:t>平台访问路径</w:t>
      </w:r>
      <w:bookmarkEnd w:id="6"/>
    </w:p>
    <w:p w14:paraId="06266180">
      <w:pPr>
        <w:wordWrap w:val="0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出版物发行单位可登录国家新闻出版署官方网站（</w:t>
      </w:r>
      <w:r>
        <w:rPr>
          <w:rFonts w:ascii="仿宋" w:hAnsi="仿宋" w:eastAsia="仿宋"/>
          <w:sz w:val="28"/>
          <w:szCs w:val="28"/>
        </w:rPr>
        <w:t>https://www.nppa.gov.cn/</w:t>
      </w:r>
      <w:r>
        <w:rPr>
          <w:rFonts w:hint="eastAsia" w:ascii="仿宋" w:hAnsi="仿宋" w:eastAsia="仿宋"/>
          <w:sz w:val="28"/>
          <w:szCs w:val="28"/>
        </w:rPr>
        <w:t>），通过“业务平台”板块内的“</w:t>
      </w:r>
      <w:r>
        <w:rPr>
          <w:rFonts w:hint="eastAsia" w:ascii="仿宋" w:hAnsi="仿宋" w:eastAsia="仿宋"/>
          <w:sz w:val="28"/>
          <w:szCs w:val="28"/>
          <w:lang w:eastAsia="zh-CN"/>
        </w:rPr>
        <w:t>全国发行单位年度核验系统</w:t>
      </w:r>
      <w:r>
        <w:rPr>
          <w:rFonts w:hint="eastAsia" w:ascii="仿宋" w:hAnsi="仿宋" w:eastAsia="仿宋"/>
          <w:sz w:val="28"/>
          <w:szCs w:val="28"/>
        </w:rPr>
        <w:t>”进入宣传文化政务服务平台。</w:t>
      </w:r>
    </w:p>
    <w:p w14:paraId="779CCE5B">
      <w:pPr>
        <w:jc w:val="center"/>
      </w:pPr>
      <w:r>
        <w:drawing>
          <wp:inline distT="0" distB="0" distL="0" distR="0">
            <wp:extent cx="5274310" cy="2545715"/>
            <wp:effectExtent l="0" t="0" r="2540" b="6985"/>
            <wp:docPr id="8980888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8881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5D8DB">
      <w:pPr>
        <w:jc w:val="left"/>
      </w:pPr>
    </w:p>
    <w:p w14:paraId="2BB437C2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7" w:name="_Toc17907"/>
      <w:r>
        <w:rPr>
          <w:rFonts w:hint="eastAsia" w:ascii="楷体" w:hAnsi="楷体" w:eastAsia="楷体"/>
          <w:b/>
          <w:bCs/>
          <w:sz w:val="28"/>
          <w:szCs w:val="28"/>
        </w:rPr>
        <w:t>用户注册</w:t>
      </w:r>
      <w:bookmarkEnd w:id="7"/>
    </w:p>
    <w:p w14:paraId="09A1E3E0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bookmarkStart w:id="29" w:name="_GoBack"/>
      <w:bookmarkEnd w:id="29"/>
      <w:r>
        <w:rPr>
          <w:rFonts w:hint="eastAsia" w:ascii="仿宋" w:hAnsi="仿宋" w:eastAsia="仿宋"/>
          <w:sz w:val="28"/>
          <w:szCs w:val="28"/>
          <w:lang w:val="en-US" w:eastAsia="zh-CN"/>
        </w:rPr>
        <w:t>在</w:t>
      </w:r>
      <w:r>
        <w:rPr>
          <w:rFonts w:hint="eastAsia" w:ascii="仿宋" w:hAnsi="仿宋" w:eastAsia="仿宋"/>
          <w:sz w:val="28"/>
          <w:szCs w:val="28"/>
        </w:rPr>
        <w:t>宣传文化政务服务平台用户注册页面</w:t>
      </w:r>
      <w:r>
        <w:rPr>
          <w:rFonts w:hint="eastAsia" w:ascii="仿宋" w:hAnsi="仿宋" w:eastAsia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点击注册</w:t>
      </w:r>
      <w:r>
        <w:rPr>
          <w:rFonts w:hint="default" w:ascii="仿宋" w:hAnsi="仿宋" w:eastAsia="仿宋"/>
          <w:sz w:val="28"/>
          <w:szCs w:val="28"/>
          <w:lang w:val="en-US" w:eastAsia="zh-CN"/>
        </w:rPr>
        <w:t>/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立即注册，进入法人注册页面</w:t>
      </w:r>
      <w:r>
        <w:rPr>
          <w:rFonts w:hint="eastAsia" w:ascii="仿宋" w:hAnsi="仿宋" w:eastAsia="仿宋"/>
          <w:sz w:val="28"/>
          <w:szCs w:val="28"/>
        </w:rPr>
        <w:t>。</w:t>
      </w:r>
    </w:p>
    <w:p w14:paraId="5A2CD8EA"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68575"/>
            <wp:effectExtent l="0" t="0" r="8890" b="22225"/>
            <wp:docPr id="230577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7749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08486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916170" cy="2811145"/>
            <wp:effectExtent l="0" t="0" r="0" b="8255"/>
            <wp:docPr id="6248478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4784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5560" cy="282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F05FA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发行单位可按照自身情况，选择企业、社团、机关事业单位、非法人单位或个体工商户等法人类型进行注册。</w:t>
      </w:r>
    </w:p>
    <w:p w14:paraId="5A0F22B4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注：一个法人/负责人可以注册多个企业账号。</w:t>
      </w:r>
    </w:p>
    <w:p w14:paraId="09668DC3">
      <w:pPr>
        <w:ind w:firstLine="420" w:firstLineChars="200"/>
        <w:jc w:val="lef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2000250" cy="1552575"/>
            <wp:effectExtent l="0" t="0" r="0" b="9525"/>
            <wp:docPr id="16120755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7553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F4707">
      <w:pPr>
        <w:numPr>
          <w:ilvl w:val="2"/>
          <w:numId w:val="1"/>
        </w:numPr>
        <w:outlineLvl w:val="2"/>
        <w:rPr>
          <w:rFonts w:hint="eastAsia" w:ascii="楷体" w:hAnsi="楷体" w:eastAsia="楷体" w:cs="楷体"/>
          <w:b/>
          <w:bCs/>
          <w:sz w:val="28"/>
          <w:szCs w:val="28"/>
        </w:rPr>
      </w:pPr>
      <w:bookmarkStart w:id="8" w:name="_Toc6291"/>
      <w:r>
        <w:rPr>
          <w:rFonts w:hint="eastAsia" w:ascii="楷体" w:hAnsi="楷体" w:eastAsia="楷体" w:cs="楷体"/>
          <w:b/>
          <w:bCs/>
          <w:sz w:val="28"/>
          <w:szCs w:val="28"/>
        </w:rPr>
        <w:t>企业/社团/机关事业单位/个体工商户法人注册</w:t>
      </w:r>
      <w:bookmarkEnd w:id="8"/>
    </w:p>
    <w:p w14:paraId="5FE452A0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企业/社团/机关事业单位/个体工商户需按照证件内容准确填写单位名称、统一社会信用代码、证件类型、法定代表人姓名、法定代表人身份证号等信息；</w:t>
      </w:r>
    </w:p>
    <w:p w14:paraId="37D1984D">
      <w:pPr>
        <w:ind w:firstLine="420" w:firstLineChars="200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055745" cy="2489835"/>
            <wp:effectExtent l="0" t="0" r="1905" b="5715"/>
            <wp:docPr id="17257622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6220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3675" cy="250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BFCE7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设置法人账号（用户名），可使用6-20位数字、英文、中文字符。账号重复时，提示修改；</w:t>
      </w:r>
    </w:p>
    <w:p w14:paraId="4334BBF2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915535" cy="653415"/>
            <wp:effectExtent l="0" t="0" r="0" b="0"/>
            <wp:docPr id="29464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468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l="6794"/>
                    <a:stretch>
                      <a:fillRect/>
                    </a:stretch>
                  </pic:blipFill>
                  <pic:spPr>
                    <a:xfrm>
                      <a:off x="0" y="0"/>
                      <a:ext cx="4915964" cy="653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3BBB2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输入个人/企业邮箱；</w:t>
      </w:r>
    </w:p>
    <w:p w14:paraId="28724FFA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输入法定代表人手机号，点击【获取验证码】，验证码时效为3分钟；</w:t>
      </w:r>
    </w:p>
    <w:p w14:paraId="537D69B1">
      <w:pPr>
        <w:ind w:firstLine="420" w:firstLineChars="200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732020" cy="947420"/>
            <wp:effectExtent l="0" t="0" r="0" b="5080"/>
            <wp:docPr id="17799689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96896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8284" cy="95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300AA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法人账号设置密码，密码长度必须为8-16位，并且包含大小写字母和数字，安全级别达到中级；</w:t>
      </w:r>
    </w:p>
    <w:p w14:paraId="6A8C9E67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683125" cy="1312545"/>
            <wp:effectExtent l="0" t="0" r="3175" b="1905"/>
            <wp:docPr id="17692443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24430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01212" cy="131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D57DB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点击“注册”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按钮，</w:t>
      </w:r>
      <w:r>
        <w:rPr>
          <w:rFonts w:hint="eastAsia" w:ascii="仿宋" w:hAnsi="仿宋" w:eastAsia="仿宋"/>
          <w:sz w:val="28"/>
          <w:szCs w:val="28"/>
        </w:rPr>
        <w:t>完成法人注册环节，进入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创建</w:t>
      </w:r>
      <w:r>
        <w:rPr>
          <w:rFonts w:hint="eastAsia" w:ascii="仿宋" w:hAnsi="仿宋" w:eastAsia="仿宋"/>
          <w:sz w:val="28"/>
          <w:szCs w:val="28"/>
        </w:rPr>
        <w:t>经办人环节。</w:t>
      </w:r>
    </w:p>
    <w:p w14:paraId="6004C57E">
      <w:pPr>
        <w:numPr>
          <w:ilvl w:val="2"/>
          <w:numId w:val="1"/>
        </w:numPr>
        <w:outlineLvl w:val="2"/>
        <w:rPr>
          <w:rFonts w:hint="eastAsia" w:ascii="楷体" w:hAnsi="楷体" w:eastAsia="楷体" w:cs="楷体"/>
          <w:b/>
          <w:bCs/>
          <w:sz w:val="28"/>
          <w:szCs w:val="28"/>
        </w:rPr>
      </w:pPr>
      <w:bookmarkStart w:id="9" w:name="_Toc18493"/>
      <w:r>
        <w:rPr>
          <w:rFonts w:hint="eastAsia" w:ascii="楷体" w:hAnsi="楷体" w:eastAsia="楷体" w:cs="楷体"/>
          <w:b/>
          <w:bCs/>
          <w:sz w:val="28"/>
          <w:szCs w:val="28"/>
        </w:rPr>
        <w:t>非法人编辑部注册</w:t>
      </w:r>
      <w:bookmarkEnd w:id="9"/>
    </w:p>
    <w:p w14:paraId="75599725">
      <w:pPr>
        <w:ind w:firstLine="560" w:firstLineChars="200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非法人编辑部注册时，需按照许可证内容准确填写单位名称、许可证号、证件类型、负责人姓名、负责人身份证号等信息；</w:t>
      </w:r>
    </w:p>
    <w:p w14:paraId="55E9FF84">
      <w:pPr>
        <w:ind w:firstLine="420" w:firstLineChars="200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194810" cy="2497455"/>
            <wp:effectExtent l="0" t="0" r="0" b="0"/>
            <wp:docPr id="11187866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8665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03599" cy="25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C172E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设置负责人账号（用户名），可使用6-20位数字、英文、中文字符。账号重复时，提示修改；</w:t>
      </w:r>
    </w:p>
    <w:p w14:paraId="68769B3B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915535" cy="653415"/>
            <wp:effectExtent l="0" t="0" r="0" b="0"/>
            <wp:docPr id="6686346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3468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l="6794"/>
                    <a:stretch>
                      <a:fillRect/>
                    </a:stretch>
                  </pic:blipFill>
                  <pic:spPr>
                    <a:xfrm>
                      <a:off x="0" y="0"/>
                      <a:ext cx="4915964" cy="653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47B66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输入个人/企业邮箱；</w:t>
      </w:r>
    </w:p>
    <w:p w14:paraId="3D2CF096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输入法定代表人手机号，点击【获取验证码】，验证码时效为3分钟；</w:t>
      </w:r>
    </w:p>
    <w:p w14:paraId="07BA44B5">
      <w:pPr>
        <w:ind w:firstLine="420" w:firstLineChars="200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373880" cy="875665"/>
            <wp:effectExtent l="0" t="0" r="7620" b="635"/>
            <wp:docPr id="19670942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09428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4022" cy="8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5A315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负责人账号设置密码，密码长度必须为8-16位，并且包含大小写字母和数字，安全级别达到中级；</w:t>
      </w:r>
    </w:p>
    <w:p w14:paraId="64E94B13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744720" cy="1329690"/>
            <wp:effectExtent l="0" t="0" r="0" b="3810"/>
            <wp:docPr id="1147052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525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52803" cy="133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9E359">
      <w:pPr>
        <w:ind w:firstLine="560" w:firstLineChars="200"/>
        <w:rPr>
          <w:rFonts w:hint="eastAsia"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8"/>
          <w:szCs w:val="28"/>
        </w:rPr>
        <w:t>点击“注册”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按钮，</w:t>
      </w:r>
      <w:r>
        <w:rPr>
          <w:rFonts w:hint="eastAsia" w:ascii="仿宋" w:hAnsi="仿宋" w:eastAsia="仿宋"/>
          <w:sz w:val="28"/>
          <w:szCs w:val="28"/>
        </w:rPr>
        <w:t>完成法人注册，进入创建经办人环节。</w:t>
      </w:r>
    </w:p>
    <w:p w14:paraId="443CE998">
      <w:pPr>
        <w:numPr>
          <w:ilvl w:val="2"/>
          <w:numId w:val="1"/>
        </w:numPr>
        <w:outlineLvl w:val="2"/>
        <w:rPr>
          <w:rFonts w:hint="eastAsia" w:ascii="楷体" w:hAnsi="楷体" w:eastAsia="楷体" w:cs="楷体"/>
          <w:b/>
          <w:bCs/>
          <w:sz w:val="28"/>
          <w:szCs w:val="28"/>
        </w:rPr>
      </w:pPr>
      <w:bookmarkStart w:id="10" w:name="_Toc9233"/>
      <w:r>
        <w:rPr>
          <w:rFonts w:hint="eastAsia" w:ascii="楷体" w:hAnsi="楷体" w:eastAsia="楷体" w:cs="楷体"/>
          <w:b/>
          <w:bCs/>
          <w:sz w:val="28"/>
          <w:szCs w:val="28"/>
        </w:rPr>
        <w:t>创建经办人</w:t>
      </w:r>
      <w:bookmarkEnd w:id="10"/>
    </w:p>
    <w:p w14:paraId="68DC795A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发行单位可根据自身需要“</w:t>
      </w:r>
      <w:r>
        <w:rPr>
          <w:rFonts w:ascii="仿宋" w:hAnsi="仿宋" w:eastAsia="仿宋"/>
          <w:sz w:val="28"/>
          <w:szCs w:val="28"/>
        </w:rPr>
        <w:t>创建经办人</w:t>
      </w:r>
      <w:r>
        <w:rPr>
          <w:rFonts w:hint="eastAsia" w:ascii="仿宋" w:hAnsi="仿宋" w:eastAsia="仿宋"/>
          <w:sz w:val="28"/>
          <w:szCs w:val="28"/>
        </w:rPr>
        <w:t>”。如不需创建经办人可点击下方“跳过”按钮</w:t>
      </w:r>
      <w:r>
        <w:rPr>
          <w:rFonts w:hint="eastAsia" w:ascii="仿宋" w:hAnsi="仿宋" w:eastAsia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sz w:val="28"/>
          <w:szCs w:val="28"/>
        </w:rPr>
        <w:t>完成宣传文化政务服务平台注册流程。</w:t>
      </w:r>
    </w:p>
    <w:p w14:paraId="14F9F637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创建经办人需准确填写经办人姓名、证件类型、经办人身份证号等信息；</w:t>
      </w:r>
    </w:p>
    <w:p w14:paraId="71103CC4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121535"/>
            <wp:effectExtent l="0" t="0" r="2540" b="0"/>
            <wp:docPr id="2521759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7595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830DC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设置经办人账号（用户名），可使用6-20位数字、英文、中文字符。账号重复时，提示修改；</w:t>
      </w:r>
    </w:p>
    <w:p w14:paraId="059AF434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915535" cy="653415"/>
            <wp:effectExtent l="0" t="0" r="0" b="0"/>
            <wp:docPr id="13677240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72407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l="6794"/>
                    <a:stretch>
                      <a:fillRect/>
                    </a:stretch>
                  </pic:blipFill>
                  <pic:spPr>
                    <a:xfrm>
                      <a:off x="0" y="0"/>
                      <a:ext cx="4915964" cy="653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655F1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输入个人/企业邮箱；</w:t>
      </w:r>
    </w:p>
    <w:p w14:paraId="3EDC5CEE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输入经办人手机号，点击【获取验证码】，验证码时效为3分钟；</w:t>
      </w:r>
    </w:p>
    <w:p w14:paraId="23FD6E2A">
      <w:pPr>
        <w:ind w:firstLine="420" w:firstLineChars="200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620895" cy="1023620"/>
            <wp:effectExtent l="0" t="0" r="8255" b="5080"/>
            <wp:docPr id="6061333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3338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5776" cy="103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5DCC1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经办人账号设置密码，密码长度必须为8-16位，并且包含大小写字母和数字，安全级别达到中级；</w:t>
      </w:r>
    </w:p>
    <w:p w14:paraId="237A9C3C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781550" cy="1339850"/>
            <wp:effectExtent l="0" t="0" r="0" b="0"/>
            <wp:docPr id="6410681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06817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9278" cy="134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AA4BB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设置经办人有效期，有效期内经办人可代表本单位办理相关业务；</w:t>
      </w:r>
    </w:p>
    <w:p w14:paraId="6122DF5D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176020"/>
            <wp:effectExtent l="0" t="0" r="2540" b="5080"/>
            <wp:docPr id="1939655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655798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E0C3B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点击“创建经办人”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按钮，</w:t>
      </w:r>
      <w:r>
        <w:rPr>
          <w:rFonts w:hint="eastAsia" w:ascii="仿宋" w:hAnsi="仿宋" w:eastAsia="仿宋"/>
          <w:sz w:val="28"/>
          <w:szCs w:val="28"/>
        </w:rPr>
        <w:t>完成宣传文化政务服务</w:t>
      </w:r>
      <w:r>
        <w:rPr>
          <w:rFonts w:hint="eastAsia" w:ascii="仿宋" w:hAnsi="仿宋" w:eastAsia="仿宋"/>
          <w:sz w:val="28"/>
          <w:szCs w:val="28"/>
          <w:lang w:eastAsia="zh-CN"/>
        </w:rPr>
        <w:t>平台</w:t>
      </w:r>
      <w:r>
        <w:rPr>
          <w:rFonts w:hint="eastAsia" w:ascii="仿宋" w:hAnsi="仿宋" w:eastAsia="仿宋"/>
          <w:sz w:val="28"/>
          <w:szCs w:val="28"/>
        </w:rPr>
        <w:t>注册流程。</w:t>
      </w:r>
    </w:p>
    <w:p w14:paraId="41EA0383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11" w:name="_Toc27596"/>
      <w:r>
        <w:rPr>
          <w:rFonts w:hint="eastAsia" w:ascii="楷体" w:hAnsi="楷体" w:eastAsia="楷体"/>
          <w:b/>
          <w:bCs/>
          <w:sz w:val="28"/>
          <w:szCs w:val="28"/>
        </w:rPr>
        <w:t>平台登录</w:t>
      </w:r>
      <w:bookmarkEnd w:id="11"/>
    </w:p>
    <w:p w14:paraId="7E8720C3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注册完成后，返回宣传文化政务服务平台页面进行登录。</w:t>
      </w:r>
    </w:p>
    <w:p w14:paraId="4FB7B480"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093720"/>
            <wp:effectExtent l="0" t="0" r="2540" b="0"/>
            <wp:docPr id="16399883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88330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AC800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用户可通过“账号+密码+短信验证码”或“手机号+短信验证码”方式登录，进入宣传文化政务服务平台用户主页。</w:t>
      </w:r>
    </w:p>
    <w:p w14:paraId="6FEB93E8">
      <w:pPr>
        <w:ind w:firstLine="420" w:firstLineChars="200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1828800" cy="2049145"/>
            <wp:effectExtent l="0" t="0" r="0" b="8255"/>
            <wp:docPr id="571909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09259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44694" cy="206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         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935480" cy="1981200"/>
            <wp:effectExtent l="0" t="0" r="7620" b="0"/>
            <wp:docPr id="1891355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355507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40852" cy="198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82897">
      <w:pPr>
        <w:ind w:firstLine="440" w:firstLineChars="200"/>
        <w:rPr>
          <w:rFonts w:hint="eastAsia" w:ascii="仿宋" w:hAnsi="仿宋" w:eastAsia="仿宋"/>
          <w:sz w:val="22"/>
          <w:szCs w:val="22"/>
        </w:rPr>
      </w:pPr>
    </w:p>
    <w:p w14:paraId="1A7096BF">
      <w:pPr>
        <w:numPr>
          <w:ilvl w:val="0"/>
          <w:numId w:val="1"/>
        </w:numPr>
        <w:outlineLvl w:val="0"/>
        <w:rPr>
          <w:rFonts w:hint="eastAsia" w:ascii="楷体" w:hAnsi="楷体" w:eastAsia="楷体"/>
          <w:b/>
          <w:bCs/>
          <w:sz w:val="28"/>
          <w:szCs w:val="28"/>
        </w:rPr>
      </w:pPr>
      <w:bookmarkStart w:id="12" w:name="_Toc28649"/>
      <w:r>
        <w:rPr>
          <w:rFonts w:hint="eastAsia" w:ascii="楷体" w:hAnsi="楷体" w:eastAsia="楷体"/>
          <w:b/>
          <w:bCs/>
          <w:sz w:val="28"/>
          <w:szCs w:val="28"/>
        </w:rPr>
        <w:t>年检信息填报</w:t>
      </w:r>
      <w:bookmarkEnd w:id="12"/>
    </w:p>
    <w:p w14:paraId="60E1A02A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13" w:name="_Toc19163"/>
      <w:r>
        <w:rPr>
          <w:rFonts w:hint="eastAsia" w:ascii="楷体" w:hAnsi="楷体" w:eastAsia="楷体"/>
          <w:b/>
          <w:bCs/>
          <w:sz w:val="28"/>
          <w:szCs w:val="28"/>
        </w:rPr>
        <w:t>系统入口</w:t>
      </w:r>
      <w:bookmarkEnd w:id="13"/>
    </w:p>
    <w:p w14:paraId="3C243FE0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在用户主页，</w:t>
      </w:r>
      <w:r>
        <w:rPr>
          <w:rFonts w:hint="eastAsia" w:ascii="仿宋" w:hAnsi="仿宋" w:eastAsia="仿宋"/>
          <w:sz w:val="28"/>
          <w:szCs w:val="28"/>
        </w:rPr>
        <w:t>点击页面左下方“推荐服务”中的“</w:t>
      </w:r>
      <w:r>
        <w:rPr>
          <w:rFonts w:hint="eastAsia" w:ascii="仿宋" w:hAnsi="仿宋" w:eastAsia="仿宋"/>
          <w:sz w:val="28"/>
          <w:szCs w:val="28"/>
          <w:lang w:eastAsia="zh-CN"/>
        </w:rPr>
        <w:t>全国发行单位年度核验系统</w:t>
      </w:r>
      <w:r>
        <w:rPr>
          <w:rFonts w:hint="eastAsia"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卡片按钮</w:t>
      </w:r>
      <w:r>
        <w:rPr>
          <w:rFonts w:hint="eastAsia" w:ascii="仿宋" w:hAnsi="仿宋" w:eastAsia="仿宋"/>
          <w:sz w:val="28"/>
          <w:szCs w:val="28"/>
        </w:rPr>
        <w:t>，进入系统开始填报。</w:t>
      </w:r>
    </w:p>
    <w:p w14:paraId="12AF9754">
      <w:pPr>
        <w:rPr>
          <w:rFonts w:hint="eastAsia" w:ascii="仿宋" w:hAnsi="仿宋" w:eastAsia="仿宋"/>
          <w:sz w:val="22"/>
          <w:szCs w:val="22"/>
        </w:rPr>
      </w:pPr>
      <w:r>
        <w:drawing>
          <wp:inline distT="0" distB="0" distL="114300" distR="114300">
            <wp:extent cx="5266690" cy="3452495"/>
            <wp:effectExtent l="0" t="0" r="16510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E7D79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14" w:name="_Toc22676"/>
      <w:r>
        <w:rPr>
          <w:rFonts w:hint="eastAsia" w:ascii="楷体" w:hAnsi="楷体" w:eastAsia="楷体"/>
          <w:b/>
          <w:bCs/>
          <w:sz w:val="28"/>
          <w:szCs w:val="28"/>
        </w:rPr>
        <w:t>信息填报</w:t>
      </w:r>
      <w:bookmarkEnd w:id="14"/>
    </w:p>
    <w:p w14:paraId="5EFCEE72">
      <w:pPr>
        <w:numPr>
          <w:ilvl w:val="2"/>
          <w:numId w:val="1"/>
        </w:numPr>
        <w:outlineLvl w:val="2"/>
        <w:rPr>
          <w:rFonts w:hint="eastAsia" w:ascii="楷体" w:hAnsi="楷体" w:eastAsia="楷体" w:cs="楷体"/>
          <w:b/>
          <w:bCs/>
          <w:sz w:val="28"/>
          <w:szCs w:val="28"/>
        </w:rPr>
      </w:pPr>
      <w:bookmarkStart w:id="15" w:name="_Toc5735"/>
      <w:r>
        <w:rPr>
          <w:rFonts w:hint="eastAsia" w:ascii="楷体" w:hAnsi="楷体" w:eastAsia="楷体" w:cs="楷体"/>
          <w:b/>
          <w:bCs/>
          <w:sz w:val="28"/>
          <w:szCs w:val="28"/>
        </w:rPr>
        <w:t>基本信息和企业信息填报</w:t>
      </w:r>
      <w:bookmarkEnd w:id="15"/>
    </w:p>
    <w:p w14:paraId="180451F1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新用户登录系统后，直接进入出版物发行单位“基本信息”和“企业信息”填报页面。按照营业执照、出版物经营许可证、实体书店和网上书店情况准确填写相关信息，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在选择开设实体书店或网上书店时，</w:t>
      </w:r>
      <w:r>
        <w:rPr>
          <w:rFonts w:hint="eastAsia" w:ascii="仿宋" w:hAnsi="仿宋" w:eastAsia="仿宋"/>
          <w:sz w:val="28"/>
          <w:szCs w:val="28"/>
        </w:rPr>
        <w:t>点击“添加”按钮可增加实体书店或网上书店数量。填写完毕后，点击“下一步”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按钮</w:t>
      </w:r>
      <w:r>
        <w:rPr>
          <w:rFonts w:hint="eastAsia" w:ascii="仿宋" w:hAnsi="仿宋" w:eastAsia="仿宋"/>
          <w:sz w:val="28"/>
          <w:szCs w:val="28"/>
        </w:rPr>
        <w:t>。</w:t>
      </w:r>
    </w:p>
    <w:p w14:paraId="163C646B">
      <w:pPr>
        <w:ind w:firstLine="0" w:firstLineChars="0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5471795"/>
            <wp:effectExtent l="0" t="0" r="8890" b="1460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85ECE">
      <w:pPr>
        <w:ind w:firstLine="562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日常填报</w:t>
      </w:r>
      <w:r>
        <w:rPr>
          <w:rFonts w:hint="eastAsia" w:ascii="仿宋" w:hAnsi="仿宋" w:eastAsia="仿宋"/>
          <w:sz w:val="28"/>
          <w:szCs w:val="28"/>
        </w:rPr>
        <w:t>期间直接提交至审核部门进行出版物发行单位基本信息审核。</w:t>
      </w:r>
    </w:p>
    <w:p w14:paraId="00E9EA1D">
      <w:pPr>
        <w:ind w:firstLine="562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年度核验填报</w:t>
      </w:r>
      <w:r>
        <w:rPr>
          <w:rFonts w:hint="eastAsia" w:ascii="仿宋" w:hAnsi="仿宋" w:eastAsia="仿宋"/>
          <w:sz w:val="28"/>
          <w:szCs w:val="28"/>
        </w:rPr>
        <w:t>期间进入“发行单位年度核验登记表”填报页面。</w:t>
      </w:r>
    </w:p>
    <w:p w14:paraId="4CB20D67">
      <w:pPr>
        <w:jc w:val="both"/>
        <w:rPr>
          <w:rFonts w:hint="eastAsia" w:ascii="仿宋" w:hAnsi="仿宋" w:eastAsia="仿宋"/>
          <w:b/>
          <w:bCs/>
          <w:sz w:val="22"/>
          <w:szCs w:val="22"/>
          <w:lang w:val="en-US" w:eastAsia="zh-CN"/>
        </w:rPr>
      </w:pPr>
    </w:p>
    <w:p w14:paraId="0E2F5BDD">
      <w:pPr>
        <w:numPr>
          <w:ilvl w:val="2"/>
          <w:numId w:val="1"/>
        </w:numPr>
        <w:outlineLvl w:val="2"/>
        <w:rPr>
          <w:rFonts w:hint="eastAsia" w:ascii="楷体" w:hAnsi="楷体" w:eastAsia="楷体" w:cs="楷体"/>
          <w:b/>
          <w:bCs/>
          <w:sz w:val="28"/>
          <w:szCs w:val="28"/>
        </w:rPr>
      </w:pPr>
      <w:bookmarkStart w:id="16" w:name="_Toc8167"/>
      <w:r>
        <w:rPr>
          <w:rFonts w:hint="eastAsia" w:ascii="楷体" w:hAnsi="楷体" w:eastAsia="楷体" w:cs="楷体"/>
          <w:b/>
          <w:bCs/>
          <w:sz w:val="28"/>
          <w:szCs w:val="28"/>
        </w:rPr>
        <w:t>发行单位年度核验登记表填报</w:t>
      </w:r>
      <w:bookmarkEnd w:id="16"/>
    </w:p>
    <w:p w14:paraId="5EABE234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1、按照年度核验要求完善基本信息。</w:t>
      </w:r>
    </w:p>
    <w:p w14:paraId="78101AEC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填报规则：</w:t>
      </w:r>
    </w:p>
    <w:p w14:paraId="0DB866BA">
      <w:pPr>
        <w:numPr>
          <w:ilvl w:val="0"/>
          <w:numId w:val="2"/>
        </w:numPr>
        <w:ind w:firstLine="562" w:firstLineChars="20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职工人数必须大于0；</w:t>
      </w:r>
    </w:p>
    <w:p w14:paraId="409495AB">
      <w:pPr>
        <w:numPr>
          <w:ilvl w:val="-1"/>
          <w:numId w:val="0"/>
        </w:numPr>
        <w:ind w:firstLine="0" w:firstLineChars="0"/>
        <w:rPr>
          <w:rFonts w:hint="eastAsia" w:ascii="仿宋" w:hAnsi="仿宋" w:eastAsia="仿宋"/>
          <w:b/>
          <w:bCs/>
          <w:sz w:val="28"/>
          <w:szCs w:val="28"/>
        </w:rPr>
      </w:pPr>
      <w:r>
        <w:drawing>
          <wp:inline distT="0" distB="0" distL="114300" distR="114300">
            <wp:extent cx="5273675" cy="2002155"/>
            <wp:effectExtent l="0" t="0" r="9525" b="444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86E64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（2）投资比例合计必须为100%</w:t>
      </w:r>
    </w:p>
    <w:p w14:paraId="11B06ED0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4785" cy="1628775"/>
            <wp:effectExtent l="0" t="0" r="18415" b="2222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4D604">
      <w:pPr>
        <w:jc w:val="center"/>
        <w:rPr>
          <w:rFonts w:hint="eastAsia" w:ascii="仿宋" w:hAnsi="仿宋" w:eastAsia="仿宋"/>
          <w:sz w:val="22"/>
          <w:szCs w:val="22"/>
        </w:rPr>
      </w:pPr>
    </w:p>
    <w:p w14:paraId="0D1C870A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2、按照实际经营情况填写业务信息。</w:t>
      </w:r>
    </w:p>
    <w:p w14:paraId="32193B9D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填报规则：</w:t>
      </w:r>
    </w:p>
    <w:p w14:paraId="06F30E7A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(3)发行网点面积总计应大于等于实体书店面积总计；</w:t>
      </w:r>
    </w:p>
    <w:p w14:paraId="0A216A3F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(4)批发单位发行网点面积总计应大于等于50；</w:t>
      </w:r>
    </w:p>
    <w:p w14:paraId="65EA9331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(5)出版物营业收入（万元）大于等于 实体书店（出版物销售额）+网上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书店</w:t>
      </w:r>
      <w:r>
        <w:rPr>
          <w:rFonts w:hint="eastAsia" w:ascii="仿宋" w:hAnsi="仿宋" w:eastAsia="仿宋"/>
          <w:b/>
          <w:bCs/>
          <w:sz w:val="28"/>
          <w:szCs w:val="28"/>
        </w:rPr>
        <w:t>（网络销售额），小于等于营业收入；</w:t>
      </w:r>
    </w:p>
    <w:p w14:paraId="425EF7DB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(6)出版物资产总额（万元）小于等于资产总额（万元）；</w:t>
      </w:r>
    </w:p>
    <w:p w14:paraId="0BAD5DD7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(7)发行网点总数=县及县以上网点总数（个）+乡镇及以下网点总数（个），并且发行网点总数 必须大于等于1，发行网点总数必须大于等于实体书店总数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；</w:t>
      </w:r>
    </w:p>
    <w:p w14:paraId="16E1793A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(8)营业收入应大于等于实体书店营业收入合计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；</w:t>
      </w:r>
    </w:p>
    <w:p w14:paraId="63727020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(9)出版物营业收入应大于等于实体书店出版物营业收入合计+ 网上书店出版物营业收入合计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；</w:t>
      </w:r>
    </w:p>
    <w:p w14:paraId="243DE928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(10)出版物利润总额应大于等于实体书店出版物利润总额合计+ 网上书店出版物利润总额合计，小于出版物营业收入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；</w:t>
      </w:r>
    </w:p>
    <w:p w14:paraId="29B24668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(11)出版物营业收入大于等于出版物销售额，出版物营业收入小于等于营业收入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；</w:t>
      </w:r>
    </w:p>
    <w:p w14:paraId="6E5AB8AA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(12)出版物利润总额（万元）小于出版物营业收入（万元）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。</w:t>
      </w:r>
    </w:p>
    <w:p w14:paraId="34A9FED5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28900"/>
            <wp:effectExtent l="0" t="0" r="2540" b="0"/>
            <wp:docPr id="6081278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27887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50F5C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56205"/>
            <wp:effectExtent l="0" t="0" r="2540" b="0"/>
            <wp:docPr id="6438661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866198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82394">
      <w:pPr>
        <w:jc w:val="center"/>
        <w:rPr>
          <w:rFonts w:hint="eastAsia" w:ascii="仿宋" w:hAnsi="仿宋" w:eastAsia="仿宋"/>
          <w:sz w:val="22"/>
          <w:szCs w:val="22"/>
        </w:rPr>
      </w:pPr>
    </w:p>
    <w:p w14:paraId="74EF9B48"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3、按照销售业态填报统计信息。</w:t>
      </w:r>
    </w:p>
    <w:p w14:paraId="4DEEB160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填报规则：</w:t>
      </w:r>
    </w:p>
    <w:p w14:paraId="71FDDE87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(13)按销售业态统计中的总计小于等于出版物营业收入（万元）；</w:t>
      </w:r>
    </w:p>
    <w:p w14:paraId="04391BC8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(14)按销售业态统计中的总计大于等于实体书店总计出版物销售额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；</w:t>
      </w:r>
    </w:p>
    <w:p w14:paraId="1E1ADF08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（15）销售数量总计（万册、万份、万盒、万张）应大于等于实体书店出版物销售量总计+网络销售数量总计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。</w:t>
      </w:r>
    </w:p>
    <w:p w14:paraId="52021DB7"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467485"/>
            <wp:effectExtent l="0" t="0" r="2540" b="0"/>
            <wp:docPr id="15421029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102992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89CE3">
      <w:pPr>
        <w:rPr>
          <w:rFonts w:hint="eastAsia" w:ascii="仿宋" w:hAnsi="仿宋" w:eastAsia="仿宋"/>
          <w:sz w:val="22"/>
          <w:szCs w:val="22"/>
        </w:rPr>
      </w:pPr>
    </w:p>
    <w:p w14:paraId="6FFBA3B1">
      <w:pPr>
        <w:ind w:firstLine="0" w:firstLineChars="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4、按照销售分类填报统计信息</w:t>
      </w:r>
    </w:p>
    <w:p w14:paraId="29F3F730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填报规则：</w:t>
      </w:r>
    </w:p>
    <w:p w14:paraId="4E07957E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(16)按销售分类统计的总计数应与按销售业态统计的总计数相等。</w:t>
      </w:r>
    </w:p>
    <w:p w14:paraId="14A2C0DA">
      <w:pPr>
        <w:jc w:val="center"/>
      </w:pPr>
    </w:p>
    <w:p w14:paraId="699E185B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628140"/>
            <wp:effectExtent l="0" t="0" r="2540" b="0"/>
            <wp:docPr id="509893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93922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rcRect b="156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2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719A5">
      <w:pPr>
        <w:jc w:val="center"/>
        <w:rPr>
          <w:rFonts w:hint="eastAsia" w:ascii="仿宋" w:hAnsi="仿宋" w:eastAsia="仿宋"/>
          <w:sz w:val="22"/>
          <w:szCs w:val="22"/>
        </w:rPr>
      </w:pPr>
    </w:p>
    <w:p w14:paraId="167702A0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5、按实际情况填写自有且大于等于5000平方米的物流中心信息。</w:t>
      </w:r>
    </w:p>
    <w:p w14:paraId="3C5DD407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144905"/>
            <wp:effectExtent l="0" t="0" r="2540" b="0"/>
            <wp:docPr id="6390418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041856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99DFD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6、按单位实际情况填报核验年度上一年所受到的奖励或处罚信息。</w:t>
      </w:r>
    </w:p>
    <w:p w14:paraId="3F77B9E9"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472565"/>
            <wp:effectExtent l="0" t="0" r="2540" b="0"/>
            <wp:docPr id="7124786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78608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C4AD0">
      <w:pPr>
        <w:rPr>
          <w:rFonts w:hint="eastAsia" w:ascii="仿宋" w:hAnsi="仿宋" w:eastAsia="仿宋"/>
          <w:sz w:val="22"/>
          <w:szCs w:val="22"/>
        </w:rPr>
      </w:pPr>
    </w:p>
    <w:p w14:paraId="40D0DF2E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7、登记表信息填写过程中，可随时点击“保存”按钮对填报信息进行保存，后续可通过系统首页的“填报”按钮继续完成填写。</w:t>
      </w:r>
    </w:p>
    <w:p w14:paraId="5C995B89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548005"/>
            <wp:effectExtent l="0" t="0" r="2540" b="4445"/>
            <wp:docPr id="18575470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547078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rcRect t="686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84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FF363">
      <w:pPr>
        <w:jc w:val="center"/>
        <w:rPr>
          <w:rFonts w:hint="eastAsia" w:ascii="仿宋" w:hAnsi="仿宋" w:eastAsia="仿宋"/>
          <w:sz w:val="22"/>
          <w:szCs w:val="22"/>
        </w:rPr>
      </w:pPr>
    </w:p>
    <w:p w14:paraId="6B3EDCD2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8、完成登记表信息填写后，点击“提交”按钮完成年检填报。</w:t>
      </w:r>
    </w:p>
    <w:p w14:paraId="3C059BCA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490855"/>
            <wp:effectExtent l="0" t="0" r="2540" b="4445"/>
            <wp:docPr id="17685031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03186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rcRect t="718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1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61573">
      <w:pPr>
        <w:ind w:firstLine="440" w:firstLineChars="200"/>
        <w:rPr>
          <w:rFonts w:hint="eastAsia" w:ascii="仿宋" w:hAnsi="仿宋" w:eastAsia="仿宋"/>
          <w:sz w:val="22"/>
          <w:szCs w:val="22"/>
        </w:rPr>
      </w:pPr>
    </w:p>
    <w:p w14:paraId="34A20352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17" w:name="_Toc4783"/>
      <w:r>
        <w:rPr>
          <w:rFonts w:hint="eastAsia" w:ascii="楷体" w:hAnsi="楷体" w:eastAsia="楷体"/>
          <w:b/>
          <w:bCs/>
          <w:sz w:val="28"/>
          <w:szCs w:val="28"/>
        </w:rPr>
        <w:t>填报状态查询</w:t>
      </w:r>
      <w:bookmarkEnd w:id="17"/>
    </w:p>
    <w:p w14:paraId="66B4FFC5">
      <w:pPr>
        <w:ind w:left="709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进入系统首页可查看填报状态。</w:t>
      </w:r>
    </w:p>
    <w:p w14:paraId="4E075BBD"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544955"/>
            <wp:effectExtent l="0" t="0" r="2540" b="0"/>
            <wp:docPr id="5497100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10087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D9293">
      <w:pPr>
        <w:rPr>
          <w:rFonts w:hint="eastAsia" w:ascii="仿宋" w:hAnsi="仿宋" w:eastAsia="仿宋"/>
          <w:sz w:val="22"/>
          <w:szCs w:val="22"/>
        </w:rPr>
      </w:pPr>
    </w:p>
    <w:p w14:paraId="199705AB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18" w:name="_Toc17392"/>
      <w:r>
        <w:rPr>
          <w:rFonts w:hint="eastAsia" w:ascii="楷体" w:hAnsi="楷体" w:eastAsia="楷体"/>
          <w:b/>
          <w:bCs/>
          <w:sz w:val="28"/>
          <w:szCs w:val="28"/>
        </w:rPr>
        <w:t>登记表打印</w:t>
      </w:r>
      <w:bookmarkEnd w:id="18"/>
    </w:p>
    <w:p w14:paraId="5EDD2B4F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登记表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填写完成后</w:t>
      </w:r>
      <w:r>
        <w:rPr>
          <w:rFonts w:hint="eastAsia" w:ascii="仿宋" w:hAnsi="仿宋" w:eastAsia="仿宋"/>
          <w:sz w:val="28"/>
          <w:szCs w:val="28"/>
        </w:rPr>
        <w:t>，点击“查看”进入登记表详情页面，点击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下</w:t>
      </w:r>
      <w:r>
        <w:rPr>
          <w:rFonts w:hint="eastAsia" w:ascii="仿宋" w:hAnsi="仿宋" w:eastAsia="仿宋"/>
          <w:sz w:val="28"/>
          <w:szCs w:val="28"/>
        </w:rPr>
        <w:t>方 “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预览</w:t>
      </w:r>
      <w:r>
        <w:rPr>
          <w:rFonts w:hint="eastAsia" w:ascii="仿宋" w:hAnsi="仿宋" w:eastAsia="仿宋"/>
          <w:sz w:val="28"/>
          <w:szCs w:val="28"/>
        </w:rPr>
        <w:t>”按钮，进入预览页面，点击“打印”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按钮可进行登记表打印</w:t>
      </w:r>
      <w:r>
        <w:rPr>
          <w:rFonts w:hint="eastAsia" w:ascii="仿宋" w:hAnsi="仿宋" w:eastAsia="仿宋"/>
          <w:sz w:val="28"/>
          <w:szCs w:val="28"/>
        </w:rPr>
        <w:t>。</w:t>
      </w:r>
    </w:p>
    <w:p w14:paraId="519904C4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9865" cy="2639060"/>
            <wp:effectExtent l="0" t="0" r="13335" b="254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EB46E">
      <w:pPr>
        <w:ind w:firstLine="440" w:firstLineChars="200"/>
        <w:rPr>
          <w:rFonts w:hint="eastAsia" w:ascii="仿宋" w:hAnsi="仿宋" w:eastAsia="仿宋"/>
          <w:sz w:val="22"/>
          <w:szCs w:val="22"/>
        </w:rPr>
      </w:pPr>
    </w:p>
    <w:p w14:paraId="33FA98D1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19" w:name="_Toc11532"/>
      <w:r>
        <w:rPr>
          <w:rFonts w:hint="eastAsia" w:ascii="楷体" w:hAnsi="楷体" w:eastAsia="楷体"/>
          <w:b/>
          <w:bCs/>
          <w:sz w:val="28"/>
          <w:szCs w:val="28"/>
        </w:rPr>
        <w:t>登记表撤回</w:t>
      </w:r>
      <w:bookmarkEnd w:id="19"/>
    </w:p>
    <w:p w14:paraId="20DB8800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年检填报数据在“待审核”状态下，可进入“年检数据”功能模块，点击右侧“撤回”按钮进行撤回修改。“审核通过”后不可撤回。</w:t>
      </w:r>
    </w:p>
    <w:p w14:paraId="6E5D471D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371600"/>
            <wp:effectExtent l="0" t="0" r="2540" b="0"/>
            <wp:docPr id="2057246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4624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090BC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20" w:name="_Toc28169"/>
      <w:r>
        <w:rPr>
          <w:rFonts w:hint="eastAsia" w:ascii="楷体" w:hAnsi="楷体" w:eastAsia="楷体"/>
          <w:b/>
          <w:bCs/>
          <w:sz w:val="28"/>
          <w:szCs w:val="28"/>
        </w:rPr>
        <w:t>退审操作</w:t>
      </w:r>
      <w:bookmarkEnd w:id="20"/>
    </w:p>
    <w:p w14:paraId="594FA41F">
      <w:pPr>
        <w:ind w:firstLine="565" w:firstLineChars="202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当填报信息有误，审核部门可对未审核填报信息进行退审，用户登录系统点击“填报”</w:t>
      </w:r>
      <w:r>
        <w:rPr>
          <w:rFonts w:hint="eastAsia" w:ascii="仿宋" w:hAnsi="仿宋" w:eastAsia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sz w:val="28"/>
          <w:szCs w:val="28"/>
        </w:rPr>
        <w:t>对错误信息进行修改后再次提交。</w:t>
      </w:r>
    </w:p>
    <w:p w14:paraId="0D12B44F"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74310" cy="1262380"/>
            <wp:effectExtent l="0" t="0" r="2540" b="0"/>
            <wp:docPr id="1909473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7357" name="图片 9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24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00E90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21" w:name="_Toc7507"/>
      <w:r>
        <w:rPr>
          <w:rFonts w:hint="eastAsia" w:ascii="楷体" w:hAnsi="楷体" w:eastAsia="楷体"/>
          <w:b/>
          <w:bCs/>
          <w:sz w:val="28"/>
          <w:szCs w:val="28"/>
          <w:lang w:val="en-US" w:eastAsia="zh-CN"/>
        </w:rPr>
        <w:t>不予通过</w:t>
      </w:r>
      <w:r>
        <w:rPr>
          <w:rFonts w:hint="eastAsia" w:ascii="楷体" w:hAnsi="楷体" w:eastAsia="楷体"/>
          <w:b/>
          <w:bCs/>
          <w:sz w:val="28"/>
          <w:szCs w:val="28"/>
        </w:rPr>
        <w:t>操作</w:t>
      </w:r>
      <w:bookmarkEnd w:id="21"/>
    </w:p>
    <w:p w14:paraId="7B396FCE">
      <w:pPr>
        <w:ind w:firstLine="565" w:firstLineChars="202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当填报信息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存在违规或不具有行政许可的条件</w:t>
      </w:r>
      <w:r>
        <w:rPr>
          <w:rFonts w:hint="eastAsia" w:ascii="仿宋" w:hAnsi="仿宋" w:eastAsia="仿宋"/>
          <w:sz w:val="28"/>
          <w:szCs w:val="28"/>
        </w:rPr>
        <w:t>，审核部门可对未审核填报信息进行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不予通过操作</w:t>
      </w:r>
      <w:r>
        <w:rPr>
          <w:rFonts w:hint="eastAsia" w:ascii="仿宋" w:hAnsi="仿宋" w:eastAsia="仿宋"/>
          <w:sz w:val="28"/>
          <w:szCs w:val="28"/>
        </w:rPr>
        <w:t>，用户登录系统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后</w:t>
      </w:r>
      <w:r>
        <w:rPr>
          <w:rFonts w:hint="eastAsia" w:ascii="仿宋" w:hAnsi="仿宋" w:eastAsia="仿宋"/>
          <w:sz w:val="28"/>
          <w:szCs w:val="28"/>
        </w:rPr>
        <w:t>点击“填报”可对信息进行修改后再次提交。</w:t>
      </w:r>
    </w:p>
    <w:p w14:paraId="24B943E2">
      <w:pPr>
        <w:jc w:val="left"/>
        <w:rPr>
          <w:rFonts w:hint="eastAsia"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74310" cy="1262380"/>
            <wp:effectExtent l="0" t="0" r="13970" b="2540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24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972A3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22" w:name="_Toc17188"/>
      <w:r>
        <w:rPr>
          <w:rFonts w:hint="eastAsia" w:ascii="楷体" w:hAnsi="楷体" w:eastAsia="楷体"/>
          <w:b/>
          <w:bCs/>
          <w:sz w:val="28"/>
          <w:szCs w:val="28"/>
        </w:rPr>
        <w:t>作废操作</w:t>
      </w:r>
      <w:bookmarkEnd w:id="22"/>
    </w:p>
    <w:p w14:paraId="0F67F6B9">
      <w:pPr>
        <w:ind w:firstLine="565" w:firstLineChars="202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当填报信息有误，审核部门可对已经通过审核的登记表进行作废，用户登录系统点击“填报”</w:t>
      </w:r>
      <w:r>
        <w:rPr>
          <w:rFonts w:hint="eastAsia" w:ascii="仿宋" w:hAnsi="仿宋" w:eastAsia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sz w:val="28"/>
          <w:szCs w:val="28"/>
        </w:rPr>
        <w:t>对错误信息进行修改后重新提交。系统首页将增加一条作废信息。</w:t>
      </w:r>
    </w:p>
    <w:p w14:paraId="4E11DB27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744980"/>
            <wp:effectExtent l="0" t="0" r="2540" b="7620"/>
            <wp:docPr id="4477825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782597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7E897">
      <w:pPr>
        <w:rPr>
          <w:rFonts w:hint="eastAsia" w:ascii="仿宋" w:hAnsi="仿宋" w:eastAsia="仿宋"/>
          <w:sz w:val="22"/>
          <w:szCs w:val="22"/>
        </w:rPr>
      </w:pPr>
    </w:p>
    <w:p w14:paraId="6142BD63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23" w:name="_Toc22352"/>
      <w:r>
        <w:rPr>
          <w:rFonts w:hint="eastAsia" w:ascii="楷体" w:hAnsi="楷体" w:eastAsia="楷体"/>
          <w:b/>
          <w:bCs/>
          <w:sz w:val="28"/>
          <w:szCs w:val="28"/>
        </w:rPr>
        <w:t>缓审操作</w:t>
      </w:r>
      <w:bookmarkEnd w:id="23"/>
    </w:p>
    <w:p w14:paraId="79831FAC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审核部门对填报信息进行缓审的，发行单位在缓审期结束前不得再次填报。</w:t>
      </w:r>
    </w:p>
    <w:p w14:paraId="25682577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24" w:name="_Toc26593"/>
      <w:r>
        <w:rPr>
          <w:rFonts w:hint="eastAsia" w:ascii="楷体" w:hAnsi="楷体" w:eastAsia="楷体"/>
          <w:b/>
          <w:bCs/>
          <w:sz w:val="28"/>
          <w:szCs w:val="28"/>
        </w:rPr>
        <w:t>基本信息修改</w:t>
      </w:r>
      <w:bookmarkEnd w:id="24"/>
    </w:p>
    <w:p w14:paraId="104ADB78">
      <w:pPr>
        <w:ind w:firstLine="560" w:firstLineChars="200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用户登录本系统后，可通过左侧“基本信息”功能模块对单位基本信息进行修改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并提交审核</w:t>
      </w:r>
      <w:r>
        <w:rPr>
          <w:rFonts w:hint="eastAsia" w:ascii="仿宋" w:hAnsi="仿宋" w:eastAsia="仿宋"/>
          <w:sz w:val="28"/>
          <w:szCs w:val="28"/>
        </w:rPr>
        <w:t>，审核通过后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系统自动</w:t>
      </w:r>
      <w:r>
        <w:rPr>
          <w:rFonts w:hint="eastAsia" w:ascii="仿宋" w:hAnsi="仿宋" w:eastAsia="仿宋"/>
          <w:sz w:val="28"/>
          <w:szCs w:val="28"/>
        </w:rPr>
        <w:t>更新基本信息。（年度核验期间不可单独进行单位基本信息修改。）</w:t>
      </w:r>
    </w:p>
    <w:p w14:paraId="4E2878D1">
      <w:pPr>
        <w:jc w:val="lef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5420" cy="2644775"/>
            <wp:effectExtent l="0" t="0" r="17780" b="2222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5B29D">
      <w:pPr>
        <w:numPr>
          <w:ilvl w:val="0"/>
          <w:numId w:val="1"/>
        </w:numPr>
        <w:outlineLvl w:val="0"/>
        <w:rPr>
          <w:rFonts w:hint="eastAsia" w:ascii="楷体" w:hAnsi="楷体" w:eastAsia="楷体"/>
          <w:b/>
          <w:bCs/>
          <w:sz w:val="28"/>
          <w:szCs w:val="28"/>
        </w:rPr>
      </w:pPr>
      <w:bookmarkStart w:id="25" w:name="_Toc29987"/>
      <w:r>
        <w:rPr>
          <w:rFonts w:hint="eastAsia" w:ascii="楷体" w:hAnsi="楷体" w:eastAsia="楷体"/>
          <w:b/>
          <w:bCs/>
          <w:sz w:val="28"/>
          <w:szCs w:val="28"/>
        </w:rPr>
        <w:t>其他功能</w:t>
      </w:r>
      <w:bookmarkEnd w:id="25"/>
    </w:p>
    <w:p w14:paraId="5CB4CBF7">
      <w:pPr>
        <w:numPr>
          <w:ilvl w:val="1"/>
          <w:numId w:val="1"/>
        </w:numPr>
        <w:outlineLvl w:val="2"/>
        <w:rPr>
          <w:rFonts w:hint="eastAsia" w:ascii="楷体" w:hAnsi="楷体" w:eastAsia="楷体"/>
          <w:b/>
          <w:bCs/>
          <w:sz w:val="28"/>
          <w:szCs w:val="28"/>
        </w:rPr>
      </w:pPr>
      <w:bookmarkStart w:id="26" w:name="_Toc24045"/>
      <w:r>
        <w:rPr>
          <w:rFonts w:hint="eastAsia" w:ascii="楷体" w:hAnsi="楷体" w:eastAsia="楷体"/>
          <w:b/>
          <w:bCs/>
          <w:sz w:val="28"/>
          <w:szCs w:val="28"/>
        </w:rPr>
        <w:t>修改密码</w:t>
      </w:r>
      <w:bookmarkEnd w:id="26"/>
    </w:p>
    <w:p w14:paraId="495BE142">
      <w:pPr>
        <w:ind w:firstLine="560" w:firstLineChars="200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用户密码需在宣传文化政务服务平台用户主页中进行修改，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点击</w:t>
      </w:r>
      <w:r>
        <w:rPr>
          <w:rFonts w:hint="eastAsia" w:ascii="仿宋" w:hAnsi="仿宋" w:eastAsia="仿宋"/>
          <w:sz w:val="28"/>
          <w:szCs w:val="28"/>
        </w:rPr>
        <w:t xml:space="preserve"> “用户中心”。</w:t>
      </w:r>
    </w:p>
    <w:p w14:paraId="72DEB8FE"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473450"/>
            <wp:effectExtent l="0" t="0" r="2540" b="0"/>
            <wp:docPr id="7297065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06562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72938">
      <w:pPr>
        <w:jc w:val="center"/>
        <w:rPr>
          <w:rFonts w:hint="eastAsia" w:ascii="仿宋" w:hAnsi="仿宋" w:eastAsia="仿宋"/>
          <w:sz w:val="22"/>
          <w:szCs w:val="22"/>
        </w:rPr>
      </w:pPr>
    </w:p>
    <w:p w14:paraId="51768211">
      <w:p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进入用户中心页面，</w:t>
      </w:r>
      <w:r>
        <w:rPr>
          <w:rFonts w:hint="eastAsia" w:ascii="仿宋" w:hAnsi="仿宋" w:eastAsia="仿宋"/>
          <w:sz w:val="28"/>
          <w:szCs w:val="28"/>
        </w:rPr>
        <w:t>点击“单位管理”按钮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 w14:paraId="21A94261"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839720"/>
            <wp:effectExtent l="0" t="0" r="2540" b="0"/>
            <wp:docPr id="8511017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101774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F1EF1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跳转至单位管理页面，</w:t>
      </w:r>
      <w:r>
        <w:rPr>
          <w:rFonts w:hint="eastAsia" w:ascii="仿宋" w:hAnsi="仿宋" w:eastAsia="仿宋"/>
          <w:sz w:val="28"/>
          <w:szCs w:val="28"/>
        </w:rPr>
        <w:t>点击“修改密码”按钮，并按照所提供的流程指引完成密码修改操作。</w:t>
      </w:r>
    </w:p>
    <w:p w14:paraId="035F7239">
      <w:pPr>
        <w:ind w:firstLine="0" w:firstLineChars="0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73675" cy="3618230"/>
            <wp:effectExtent l="0" t="0" r="9525" b="1397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F5162"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73040" cy="3316605"/>
            <wp:effectExtent l="0" t="0" r="10160" b="1079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75018">
      <w:pPr>
        <w:jc w:val="center"/>
        <w:rPr>
          <w:rFonts w:hint="eastAsia" w:ascii="仿宋" w:hAnsi="仿宋" w:eastAsia="仿宋"/>
          <w:sz w:val="22"/>
          <w:szCs w:val="22"/>
        </w:rPr>
      </w:pPr>
    </w:p>
    <w:p w14:paraId="5016AFD0">
      <w:pPr>
        <w:numPr>
          <w:ilvl w:val="1"/>
          <w:numId w:val="1"/>
        </w:numPr>
        <w:outlineLvl w:val="2"/>
        <w:rPr>
          <w:rFonts w:hint="eastAsia" w:ascii="楷体" w:hAnsi="楷体" w:eastAsia="楷体"/>
          <w:b/>
          <w:bCs/>
          <w:sz w:val="28"/>
          <w:szCs w:val="28"/>
        </w:rPr>
      </w:pPr>
      <w:bookmarkStart w:id="27" w:name="_Toc18825"/>
      <w:r>
        <w:rPr>
          <w:rFonts w:hint="eastAsia" w:ascii="楷体" w:hAnsi="楷体" w:eastAsia="楷体"/>
          <w:b/>
          <w:bCs/>
          <w:sz w:val="28"/>
          <w:szCs w:val="28"/>
        </w:rPr>
        <w:t>修改手机号</w:t>
      </w:r>
      <w:bookmarkEnd w:id="27"/>
    </w:p>
    <w:p w14:paraId="17F69CC6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按照上述修改密码的操作，</w:t>
      </w:r>
      <w:r>
        <w:rPr>
          <w:rFonts w:hint="eastAsia" w:ascii="仿宋" w:hAnsi="仿宋" w:eastAsia="仿宋"/>
          <w:sz w:val="28"/>
          <w:szCs w:val="28"/>
        </w:rPr>
        <w:t>依次进入 “用户中心”、“单位管理”页面，点击手机号修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图标</w:t>
      </w:r>
      <w:r>
        <w:rPr>
          <w:rFonts w:hint="eastAsia" w:ascii="仿宋" w:hAnsi="仿宋" w:eastAsia="仿宋"/>
          <w:sz w:val="28"/>
          <w:szCs w:val="28"/>
        </w:rPr>
        <w:t>，并按照所提供的流程指引完成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手机号码</w:t>
      </w:r>
      <w:r>
        <w:rPr>
          <w:rFonts w:hint="eastAsia" w:ascii="仿宋" w:hAnsi="仿宋" w:eastAsia="仿宋"/>
          <w:sz w:val="28"/>
          <w:szCs w:val="28"/>
        </w:rPr>
        <w:t>修改操作。</w:t>
      </w:r>
    </w:p>
    <w:p w14:paraId="59A23444"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722880"/>
            <wp:effectExtent l="0" t="0" r="2540" b="1270"/>
            <wp:docPr id="11685617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61743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3E2A3"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6055" cy="3104515"/>
            <wp:effectExtent l="0" t="0" r="17145" b="1968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587D2">
      <w:pPr>
        <w:jc w:val="center"/>
        <w:rPr>
          <w:rFonts w:hint="eastAsia" w:ascii="仿宋" w:hAnsi="仿宋" w:eastAsia="仿宋"/>
          <w:sz w:val="22"/>
          <w:szCs w:val="22"/>
        </w:rPr>
      </w:pPr>
    </w:p>
    <w:p w14:paraId="26DE0612">
      <w:pPr>
        <w:numPr>
          <w:ilvl w:val="1"/>
          <w:numId w:val="1"/>
        </w:numPr>
        <w:outlineLvl w:val="2"/>
        <w:rPr>
          <w:rFonts w:hint="eastAsia" w:ascii="楷体" w:hAnsi="楷体" w:eastAsia="楷体"/>
          <w:b/>
          <w:bCs/>
          <w:sz w:val="28"/>
          <w:szCs w:val="28"/>
        </w:rPr>
      </w:pPr>
      <w:bookmarkStart w:id="28" w:name="_Toc19897"/>
      <w:r>
        <w:rPr>
          <w:rFonts w:hint="eastAsia" w:ascii="楷体" w:hAnsi="楷体" w:eastAsia="楷体"/>
          <w:b/>
          <w:bCs/>
          <w:sz w:val="28"/>
          <w:szCs w:val="28"/>
        </w:rPr>
        <w:t>经办人管理</w:t>
      </w:r>
      <w:bookmarkEnd w:id="28"/>
    </w:p>
    <w:p w14:paraId="7363B2FA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若本单位需设立经办人代替法人进行系统操作，可以从宣传文化政务服务平台用户主页依次进入“用户中心”、“单位管理”页面，点击“我的经办人”进行添加、删除、设置经办人权限、经办人延期等操作。</w:t>
      </w:r>
    </w:p>
    <w:p w14:paraId="356238AA"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47620"/>
            <wp:effectExtent l="0" t="0" r="2540" b="5080"/>
            <wp:docPr id="18950129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012998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3E623"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2880" cy="3595370"/>
            <wp:effectExtent l="0" t="0" r="10160" b="127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165EB">
      <w:pPr>
        <w:ind w:firstLine="560" w:firstLineChars="200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主经办人具有维护其他经办人的权限，一个单位只能创建一个主经办人。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点击设为主经办人，再次点击则为取消主经办人。</w:t>
      </w:r>
    </w:p>
    <w:p w14:paraId="5FCE47A1">
      <w:pPr>
        <w:rPr>
          <w:rFonts w:ascii="仿宋" w:hAnsi="仿宋" w:eastAsia="仿宋"/>
          <w:sz w:val="28"/>
          <w:szCs w:val="28"/>
        </w:rPr>
      </w:pPr>
    </w:p>
    <w:p w14:paraId="7B6EFCC3"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71135" cy="3032125"/>
            <wp:effectExtent l="0" t="0" r="12065" b="1587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中山行书百年纪念版">
    <w:panose1 w:val="02010609000101010101"/>
    <w:charset w:val="86"/>
    <w:family w:val="auto"/>
    <w:pitch w:val="default"/>
    <w:sig w:usb0="800002BF" w:usb1="08476CFA" w:usb2="00000012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panose1 w:val="020B0703020204020201"/>
    <w:charset w:val="86"/>
    <w:family w:val="auto"/>
    <w:pitch w:val="default"/>
    <w:sig w:usb0="80000287" w:usb1="080F3C52" w:usb2="00000016" w:usb3="00000000" w:csb0="0004001F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91BD74"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BC155F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3BC155F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58EDE6"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EDBF5A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1656A4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691177"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D0684"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3FFA34"/>
    <w:multiLevelType w:val="singleLevel"/>
    <w:tmpl w:val="FF3FFA3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533F8302"/>
    <w:multiLevelType w:val="multilevel"/>
    <w:tmpl w:val="533F830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k2ZmE5ZjRkZWY0MTk5M2YzYjMwZWRjMDk4M2RmZjYifQ=="/>
  </w:docVars>
  <w:rsids>
    <w:rsidRoot w:val="F6F73BDF"/>
    <w:rsid w:val="00002981"/>
    <w:rsid w:val="00002BF5"/>
    <w:rsid w:val="000215C2"/>
    <w:rsid w:val="00021FB3"/>
    <w:rsid w:val="000232BD"/>
    <w:rsid w:val="00091E26"/>
    <w:rsid w:val="000B7E2D"/>
    <w:rsid w:val="000D7893"/>
    <w:rsid w:val="000E66B9"/>
    <w:rsid w:val="001008AE"/>
    <w:rsid w:val="00130F86"/>
    <w:rsid w:val="00145E22"/>
    <w:rsid w:val="00165858"/>
    <w:rsid w:val="00181660"/>
    <w:rsid w:val="00186925"/>
    <w:rsid w:val="001D6949"/>
    <w:rsid w:val="00207D25"/>
    <w:rsid w:val="00210529"/>
    <w:rsid w:val="002142ED"/>
    <w:rsid w:val="002164A8"/>
    <w:rsid w:val="00280CCD"/>
    <w:rsid w:val="002A3F40"/>
    <w:rsid w:val="002C2260"/>
    <w:rsid w:val="00300209"/>
    <w:rsid w:val="00353381"/>
    <w:rsid w:val="00367DDA"/>
    <w:rsid w:val="0038026E"/>
    <w:rsid w:val="003C3E45"/>
    <w:rsid w:val="003D0FEF"/>
    <w:rsid w:val="003F2101"/>
    <w:rsid w:val="004043DC"/>
    <w:rsid w:val="00413EEB"/>
    <w:rsid w:val="00426D00"/>
    <w:rsid w:val="00432888"/>
    <w:rsid w:val="00494657"/>
    <w:rsid w:val="004E202C"/>
    <w:rsid w:val="00500565"/>
    <w:rsid w:val="00506F06"/>
    <w:rsid w:val="00523AEB"/>
    <w:rsid w:val="00530311"/>
    <w:rsid w:val="00533F10"/>
    <w:rsid w:val="005377F9"/>
    <w:rsid w:val="00541F71"/>
    <w:rsid w:val="005976F3"/>
    <w:rsid w:val="005A3908"/>
    <w:rsid w:val="005A589A"/>
    <w:rsid w:val="005E084D"/>
    <w:rsid w:val="005E29A0"/>
    <w:rsid w:val="00607C3D"/>
    <w:rsid w:val="00626900"/>
    <w:rsid w:val="0063474F"/>
    <w:rsid w:val="00635B5D"/>
    <w:rsid w:val="00660449"/>
    <w:rsid w:val="00690C18"/>
    <w:rsid w:val="0073053A"/>
    <w:rsid w:val="00730D61"/>
    <w:rsid w:val="007706BC"/>
    <w:rsid w:val="0078759F"/>
    <w:rsid w:val="0078794B"/>
    <w:rsid w:val="007F1C5C"/>
    <w:rsid w:val="007F4127"/>
    <w:rsid w:val="00804263"/>
    <w:rsid w:val="008A59BE"/>
    <w:rsid w:val="008B4136"/>
    <w:rsid w:val="008C7EDA"/>
    <w:rsid w:val="00950C57"/>
    <w:rsid w:val="00996973"/>
    <w:rsid w:val="0099711A"/>
    <w:rsid w:val="009D3531"/>
    <w:rsid w:val="009D472A"/>
    <w:rsid w:val="009D4C89"/>
    <w:rsid w:val="009E5120"/>
    <w:rsid w:val="00A107BB"/>
    <w:rsid w:val="00A13645"/>
    <w:rsid w:val="00A414B2"/>
    <w:rsid w:val="00A57143"/>
    <w:rsid w:val="00A871BC"/>
    <w:rsid w:val="00A93E36"/>
    <w:rsid w:val="00AE5528"/>
    <w:rsid w:val="00AF6868"/>
    <w:rsid w:val="00B1302B"/>
    <w:rsid w:val="00B24A71"/>
    <w:rsid w:val="00B44DBE"/>
    <w:rsid w:val="00B64B17"/>
    <w:rsid w:val="00B8069C"/>
    <w:rsid w:val="00BA30CA"/>
    <w:rsid w:val="00BD2933"/>
    <w:rsid w:val="00BF254B"/>
    <w:rsid w:val="00BF6266"/>
    <w:rsid w:val="00C270DF"/>
    <w:rsid w:val="00C3098E"/>
    <w:rsid w:val="00C57541"/>
    <w:rsid w:val="00C62F98"/>
    <w:rsid w:val="00C658FC"/>
    <w:rsid w:val="00C66D36"/>
    <w:rsid w:val="00C94477"/>
    <w:rsid w:val="00CA40DF"/>
    <w:rsid w:val="00CB620E"/>
    <w:rsid w:val="00CC2CC8"/>
    <w:rsid w:val="00CC3AD5"/>
    <w:rsid w:val="00D17BC6"/>
    <w:rsid w:val="00D67FBA"/>
    <w:rsid w:val="00D748C0"/>
    <w:rsid w:val="00DA5A76"/>
    <w:rsid w:val="00E204E7"/>
    <w:rsid w:val="00E34E6A"/>
    <w:rsid w:val="00E823BC"/>
    <w:rsid w:val="00E917F9"/>
    <w:rsid w:val="00EC2E88"/>
    <w:rsid w:val="00EC4B23"/>
    <w:rsid w:val="00F41063"/>
    <w:rsid w:val="00F416D3"/>
    <w:rsid w:val="00F71CDD"/>
    <w:rsid w:val="00F943C6"/>
    <w:rsid w:val="08FA177B"/>
    <w:rsid w:val="10E227B6"/>
    <w:rsid w:val="25680485"/>
    <w:rsid w:val="2A135BAE"/>
    <w:rsid w:val="2B1264B8"/>
    <w:rsid w:val="30BF2DC9"/>
    <w:rsid w:val="367B5207"/>
    <w:rsid w:val="3F7FE27C"/>
    <w:rsid w:val="447B63D2"/>
    <w:rsid w:val="488A7888"/>
    <w:rsid w:val="5BCA7F13"/>
    <w:rsid w:val="5CD7083C"/>
    <w:rsid w:val="5FAFDDC7"/>
    <w:rsid w:val="67F78BC5"/>
    <w:rsid w:val="6EEB0EA8"/>
    <w:rsid w:val="7373DC02"/>
    <w:rsid w:val="747694C5"/>
    <w:rsid w:val="753F8B9A"/>
    <w:rsid w:val="76FF6938"/>
    <w:rsid w:val="7EDDF2AD"/>
    <w:rsid w:val="8F4532D6"/>
    <w:rsid w:val="8FFB1662"/>
    <w:rsid w:val="AFEB4E97"/>
    <w:rsid w:val="B3FB7F45"/>
    <w:rsid w:val="BB3FAE2B"/>
    <w:rsid w:val="D6ED8AFC"/>
    <w:rsid w:val="DE6F61A9"/>
    <w:rsid w:val="EAFF9316"/>
    <w:rsid w:val="F67FA6EA"/>
    <w:rsid w:val="F6F73BDF"/>
    <w:rsid w:val="F75EF430"/>
    <w:rsid w:val="F799AD22"/>
    <w:rsid w:val="FFE7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toc 3"/>
    <w:basedOn w:val="1"/>
    <w:next w:val="1"/>
    <w:autoRedefine/>
    <w:qFormat/>
    <w:uiPriority w:val="39"/>
    <w:pPr>
      <w:tabs>
        <w:tab w:val="left" w:pos="1680"/>
        <w:tab w:val="right" w:leader="dot" w:pos="8296"/>
      </w:tabs>
      <w:ind w:left="424" w:leftChars="202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autoRedefine/>
    <w:qFormat/>
    <w:uiPriority w:val="39"/>
    <w:pPr>
      <w:tabs>
        <w:tab w:val="left" w:pos="630"/>
        <w:tab w:val="right" w:leader="dot" w:pos="8296"/>
      </w:tabs>
    </w:pPr>
    <w:rPr>
      <w:rFonts w:ascii="仿宋" w:hAnsi="仿宋" w:eastAsia="仿宋"/>
      <w:b/>
      <w:bCs/>
      <w:sz w:val="28"/>
      <w:szCs w:val="28"/>
    </w:rPr>
  </w:style>
  <w:style w:type="paragraph" w:styleId="8">
    <w:name w:val="toc 2"/>
    <w:basedOn w:val="1"/>
    <w:next w:val="1"/>
    <w:autoRedefine/>
    <w:qFormat/>
    <w:uiPriority w:val="39"/>
    <w:pPr>
      <w:tabs>
        <w:tab w:val="left" w:pos="1260"/>
        <w:tab w:val="right" w:leader="dot" w:pos="8296"/>
      </w:tabs>
      <w:spacing w:line="440" w:lineRule="exact"/>
      <w:ind w:left="420" w:leftChars="200"/>
    </w:pPr>
  </w:style>
  <w:style w:type="character" w:styleId="11">
    <w:name w:val="Hyperlink"/>
    <w:basedOn w:val="10"/>
    <w:qFormat/>
    <w:uiPriority w:val="99"/>
    <w:rPr>
      <w:color w:val="0000FF"/>
      <w:u w:val="single"/>
    </w:rPr>
  </w:style>
  <w:style w:type="paragraph" w:customStyle="1" w:styleId="12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3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4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标题 1 字符"/>
    <w:basedOn w:val="10"/>
    <w:link w:val="2"/>
    <w:qFormat/>
    <w:uiPriority w:val="0"/>
    <w:rPr>
      <w:b/>
      <w:bCs/>
      <w:kern w:val="44"/>
      <w:sz w:val="44"/>
      <w:szCs w:val="44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54A1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jpe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27</Pages>
  <Words>3093</Words>
  <Characters>3264</Characters>
  <Lines>35</Lines>
  <Paragraphs>10</Paragraphs>
  <TotalTime>153</TotalTime>
  <ScaleCrop>false</ScaleCrop>
  <LinksUpToDate>false</LinksUpToDate>
  <CharactersWithSpaces>3427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2024-12-11T00:20:00Z</dcterms:created>
  <dc:creator>吴迪</dc:creator>
  <cp:lastModifiedBy>DH.</cp:lastModifiedBy>
  <dcterms:modified xsi:type="dcterms:W3CDTF">2024-12-27T00:14:56Z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9E0563D3B715DC5DBF696D67E920B716_43</vt:lpwstr>
  </property>
  <property fmtid="{D5CDD505-2E9C-101B-9397-08002B2CF9AE}" pid="4" name="KSOTemplateDocerSaveRecord">
    <vt:lpwstr>eyJoZGlkIjoiNDg5MzEwM2NhMjY2MzAxNjgwN2FkN2QxZjI1OWFhZDMiLCJ1c2VySWQiOiI1MDMxMzMyODYifQ==</vt:lpwstr>
  </property>
</Properties>
</file>