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200" w:after="120" w:line="0" w:lineRule="atLeast"/>
        <w:ind w:firstLine="0"/>
        <w:jc w:val="center"/>
        <w:rPr>
          <w:rFonts w:ascii="方正小标宋简体" w:hAnsi="方正小标宋简体" w:eastAsia="方正小标宋简体" w:cs="方正小标宋简体"/>
          <w:b/>
          <w:sz w:val="48"/>
          <w:szCs w:val="48"/>
        </w:rPr>
      </w:pPr>
      <w:r>
        <w:rPr>
          <w:rFonts w:hint="eastAsia" w:ascii="方正小标宋_GBK" w:hAnsi="方正小标宋_GBK" w:eastAsia="方正小标宋_GBK" w:cs="方正小标宋_GBK"/>
          <w:b w:val="0"/>
          <w:bCs/>
          <w:sz w:val="48"/>
          <w:szCs w:val="48"/>
        </w:rPr>
        <w:t>《</w:t>
      </w:r>
      <w:r>
        <w:rPr>
          <w:rFonts w:hint="eastAsia" w:ascii="方正小标宋_GBK" w:hAnsi="方正小标宋_GBK" w:eastAsia="方正小标宋_GBK" w:cs="方正小标宋_GBK"/>
          <w:b w:val="0"/>
          <w:bCs/>
          <w:sz w:val="48"/>
          <w:szCs w:val="48"/>
          <w:lang w:val="en-US" w:eastAsia="zh-CN"/>
        </w:rPr>
        <w:t>济南金融人才</w:t>
      </w:r>
      <w:r>
        <w:rPr>
          <w:rFonts w:hint="eastAsia" w:ascii="方正小标宋_GBK" w:hAnsi="方正小标宋_GBK" w:eastAsia="方正小标宋_GBK" w:cs="方正小标宋_GBK"/>
          <w:b w:val="0"/>
          <w:bCs/>
          <w:sz w:val="48"/>
          <w:szCs w:val="48"/>
        </w:rPr>
        <w:t>申报系统》</w:t>
      </w: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hint="eastAsia" w:ascii="仿宋_GB2312" w:hAnsi="仿宋_GB2312" w:eastAsia="仿宋_GB2312" w:cs="仿宋_GB2312"/>
          <w:b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</w:rPr>
        <w:t>操作手册</w:t>
      </w: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</w:rPr>
        <w:t>（单位角色版）</w:t>
      </w: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仿宋" w:hAnsi="仿宋" w:eastAsia="仿宋" w:cs="仿宋"/>
          <w:b/>
          <w:bCs/>
          <w:sz w:val="32"/>
          <w:szCs w:val="32"/>
        </w:rPr>
      </w:pPr>
    </w:p>
    <w:p>
      <w:pPr>
        <w:wordWrap w:val="0"/>
        <w:spacing w:after="12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山东人才集团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sz w:val="32"/>
          <w:szCs w:val="32"/>
        </w:rPr>
        <w:t xml:space="preserve">    </w:t>
      </w:r>
    </w:p>
    <w:p>
      <w:pPr>
        <w:wordWrap w:val="0"/>
        <w:spacing w:after="120"/>
        <w:jc w:val="right"/>
        <w:rPr>
          <w:rFonts w:hint="eastAsia"/>
        </w:rPr>
        <w:sectPr>
          <w:footerReference r:id="rId5" w:type="first"/>
          <w:footerReference r:id="rId4" w:type="default"/>
          <w:pgSz w:w="11850" w:h="16840"/>
          <w:pgMar w:top="2115" w:right="1463" w:bottom="2007" w:left="1576" w:header="794" w:footer="794" w:gutter="0"/>
          <w:pgNumType w:start="1"/>
          <w:cols w:space="720" w:num="1"/>
          <w:titlePg/>
          <w:docGrid w:linePitch="286" w:charSpace="0"/>
        </w:sectPr>
      </w:pPr>
      <w:r>
        <w:rPr>
          <w:rFonts w:hint="eastAsia" w:ascii="仿宋_GB2312" w:hAnsi="仿宋_GB2312" w:eastAsia="仿宋_GB2312" w:cs="仿宋_GB2312"/>
          <w:sz w:val="32"/>
          <w:szCs w:val="32"/>
        </w:rPr>
        <w:t>202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32"/>
          <w:szCs w:val="32"/>
        </w:rPr>
        <w:t>年 0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9</w:t>
      </w:r>
      <w:r>
        <w:rPr>
          <w:rFonts w:hint="eastAsia" w:ascii="仿宋_GB2312" w:hAnsi="仿宋_GB2312" w:eastAsia="仿宋_GB2312" w:cs="仿宋_GB2312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01</w:t>
      </w:r>
      <w:r>
        <w:rPr>
          <w:rFonts w:hint="eastAsia" w:ascii="仿宋_GB2312" w:hAnsi="仿宋_GB2312" w:eastAsia="仿宋_GB2312" w:cs="仿宋_GB2312"/>
          <w:sz w:val="32"/>
          <w:szCs w:val="32"/>
        </w:rPr>
        <w:t xml:space="preserve">日 </w:t>
      </w:r>
      <w:r>
        <w:rPr>
          <w:rFonts w:ascii="仿宋" w:hAnsi="仿宋" w:eastAsia="仿宋" w:cs="仿宋"/>
          <w:sz w:val="32"/>
          <w:szCs w:val="32"/>
        </w:rPr>
        <w:t xml:space="preserve">  </w:t>
      </w:r>
    </w:p>
    <w:p>
      <w:pPr>
        <w:pStyle w:val="3"/>
        <w:numPr>
          <w:ilvl w:val="0"/>
          <w:numId w:val="0"/>
        </w:numPr>
        <w:spacing w:after="120" w:line="576" w:lineRule="exact"/>
        <w:rPr>
          <w:rFonts w:ascii="仿宋" w:hAnsi="仿宋" w:eastAsia="仿宋" w:cs="仿宋"/>
          <w:sz w:val="32"/>
          <w:szCs w:val="32"/>
        </w:rPr>
      </w:pPr>
      <w:bookmarkStart w:id="0" w:name="_Toc518229086"/>
      <w:bookmarkStart w:id="1" w:name="_Toc383084909"/>
      <w:bookmarkStart w:id="2" w:name="_Toc21707"/>
      <w:bookmarkStart w:id="3" w:name="_Toc75070792"/>
      <w:r>
        <w:rPr>
          <w:rFonts w:ascii="仿宋" w:hAnsi="仿宋" w:eastAsia="仿宋" w:cs="仿宋"/>
          <w:sz w:val="32"/>
          <w:szCs w:val="32"/>
        </w:rPr>
        <w:t>系统地址</w:t>
      </w:r>
      <w:bookmarkEnd w:id="0"/>
      <w:bookmarkEnd w:id="1"/>
      <w:bookmarkEnd w:id="2"/>
    </w:p>
    <w:bookmarkEnd w:id="3"/>
    <w:p>
      <w:pPr>
        <w:spacing w:after="0" w:afterLines="0"/>
        <w:ind w:firstLine="419" w:firstLineChars="131"/>
        <w:rPr>
          <w:rFonts w:hint="eastAsia"/>
        </w:rPr>
      </w:pPr>
      <w:bookmarkStart w:id="4" w:name="_Toc471329030"/>
      <w:bookmarkStart w:id="5" w:name="_Toc74986546"/>
      <w:r>
        <w:rPr>
          <w:rFonts w:ascii="Times New Roman" w:eastAsia="仿宋"/>
          <w:snapToGrid/>
          <w:kern w:val="2"/>
          <w:sz w:val="32"/>
          <w:szCs w:val="32"/>
        </w:rPr>
        <w:t>h</w:t>
      </w:r>
      <w:r>
        <w:rPr>
          <w:rFonts w:hint="eastAsia" w:ascii="Times New Roman" w:eastAsia="仿宋"/>
          <w:snapToGrid/>
          <w:kern w:val="2"/>
          <w:sz w:val="32"/>
          <w:szCs w:val="32"/>
        </w:rPr>
        <w:t>ttps://rc.jinan.gov.cn/index</w:t>
      </w:r>
      <w:bookmarkEnd w:id="4"/>
      <w:bookmarkEnd w:id="5"/>
    </w:p>
    <w:p>
      <w:pPr>
        <w:pStyle w:val="3"/>
        <w:spacing w:before="0" w:after="0" w:afterLines="0" w:line="560" w:lineRule="exact"/>
        <w:ind w:firstLine="642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单位注册</w:t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单位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用户在浏览器输入济南人才网地址，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点击单位用户。</w:t>
      </w:r>
    </w:p>
    <w:p>
      <w:pPr>
        <w:spacing w:after="120"/>
        <w:ind w:left="0" w:leftChars="0" w:firstLine="0" w:firstLineChars="0"/>
        <w:jc w:val="center"/>
        <w:rPr>
          <w:rFonts w:hint="eastAsia" w:ascii="仿宋" w:hAnsi="仿宋" w:eastAsia="仿宋" w:cs="仿宋"/>
          <w:snapToGrid/>
          <w:kern w:val="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589905" cy="2075180"/>
            <wp:effectExtent l="0" t="0" r="3175" b="1270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207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left="0" w:leftChars="0" w:firstLine="0" w:firstLineChars="0"/>
        <w:jc w:val="center"/>
      </w:pPr>
      <w:r>
        <w:drawing>
          <wp:inline distT="0" distB="0" distL="114300" distR="114300">
            <wp:extent cx="5584190" cy="2843530"/>
            <wp:effectExtent l="0" t="0" r="8890" b="635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4190" cy="284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520" w:lineRule="exact"/>
        <w:ind w:firstLine="640" w:firstLineChars="200"/>
        <w:rPr>
          <w:rFonts w:hint="eastAsia" w:ascii="仿宋" w:hAnsi="仿宋" w:eastAsia="仿宋" w:cs="仿宋"/>
          <w:snapToGrid/>
          <w:kern w:val="2"/>
          <w:sz w:val="32"/>
          <w:szCs w:val="32"/>
          <w:lang w:val="en-US" w:eastAsia="zh-CN"/>
        </w:rPr>
      </w:pPr>
    </w:p>
    <w:p>
      <w:pPr>
        <w:spacing w:after="0" w:afterLines="0" w:line="520" w:lineRule="exact"/>
        <w:ind w:firstLine="640" w:firstLineChars="200"/>
        <w:rPr>
          <w:rFonts w:hint="eastAsia" w:ascii="仿宋" w:hAnsi="仿宋" w:eastAsia="仿宋" w:cs="仿宋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跳转到山东省统一身份认证平台后，点击法人登录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用账号密码进行登录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。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未注册过的需要重新注册再登录（</w:t>
      </w:r>
      <w:r>
        <w:rPr>
          <w:rFonts w:hint="eastAsia" w:ascii="楷体" w:hAnsi="楷体" w:eastAsia="楷体" w:cs="楷体"/>
          <w:snapToGrid/>
          <w:color w:val="FF0000"/>
          <w:kern w:val="2"/>
          <w:sz w:val="32"/>
          <w:szCs w:val="32"/>
          <w:lang w:val="en-US" w:eastAsia="zh-CN"/>
        </w:rPr>
        <w:t>2025年5月底人才网升级后，原济南人才网账号密码失效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）。</w:t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  <w:snapToGrid/>
          <w:color w:val="FF0000"/>
          <w:kern w:val="2"/>
          <w:sz w:val="32"/>
          <w:szCs w:val="32"/>
          <w:lang w:val="en-US" w:eastAsia="zh-CN"/>
        </w:rPr>
        <w:t>注：账号注册遇到问题请在登录页面点击智能客服，对话框中输入人工，联系人工客服进行咨询处理。</w:t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如果注册遇到问题请点击页面上的智能客服。</w:t>
      </w:r>
    </w:p>
    <w:p>
      <w:pPr>
        <w:spacing w:after="12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498975" cy="2949575"/>
            <wp:effectExtent l="0" t="0" r="12065" b="6985"/>
            <wp:docPr id="6" name="图片 3" descr="07ebecf02dffcab1bac1dc471a7f4d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07ebecf02dffcab1bac1dc471a7f4db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98975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520" w:lineRule="exact"/>
        <w:ind w:firstLine="640" w:firstLineChars="200"/>
        <w:rPr>
          <w:rFonts w:hint="default" w:ascii="仿宋" w:hAnsi="仿宋" w:eastAsia="仿宋" w:cs="仿宋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在对话框中输入人工。</w:t>
      </w:r>
    </w:p>
    <w:p>
      <w:pPr>
        <w:spacing w:after="120"/>
        <w:ind w:firstLine="275" w:firstLineChars="131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923155" cy="3489960"/>
            <wp:effectExtent l="0" t="0" r="14605" b="0"/>
            <wp:docPr id="3" name="图片 4" descr="10e1570f64f78b2f6038c1f4263694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10e1570f64f78b2f6038c1f42636948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31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419" w:firstLineChars="131"/>
        <w:rPr>
          <w:rFonts w:hint="default" w:ascii="仿宋" w:hAnsi="仿宋" w:eastAsia="仿宋" w:cs="仿宋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在对话框中输入人工。</w:t>
      </w:r>
    </w:p>
    <w:p>
      <w:pPr>
        <w:spacing w:after="120"/>
        <w:ind w:firstLine="275" w:firstLineChars="131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949825" cy="3510280"/>
            <wp:effectExtent l="0" t="0" r="3175" b="10160"/>
            <wp:docPr id="5" name="图片 5" descr="10e1570f64f78b2f6038c1f4263694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0e1570f64f78b2f6038c1f42636948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49825" cy="351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419" w:firstLineChars="131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点击是。</w:t>
      </w:r>
    </w:p>
    <w:p>
      <w:pPr>
        <w:spacing w:after="12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52695" cy="3666490"/>
            <wp:effectExtent l="0" t="0" r="6985" b="6350"/>
            <wp:docPr id="1" name="图片 6" descr="a0ed7699cb59fb5dad80b15a3ee86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a0ed7699cb59fb5dad80b15a3ee868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52695" cy="366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419" w:firstLineChars="131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点击是。</w:t>
      </w:r>
    </w:p>
    <w:p>
      <w:pPr>
        <w:spacing w:after="12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919980" cy="3625850"/>
            <wp:effectExtent l="0" t="0" r="2540" b="1270"/>
            <wp:docPr id="7" name="图片 7" descr="c2c855b66ca38a40176f6094231f9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2c855b66ca38a40176f6094231f975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362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419" w:firstLineChars="13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排队后，等待人工客服回复后咨询人工客服。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20310" cy="3656965"/>
            <wp:effectExtent l="0" t="0" r="8890" b="635"/>
            <wp:docPr id="8" name="图片 8" descr="bcd7890a636983719442ebaabf9c61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cd7890a636983719442ebaabf9c61df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365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spacing w:after="0" w:afterLines="0" w:line="520" w:lineRule="exact"/>
        <w:ind w:firstLine="640" w:firstLineChars="200"/>
        <w:rPr>
          <w:rFonts w:hint="default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登录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进入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济南人才网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以后，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在单位首页，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点击【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编辑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按钮，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然后点击【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单位资料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菜单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进入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查看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页面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eastAsia="zh-CN"/>
        </w:rPr>
        <w:t>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点击【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编辑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按钮查看必填项是否填写完整，以及信息是否正确，如果有不正确或缺少的信息修改后点击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保存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按钮（页面下方），等待审核通过（首次登录单位用户需要对应区县人社局进行审核），对于此页面无法修改的信息，点击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单位信息修改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菜单，添加后提交审核（区县人社局进行审核）。如果信息都正确并审核完成（单位首页“状态”字段显示审核通过），单位信息都审核通过后，如果没有给人员开通人才权限，请先开通人才申报权限-【第8页】。</w:t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color w:val="FF0000"/>
          <w:kern w:val="2"/>
          <w:sz w:val="32"/>
          <w:szCs w:val="32"/>
          <w:lang w:val="en-US" w:eastAsia="zh-CN"/>
        </w:rPr>
        <w:t>注：以上信息如果有需要审核的，需要等待审核完成再进行下面的步骤，审核状态在单位首页（登录之后第一个页面）左侧“状态”字段查看，显示审核通过表示审核通过。</w:t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</w:p>
    <w:p>
      <w:pPr>
        <w:spacing w:after="120"/>
        <w:ind w:firstLine="0"/>
        <w:jc w:val="center"/>
        <w:rPr>
          <w:rFonts w:hint="eastAsia" w:ascii="楷体" w:hAnsi="楷体" w:eastAsia="楷体" w:cs="楷体"/>
          <w:snapToGrid/>
          <w:lang w:eastAsia="zh-CN"/>
        </w:rPr>
      </w:pPr>
      <w:r>
        <w:rPr>
          <w:rFonts w:hint="eastAsia" w:ascii="楷体" w:hAnsi="楷体" w:eastAsia="楷体" w:cs="楷体"/>
          <w:snapToGrid/>
          <w:lang w:eastAsia="zh-CN"/>
        </w:rPr>
        <w:drawing>
          <wp:inline distT="0" distB="0" distL="114300" distR="114300">
            <wp:extent cx="5586095" cy="2813685"/>
            <wp:effectExtent l="0" t="0" r="6985" b="5715"/>
            <wp:docPr id="9" name="图片 9" descr="e7542897b5a558cbc4fe7468625d01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7542897b5a558cbc4fe7468625d01b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6095" cy="2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120"/>
        <w:ind w:firstLine="0"/>
        <w:jc w:val="center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drawing>
          <wp:inline distT="0" distB="0" distL="114300" distR="114300">
            <wp:extent cx="5579745" cy="3347720"/>
            <wp:effectExtent l="0" t="0" r="13335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34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0"/>
        <w:jc w:val="center"/>
        <w:rPr>
          <w:rFonts w:hint="eastAsia" w:ascii="楷体" w:hAnsi="楷体" w:eastAsia="楷体" w:cs="楷体"/>
        </w:rPr>
      </w:pPr>
    </w:p>
    <w:p>
      <w:pPr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drawing>
          <wp:inline distT="0" distB="0" distL="114300" distR="114300">
            <wp:extent cx="5565140" cy="3338830"/>
            <wp:effectExtent l="0" t="0" r="12700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</w:p>
    <w:p>
      <w:pP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</w:p>
    <w:p>
      <w:pP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</w:p>
    <w:p>
      <w:pPr>
        <w:ind w:left="0" w:leftChars="0" w:firstLine="0" w:firstLineChars="0"/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单位信息都审核通过后，如果没有给人员开通人才权限，请先开通人才申报权限，如图下：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br w:type="textWrapping"/>
      </w:r>
      <w:r>
        <w:drawing>
          <wp:inline distT="0" distB="0" distL="114300" distR="114300">
            <wp:extent cx="5266690" cy="2496185"/>
            <wp:effectExtent l="0" t="0" r="635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6690" cy="2496185"/>
            <wp:effectExtent l="0" t="0" r="6350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default"/>
          <w:lang w:val="en-US"/>
        </w:rPr>
      </w:pPr>
      <w:r>
        <w:drawing>
          <wp:inline distT="0" distB="0" distL="114300" distR="114300">
            <wp:extent cx="5266690" cy="2496185"/>
            <wp:effectExtent l="0" t="0" r="6350" b="3175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楷体" w:hAnsi="楷体" w:eastAsia="楷体" w:cs="楷体"/>
        </w:rPr>
      </w:pPr>
    </w:p>
    <w:p>
      <w:pPr>
        <w:rPr>
          <w:rFonts w:hint="eastAsia" w:ascii="楷体" w:hAnsi="楷体" w:eastAsia="楷体" w:cs="楷体"/>
        </w:rPr>
      </w:pPr>
    </w:p>
    <w:p>
      <w:pPr>
        <w:rPr>
          <w:rFonts w:hint="eastAsia" w:ascii="楷体" w:hAnsi="楷体" w:eastAsia="楷体" w:cs="楷体"/>
        </w:rPr>
      </w:pPr>
    </w:p>
    <w:p>
      <w:pPr>
        <w:rPr>
          <w:rFonts w:hint="eastAsia" w:ascii="楷体" w:hAnsi="楷体" w:eastAsia="楷体" w:cs="楷体"/>
        </w:rPr>
      </w:pPr>
    </w:p>
    <w:p>
      <w:pPr>
        <w:pStyle w:val="3"/>
        <w:spacing w:before="0" w:after="0" w:afterLines="0" w:line="560" w:lineRule="exact"/>
        <w:ind w:firstLine="642" w:firstLineChars="200"/>
        <w:rPr>
          <w:rFonts w:hint="eastAsia" w:ascii="仿宋_GB2312" w:hAnsi="仿宋_GB2312" w:eastAsia="仿宋_GB2312" w:cs="仿宋_GB2312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新增进入济南金融人才子系统</w:t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回到单位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首页后，通过申报事项推送位置快捷入口，进入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济南金融人才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申报系统。如果登录后没有快捷入口，也可以点击申报事项推送位置的【更多】按钮进行查找。</w:t>
      </w:r>
    </w:p>
    <w:p>
      <w:pPr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drawing>
          <wp:inline distT="0" distB="0" distL="114300" distR="114300">
            <wp:extent cx="4831715" cy="3312795"/>
            <wp:effectExtent l="0" t="0" r="1460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31715" cy="331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楷体" w:hAnsi="楷体" w:eastAsia="楷体" w:cs="楷体"/>
        </w:rPr>
      </w:pPr>
      <w:r>
        <w:drawing>
          <wp:inline distT="0" distB="0" distL="114300" distR="114300">
            <wp:extent cx="5266690" cy="2496185"/>
            <wp:effectExtent l="0" t="0" r="6350" b="31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496185"/>
            <wp:effectExtent l="0" t="0" r="635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52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点击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点击申报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】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按钮，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进入申报系统以后，显示单位账号主页。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菜单</w:t>
      </w:r>
      <w:r>
        <w:rPr>
          <w:rFonts w:hint="eastAsia" w:ascii="楷体" w:hAnsi="楷体" w:eastAsia="楷体" w:cs="楷体"/>
          <w:sz w:val="32"/>
          <w:szCs w:val="32"/>
        </w:rPr>
        <w:t>包括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申报人才管理</w:t>
      </w:r>
      <w:r>
        <w:rPr>
          <w:rFonts w:hint="eastAsia" w:ascii="楷体" w:hAnsi="楷体" w:eastAsia="楷体" w:cs="楷体"/>
          <w:sz w:val="32"/>
          <w:szCs w:val="32"/>
        </w:rPr>
        <w:t>、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开通金融人才权限</w:t>
      </w:r>
      <w:r>
        <w:rPr>
          <w:rFonts w:hint="eastAsia" w:ascii="楷体" w:hAnsi="楷体" w:eastAsia="楷体" w:cs="楷体"/>
          <w:sz w:val="32"/>
          <w:szCs w:val="32"/>
        </w:rPr>
        <w:t>、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单位审核。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截图如下：</w:t>
      </w:r>
    </w:p>
    <w:p>
      <w:pPr>
        <w:spacing w:after="0" w:afterLines="0" w:line="240" w:lineRule="auto"/>
        <w:ind w:left="0" w:leftChars="0" w:firstLine="0" w:firstLineChars="0"/>
      </w:pPr>
      <w:r>
        <w:drawing>
          <wp:inline distT="0" distB="0" distL="114300" distR="114300">
            <wp:extent cx="5266690" cy="2496185"/>
            <wp:effectExtent l="0" t="0" r="635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b w:val="0"/>
          <w:bCs w:val="0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b w:val="0"/>
          <w:bCs w:val="0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b w:val="0"/>
          <w:bCs w:val="0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sz w:val="28"/>
          <w:szCs w:val="28"/>
          <w:lang w:val="en-US" w:eastAsia="zh-CN"/>
        </w:rPr>
        <w:t>点击【申报人才管理】，可看到提报人才的信息，如图下：</w:t>
      </w:r>
    </w:p>
    <w:p>
      <w:pPr>
        <w:spacing w:after="0" w:afterLines="0" w:line="240" w:lineRule="auto"/>
        <w:ind w:left="0" w:leftChars="0" w:firstLine="0" w:firstLineChars="0"/>
      </w:pPr>
      <w:r>
        <w:drawing>
          <wp:inline distT="0" distB="0" distL="114300" distR="114300">
            <wp:extent cx="5266690" cy="2496185"/>
            <wp:effectExtent l="0" t="0" r="635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点击【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开通金融人才权限】可看到具体给那些人员进行了开通了权限。如图下：</w:t>
      </w:r>
    </w:p>
    <w:p>
      <w:pPr>
        <w:spacing w:after="0" w:afterLines="0" w:line="240" w:lineRule="auto"/>
        <w:ind w:left="0" w:leftChars="0" w:firstLine="0" w:firstLineChars="0"/>
      </w:pPr>
      <w:r>
        <w:drawing>
          <wp:inline distT="0" distB="0" distL="114300" distR="114300">
            <wp:extent cx="5266690" cy="2496185"/>
            <wp:effectExtent l="0" t="0" r="635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spacing w:after="0" w:afterLines="0" w:line="240" w:lineRule="auto"/>
        <w:ind w:left="0" w:leftChars="0" w:firstLine="0" w:firstLineChars="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点击【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单位审核】，可给申报人员进行审核。如图下：</w:t>
      </w:r>
    </w:p>
    <w:p>
      <w:pPr>
        <w:spacing w:after="0" w:afterLines="0" w:line="240" w:lineRule="auto"/>
        <w:ind w:left="0" w:leftChars="0" w:firstLine="0" w:firstLineChars="0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690" cy="2496185"/>
            <wp:effectExtent l="0" t="0" r="6350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240" w:lineRule="auto"/>
        <w:ind w:left="0" w:leftChars="0" w:firstLine="0" w:firstLineChars="0"/>
        <w:rPr>
          <w:rFonts w:hint="default" w:ascii="楷体" w:hAnsi="楷体" w:eastAsia="楷体" w:cs="楷体"/>
          <w:sz w:val="32"/>
          <w:szCs w:val="32"/>
          <w:lang w:val="en-US" w:eastAsia="zh-CN"/>
        </w:rPr>
      </w:pPr>
    </w:p>
    <w:p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【审核跟踪】</w:t>
      </w:r>
      <w:r>
        <w:drawing>
          <wp:inline distT="0" distB="0" distL="114300" distR="114300">
            <wp:extent cx="5272405" cy="2466975"/>
            <wp:effectExtent l="0" t="0" r="635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【审核记录】</w:t>
      </w:r>
    </w:p>
    <w:p>
      <w:pPr>
        <w:rPr>
          <w:rFonts w:hint="default"/>
          <w:lang w:val="en-US" w:eastAsia="zh-CN"/>
        </w:rPr>
      </w:pPr>
      <w:bookmarkStart w:id="6" w:name="_GoBack"/>
      <w:bookmarkEnd w:id="6"/>
      <w:r>
        <w:drawing>
          <wp:inline distT="0" distB="0" distL="114300" distR="114300">
            <wp:extent cx="5266690" cy="2400300"/>
            <wp:effectExtent l="0" t="0" r="6350" b="762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小标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tabs>
        <w:tab w:val="right" w:pos="8222"/>
        <w:tab w:val="clear" w:pos="8640"/>
      </w:tabs>
      <w:spacing w:after="120"/>
      <w:ind w:firstLine="0"/>
      <w:rPr>
        <w:rFonts w:hint="eastAsia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BYAAABkcnMvUEsBAhQAFAAAAAgAh07iQLNJWO7QAAAABQEAAA8AAAAAAAAAAQAgAAAAOAAA&#10;AGRycy9kb3ducmV2LnhtbFBLAQIUABQAAAAIAIdO4kBe2iTuMwIAAGMEAAAOAAAAAAAAAAEAIAAA&#10;ADUBAABkcnMvZTJvRG9jLnhtbFBLBQYAAAAABgAGAFkBAADa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tabs>
        <w:tab w:val="right" w:pos="8222"/>
        <w:tab w:val="clear" w:pos="8640"/>
      </w:tabs>
      <w:spacing w:after="120"/>
      <w:ind w:firstLine="0"/>
      <w:rPr>
        <w:rFonts w:hint="eastAsia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BYAAABkcnMvUEsBAhQAFAAAAAgAh07iQLNJWO7QAAAABQEAAA8AAAAAAAAAAQAgAAAAOAAA&#10;AGRycy9kb3ducmV2LnhtbFBLAQIUABQAAAAIAIdO4kAccrMBMwIAAGMEAAAOAAAAAAAAAAEAIAAA&#10;ADUBAABkcnMvZTJvRG9jLnhtbFBLBQYAAAAABgAGAFkBAADa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DF8368E"/>
    <w:multiLevelType w:val="multilevel"/>
    <w:tmpl w:val="FDF8368E"/>
    <w:lvl w:ilvl="0" w:tentative="0">
      <w:start w:val="1"/>
      <w:numFmt w:val="chineseCounting"/>
      <w:pStyle w:val="2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pStyle w:val="3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FC76B6"/>
    <w:rsid w:val="180453F5"/>
    <w:rsid w:val="665B137A"/>
    <w:rsid w:val="6DFC76B6"/>
    <w:rsid w:val="7AE60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50" w:afterLines="50"/>
      <w:ind w:firstLine="425"/>
    </w:pPr>
    <w:rPr>
      <w:rFonts w:ascii="宋体" w:hAnsi="Times New Roman" w:eastAsia="宋体" w:cs="Times New Roman"/>
      <w:snapToGrid w:val="0"/>
      <w:sz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numPr>
        <w:ilvl w:val="0"/>
        <w:numId w:val="1"/>
      </w:numPr>
      <w:spacing w:before="120" w:after="60"/>
      <w:ind w:firstLine="0"/>
      <w:outlineLvl w:val="0"/>
    </w:pPr>
    <w:rPr>
      <w:b/>
      <w:sz w:val="32"/>
    </w:rPr>
  </w:style>
  <w:style w:type="paragraph" w:styleId="3">
    <w:name w:val="heading 2"/>
    <w:basedOn w:val="2"/>
    <w:next w:val="1"/>
    <w:qFormat/>
    <w:uiPriority w:val="0"/>
    <w:pPr>
      <w:numPr>
        <w:ilvl w:val="1"/>
        <w:numId w:val="1"/>
      </w:numPr>
      <w:outlineLvl w:val="1"/>
    </w:pPr>
    <w:rPr>
      <w:sz w:val="2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320"/>
        <w:tab w:val="right" w:pos="8640"/>
      </w:tabs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Office_11.8.2.12356_F1E327BC-269C-435d-A152-05C5408002CA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2025-11-03T16:50:00Z</dcterms:created>
  <dc:creator>好像做了一场梦...</dc:creator>
  <cp:lastModifiedBy>HW</cp:lastModifiedBy>
  <dcterms:modified xsi:type="dcterms:W3CDTF">2025-11-04T14:44:57Z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2052-11.8.2.12356</vt:lpwstr>
  </property>
  <property fmtid="{D5CDD505-2E9C-101B-9397-08002B2CF9AE}" pid="3" name="ICV">
    <vt:lpwstr>3E7F873500B04616B02A444E727D3488_13</vt:lpwstr>
  </property>
  <property fmtid="{D5CDD505-2E9C-101B-9397-08002B2CF9AE}" pid="4" name="KSOTemplateDocerSaveRecord">
    <vt:lpwstr>eyJoZGlkIjoiOGM0YzYwNTc5ZGVhOWQyY2M2NmY5NWIwOTU0MzQ1MmMiLCJ1c2VySWQiOiIxNTMxOTA4NDIxIn0=</vt:lpwstr>
  </property>
</Properties>
</file>