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80" w:lineRule="exact"/>
        <w:jc w:val="center"/>
        <w:textAlignment w:val="auto"/>
        <w:rPr>
          <w:rFonts w:hint="eastAsia" w:ascii="方正小标宋_GBK" w:hAnsi="方正小标宋_GBK" w:eastAsia="方正小标宋_GBK" w:cs="方正小标宋_GBK"/>
          <w:color w:val="auto"/>
          <w:sz w:val="44"/>
          <w:szCs w:val="44"/>
        </w:rPr>
      </w:pPr>
    </w:p>
    <w:p>
      <w:pPr>
        <w:keepNext w:val="0"/>
        <w:keepLines w:val="0"/>
        <w:pageBreakBefore w:val="0"/>
        <w:widowControl w:val="0"/>
        <w:kinsoku/>
        <w:wordWrap/>
        <w:overflowPunct/>
        <w:topLinePunct w:val="0"/>
        <w:autoSpaceDE/>
        <w:autoSpaceDN/>
        <w:bidi w:val="0"/>
        <w:adjustRightInd/>
        <w:snapToGrid/>
        <w:spacing w:line="680" w:lineRule="exact"/>
        <w:jc w:val="center"/>
        <w:textAlignment w:val="auto"/>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天桥区人民政府</w:t>
      </w:r>
    </w:p>
    <w:p>
      <w:pPr>
        <w:keepNext w:val="0"/>
        <w:keepLines w:val="0"/>
        <w:pageBreakBefore w:val="0"/>
        <w:widowControl w:val="0"/>
        <w:kinsoku/>
        <w:wordWrap/>
        <w:overflowPunct/>
        <w:topLinePunct w:val="0"/>
        <w:autoSpaceDE/>
        <w:autoSpaceDN/>
        <w:bidi w:val="0"/>
        <w:adjustRightInd/>
        <w:snapToGrid/>
        <w:spacing w:line="680" w:lineRule="exact"/>
        <w:jc w:val="center"/>
        <w:textAlignment w:val="auto"/>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20</w:t>
      </w:r>
      <w:r>
        <w:rPr>
          <w:rFonts w:hint="eastAsia" w:ascii="方正小标宋_GBK" w:hAnsi="方正小标宋_GBK" w:eastAsia="方正小标宋_GBK" w:cs="方正小标宋_GBK"/>
          <w:color w:val="auto"/>
          <w:sz w:val="44"/>
          <w:szCs w:val="44"/>
          <w:lang w:val="en-US" w:eastAsia="zh-CN"/>
        </w:rPr>
        <w:t>20</w:t>
      </w:r>
      <w:r>
        <w:rPr>
          <w:rFonts w:hint="eastAsia" w:ascii="方正小标宋_GBK" w:hAnsi="方正小标宋_GBK" w:eastAsia="方正小标宋_GBK" w:cs="方正小标宋_GBK"/>
          <w:color w:val="auto"/>
          <w:sz w:val="44"/>
          <w:szCs w:val="44"/>
        </w:rPr>
        <w:t>年政府信息公开工作年度报告</w:t>
      </w:r>
    </w:p>
    <w:p>
      <w:pPr>
        <w:keepNext w:val="0"/>
        <w:keepLines w:val="0"/>
        <w:pageBreakBefore w:val="0"/>
        <w:widowControl w:val="0"/>
        <w:kinsoku/>
        <w:wordWrap/>
        <w:overflowPunct/>
        <w:topLinePunct w:val="0"/>
        <w:autoSpaceDE/>
        <w:autoSpaceDN/>
        <w:bidi w:val="0"/>
        <w:adjustRightInd/>
        <w:snapToGrid/>
        <w:spacing w:line="680" w:lineRule="exact"/>
        <w:jc w:val="center"/>
        <w:textAlignment w:val="auto"/>
        <w:rPr>
          <w:rFonts w:hint="eastAsia" w:ascii="方正小标宋_GBK" w:hAnsi="方正小标宋_GBK" w:eastAsia="方正小标宋_GBK" w:cs="方正小标宋_GBK"/>
          <w:color w:val="auto"/>
          <w:sz w:val="44"/>
          <w:szCs w:val="44"/>
        </w:rPr>
      </w:pPr>
    </w:p>
    <w:p>
      <w:pPr>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firstLine="636"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根据修订后的《中华人民共和国政府信息公开条例》（以下简称新《条例》）规定，向社会公布</w:t>
      </w:r>
      <w:r>
        <w:rPr>
          <w:rFonts w:hint="default" w:ascii="Times New Roman" w:hAnsi="Times New Roman" w:eastAsia="仿宋_GB2312" w:cs="Times New Roman"/>
          <w:color w:val="auto"/>
          <w:sz w:val="32"/>
          <w:szCs w:val="32"/>
          <w:lang w:val="en-US" w:eastAsia="zh-CN"/>
        </w:rPr>
        <w:t>2020</w:t>
      </w:r>
      <w:r>
        <w:rPr>
          <w:rFonts w:hint="default" w:ascii="Times New Roman" w:hAnsi="Times New Roman" w:eastAsia="仿宋_GB2312" w:cs="Times New Roman"/>
          <w:color w:val="auto"/>
          <w:sz w:val="32"/>
          <w:szCs w:val="32"/>
        </w:rPr>
        <w:t>年本级政府信息公开工作年度报告。本报告包括总体情况、主动公开政府信息情况、收到和处理政府信息公开申请情况、政府信息公开行政复议</w:t>
      </w:r>
      <w:r>
        <w:rPr>
          <w:rFonts w:hint="default" w:ascii="Times New Roman" w:hAnsi="Times New Roman" w:eastAsia="仿宋_GB2312" w:cs="Times New Roman"/>
          <w:color w:val="auto"/>
          <w:sz w:val="32"/>
          <w:szCs w:val="32"/>
          <w:lang w:eastAsia="zh-CN"/>
        </w:rPr>
        <w:t>及</w:t>
      </w:r>
      <w:r>
        <w:rPr>
          <w:rFonts w:hint="default" w:ascii="Times New Roman" w:hAnsi="Times New Roman" w:eastAsia="仿宋_GB2312" w:cs="Times New Roman"/>
          <w:color w:val="auto"/>
          <w:sz w:val="32"/>
          <w:szCs w:val="32"/>
        </w:rPr>
        <w:t>行政诉讼情况、存在的主要问题及改进情况、其他需要报告的事项六个部分。本报告中所列数据的统计期限自</w:t>
      </w:r>
      <w:r>
        <w:rPr>
          <w:rFonts w:hint="default" w:ascii="Times New Roman" w:hAnsi="Times New Roman" w:eastAsia="仿宋_GB2312" w:cs="Times New Roman"/>
          <w:color w:val="auto"/>
          <w:sz w:val="32"/>
          <w:szCs w:val="32"/>
          <w:lang w:val="en-US" w:eastAsia="zh-CN"/>
        </w:rPr>
        <w:t>2020</w:t>
      </w:r>
      <w:r>
        <w:rPr>
          <w:rFonts w:hint="default" w:ascii="Times New Roman" w:hAnsi="Times New Roman" w:eastAsia="仿宋_GB2312" w:cs="Times New Roman"/>
          <w:color w:val="auto"/>
          <w:sz w:val="32"/>
          <w:szCs w:val="32"/>
        </w:rPr>
        <w:t>年1月1日起至</w:t>
      </w:r>
      <w:r>
        <w:rPr>
          <w:rFonts w:hint="default" w:ascii="Times New Roman" w:hAnsi="Times New Roman" w:eastAsia="仿宋_GB2312" w:cs="Times New Roman"/>
          <w:color w:val="auto"/>
          <w:sz w:val="32"/>
          <w:szCs w:val="32"/>
          <w:lang w:val="en-US" w:eastAsia="zh-CN"/>
        </w:rPr>
        <w:t>2020</w:t>
      </w:r>
      <w:r>
        <w:rPr>
          <w:rFonts w:hint="default" w:ascii="Times New Roman" w:hAnsi="Times New Roman" w:eastAsia="仿宋_GB2312" w:cs="Times New Roman"/>
          <w:color w:val="auto"/>
          <w:sz w:val="32"/>
          <w:szCs w:val="32"/>
        </w:rPr>
        <w:t>年12月31日止。本报告的电子版可在“天桥区政府网”门户网站（www.tianqiao.gov.cn)查阅。如对报告有任何疑问或意见建议，请直接与天桥区人民政府办公室联系。</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firstLine="636"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联系地址：济南市天桥区堤口路53号</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firstLine="636"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联系电话：0531-8160172</w:t>
      </w:r>
      <w:r>
        <w:rPr>
          <w:rFonts w:hint="default" w:ascii="Times New Roman" w:hAnsi="Times New Roman" w:eastAsia="仿宋_GB2312" w:cs="Times New Roman"/>
          <w:color w:val="auto"/>
          <w:sz w:val="32"/>
          <w:szCs w:val="32"/>
          <w:lang w:val="en-US" w:eastAsia="zh-CN"/>
        </w:rPr>
        <w:t>3</w:t>
      </w:r>
    </w:p>
    <w:p>
      <w:pPr>
        <w:keepNext w:val="0"/>
        <w:keepLines w:val="0"/>
        <w:pageBreakBefore w:val="0"/>
        <w:widowControl w:val="0"/>
        <w:kinsoku/>
        <w:wordWrap/>
        <w:overflowPunct/>
        <w:topLinePunct w:val="0"/>
        <w:autoSpaceDE/>
        <w:autoSpaceDN/>
        <w:bidi w:val="0"/>
        <w:adjustRightInd/>
        <w:snapToGrid/>
        <w:spacing w:beforeAutospacing="0" w:afterAutospacing="0" w:line="680" w:lineRule="exact"/>
        <w:ind w:firstLine="636"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电子信箱：</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"mailto:jntqzfbgs@jn.shandong.cn）。"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jntqzfbgs@jn.shandong.cn</w:t>
      </w:r>
      <w:r>
        <w:rPr>
          <w:rFonts w:hint="default" w:ascii="Times New Roman" w:hAnsi="Times New Roman" w:eastAsia="仿宋_GB2312" w:cs="Times New Roman"/>
          <w:color w:val="auto"/>
          <w:sz w:val="32"/>
          <w:szCs w:val="32"/>
        </w:rPr>
        <w:fldChar w:fldCharType="end"/>
      </w:r>
    </w:p>
    <w:p>
      <w:pPr>
        <w:pStyle w:val="2"/>
        <w:keepNext w:val="0"/>
        <w:keepLines w:val="0"/>
        <w:pageBreakBefore w:val="0"/>
        <w:widowControl w:val="0"/>
        <w:kinsoku/>
        <w:wordWrap/>
        <w:overflowPunct/>
        <w:topLinePunct w:val="0"/>
        <w:autoSpaceDE/>
        <w:autoSpaceDN/>
        <w:bidi w:val="0"/>
        <w:adjustRightInd/>
        <w:snapToGrid/>
        <w:spacing w:beforeAutospacing="0" w:afterAutospacing="0" w:line="590" w:lineRule="exact"/>
        <w:textAlignment w:val="auto"/>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firstLine="636" w:firstLineChars="200"/>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一、总体情况</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firstLine="636"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2020年，天桥区政府信息公开工作坚定不移地以习近平新时代中国特色社会主义思想为指导，全面贯彻党的十九大和十九届二中、三中、四中、五中全会精神，始终坚持以人民为中心的发展思想，进一步统一思想、提高站位、开阔视野，深入贯彻《中华人民共和国政府信息公开条例》精神和国家、省、市决策部署，严格落实区委、区政府相关工作要求，围绕全区中心工作及群众关切，聚焦做好“六稳”工作、落实“六保”任务，深化“放管服”改革优化营商环境，全力推动基层政务公开标准化规范化建设，开拓进取、夯实责任，强化举措、高效落实，高质量推进政府信息公开工作开展。基层政府政务公开工作机制、公开平台、专业队伍进一步健全完善，决策、执行、管理、服务水平实现新跃升，全区政府信息公开工作取得新进展。</w:t>
      </w:r>
    </w:p>
    <w:p>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590" w:lineRule="exact"/>
        <w:ind w:firstLine="636" w:firstLineChars="200"/>
        <w:textAlignment w:val="auto"/>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lang w:val="en-US" w:eastAsia="zh-CN"/>
        </w:rPr>
        <w:t>强化组织领导，工作机制持续完善</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36"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一是加强组织协调。根据人事变动及职务调整，及时更新区政务公开工作领导小组成员名单，发布《天桥区人民政府办公室关于调整天桥区政务公开领导小组的通知》，推进基层政务公开标准化规范化有序开展。根据全市统一安排，发布《</w:t>
      </w:r>
      <w:r>
        <w:rPr>
          <w:rFonts w:hint="default" w:ascii="Times New Roman" w:hAnsi="Times New Roman" w:eastAsia="仿宋_GB2312" w:cs="Times New Roman"/>
          <w:b w:val="0"/>
          <w:bCs w:val="0"/>
          <w:color w:val="auto"/>
          <w:sz w:val="32"/>
          <w:szCs w:val="32"/>
          <w:shd w:val="clear" w:color="auto" w:fill="FFFFFF"/>
        </w:rPr>
        <w:t>济南市天桥区人民政府办公室关于印发</w:t>
      </w:r>
      <w:r>
        <w:rPr>
          <w:rFonts w:hint="default" w:ascii="Times New Roman" w:hAnsi="Times New Roman" w:eastAsia="仿宋_GB2312" w:cs="Times New Roman"/>
          <w:b w:val="0"/>
          <w:bCs w:val="0"/>
          <w:color w:val="auto"/>
          <w:sz w:val="32"/>
          <w:szCs w:val="32"/>
          <w:shd w:val="clear" w:color="auto" w:fill="FFFFFF"/>
          <w:lang w:val="en-US" w:eastAsia="zh-CN"/>
        </w:rPr>
        <w:t>2020</w:t>
      </w:r>
      <w:r>
        <w:rPr>
          <w:rFonts w:hint="default" w:ascii="Times New Roman" w:hAnsi="Times New Roman" w:eastAsia="仿宋_GB2312" w:cs="Times New Roman"/>
          <w:b w:val="0"/>
          <w:bCs w:val="0"/>
          <w:color w:val="auto"/>
          <w:sz w:val="32"/>
          <w:szCs w:val="32"/>
          <w:shd w:val="clear" w:color="auto" w:fill="FFFFFF"/>
        </w:rPr>
        <w:t>年济南市天桥区政务公开工作要点的通知</w:t>
      </w:r>
      <w:r>
        <w:rPr>
          <w:rFonts w:hint="default" w:ascii="Times New Roman" w:hAnsi="Times New Roman" w:eastAsia="仿宋_GB2312" w:cs="Times New Roman"/>
          <w:b w:val="0"/>
          <w:bCs w:val="0"/>
          <w:color w:val="auto"/>
          <w:sz w:val="32"/>
          <w:szCs w:val="32"/>
          <w:lang w:val="en-US" w:eastAsia="zh-CN"/>
        </w:rPr>
        <w:t>》，系统梳理信息公开目录，进一步释放政务公开职能作用。建立健全工作常态化管理与联</w:t>
      </w:r>
      <w:r>
        <w:rPr>
          <w:rFonts w:hint="default" w:ascii="Times New Roman" w:hAnsi="Times New Roman" w:eastAsia="仿宋_GB2312" w:cs="Times New Roman"/>
          <w:b w:val="0"/>
          <w:bCs w:val="0"/>
          <w:color w:val="auto"/>
          <w:sz w:val="32"/>
          <w:szCs w:val="32"/>
          <w:lang w:eastAsia="zh-CN"/>
        </w:rPr>
        <w:t>动</w:t>
      </w:r>
      <w:r>
        <w:rPr>
          <w:rFonts w:hint="default" w:ascii="Times New Roman" w:hAnsi="Times New Roman" w:eastAsia="仿宋_GB2312" w:cs="Times New Roman"/>
          <w:b w:val="0"/>
          <w:bCs w:val="0"/>
          <w:color w:val="auto"/>
          <w:sz w:val="32"/>
          <w:szCs w:val="32"/>
        </w:rPr>
        <w:t>机制</w:t>
      </w:r>
      <w:r>
        <w:rPr>
          <w:rFonts w:hint="default" w:ascii="Times New Roman" w:hAnsi="Times New Roman" w:eastAsia="仿宋_GB2312" w:cs="Times New Roman"/>
          <w:b w:val="0"/>
          <w:bCs w:val="0"/>
          <w:color w:val="auto"/>
          <w:sz w:val="32"/>
          <w:szCs w:val="32"/>
          <w:lang w:eastAsia="zh-CN"/>
        </w:rPr>
        <w:t>，规范工作流程，</w:t>
      </w:r>
      <w:r>
        <w:rPr>
          <w:rFonts w:hint="default" w:ascii="Times New Roman" w:hAnsi="Times New Roman" w:eastAsia="仿宋_GB2312" w:cs="Times New Roman"/>
          <w:b w:val="0"/>
          <w:bCs w:val="0"/>
          <w:color w:val="auto"/>
          <w:sz w:val="32"/>
          <w:szCs w:val="32"/>
        </w:rPr>
        <w:t>明确</w:t>
      </w:r>
      <w:r>
        <w:rPr>
          <w:rFonts w:hint="default" w:ascii="Times New Roman" w:hAnsi="Times New Roman" w:eastAsia="仿宋_GB2312" w:cs="Times New Roman"/>
          <w:b w:val="0"/>
          <w:bCs w:val="0"/>
          <w:color w:val="auto"/>
          <w:sz w:val="32"/>
          <w:szCs w:val="32"/>
          <w:lang w:eastAsia="zh-CN"/>
        </w:rPr>
        <w:t>全区</w:t>
      </w:r>
      <w:r>
        <w:rPr>
          <w:rFonts w:hint="default" w:ascii="Times New Roman" w:hAnsi="Times New Roman" w:eastAsia="仿宋_GB2312" w:cs="Times New Roman"/>
          <w:b w:val="0"/>
          <w:bCs w:val="0"/>
          <w:color w:val="auto"/>
          <w:sz w:val="32"/>
          <w:szCs w:val="32"/>
        </w:rPr>
        <w:t>各单位职责范围内应更新公开内容及频率，确保</w:t>
      </w:r>
      <w:r>
        <w:rPr>
          <w:rFonts w:hint="default" w:ascii="Times New Roman" w:hAnsi="Times New Roman" w:eastAsia="仿宋_GB2312" w:cs="Times New Roman"/>
          <w:b w:val="0"/>
          <w:bCs w:val="0"/>
          <w:color w:val="auto"/>
          <w:sz w:val="32"/>
          <w:szCs w:val="32"/>
          <w:lang w:eastAsia="zh-CN"/>
        </w:rPr>
        <w:t>日常</w:t>
      </w:r>
      <w:r>
        <w:rPr>
          <w:rFonts w:hint="default" w:ascii="Times New Roman" w:hAnsi="Times New Roman" w:eastAsia="仿宋_GB2312" w:cs="Times New Roman"/>
          <w:b w:val="0"/>
          <w:bCs w:val="0"/>
          <w:color w:val="auto"/>
          <w:sz w:val="32"/>
          <w:szCs w:val="32"/>
        </w:rPr>
        <w:t>提醒到位、整改到位、落实到位</w:t>
      </w:r>
      <w:r>
        <w:rPr>
          <w:rFonts w:hint="default" w:ascii="Times New Roman" w:hAnsi="Times New Roman" w:eastAsia="仿宋_GB2312" w:cs="Times New Roman"/>
          <w:b w:val="0"/>
          <w:bCs w:val="0"/>
          <w:color w:val="auto"/>
          <w:sz w:val="32"/>
          <w:szCs w:val="32"/>
          <w:lang w:val="en-US" w:eastAsia="zh-CN"/>
        </w:rPr>
        <w:t>，基层政务公开及时准确、有序推进。</w:t>
      </w:r>
    </w:p>
    <w:p>
      <w:pPr>
        <w:rPr>
          <w:rFonts w:hint="default" w:ascii="Times New Roman" w:hAnsi="Times New Roman" w:cs="Times New Roman"/>
          <w:color w:val="auto"/>
        </w:rPr>
      </w:pPr>
      <w:r>
        <w:rPr>
          <w:rFonts w:hint="default" w:ascii="Times New Roman" w:hAnsi="Times New Roman" w:eastAsia="仿宋_GB2312" w:cs="Times New Roman"/>
          <w:b/>
          <w:bCs/>
          <w:color w:val="auto"/>
          <w:sz w:val="32"/>
          <w:szCs w:val="32"/>
        </w:rPr>
        <w:drawing>
          <wp:anchor distT="0" distB="0" distL="114300" distR="114300" simplePos="0" relativeHeight="251660288" behindDoc="0" locked="0" layoutInCell="1" allowOverlap="1">
            <wp:simplePos x="0" y="0"/>
            <wp:positionH relativeFrom="column">
              <wp:posOffset>600075</wp:posOffset>
            </wp:positionH>
            <wp:positionV relativeFrom="paragraph">
              <wp:posOffset>59690</wp:posOffset>
            </wp:positionV>
            <wp:extent cx="3959860" cy="2520315"/>
            <wp:effectExtent l="0" t="0" r="2540" b="13335"/>
            <wp:wrapTopAndBottom/>
            <wp:docPr id="6" name="图片 2"/>
            <wp:cNvGraphicFramePr/>
            <a:graphic xmlns:a="http://schemas.openxmlformats.org/drawingml/2006/main">
              <a:graphicData uri="http://schemas.openxmlformats.org/drawingml/2006/picture">
                <pic:pic xmlns:pic="http://schemas.openxmlformats.org/drawingml/2006/picture">
                  <pic:nvPicPr>
                    <pic:cNvPr id="6" name="图片 2"/>
                    <pic:cNvPicPr/>
                  </pic:nvPicPr>
                  <pic:blipFill>
                    <a:blip r:embed="rId5"/>
                    <a:srcRect t="255"/>
                    <a:stretch>
                      <a:fillRect/>
                    </a:stretch>
                  </pic:blipFill>
                  <pic:spPr>
                    <a:xfrm>
                      <a:off x="0" y="0"/>
                      <a:ext cx="3959860" cy="2520315"/>
                    </a:xfrm>
                    <a:prstGeom prst="rect">
                      <a:avLst/>
                    </a:prstGeom>
                    <a:noFill/>
                    <a:ln>
                      <a:noFill/>
                    </a:ln>
                  </pic:spPr>
                </pic:pic>
              </a:graphicData>
            </a:graphic>
          </wp:anchor>
        </w:drawing>
      </w:r>
    </w:p>
    <w:p>
      <w:pPr>
        <w:pStyle w:val="2"/>
        <w:keepNext w:val="0"/>
        <w:keepLines w:val="0"/>
        <w:pageBreakBefore w:val="0"/>
        <w:widowControl w:val="0"/>
        <w:kinsoku/>
        <w:wordWrap/>
        <w:overflowPunct/>
        <w:topLinePunct w:val="0"/>
        <w:autoSpaceDE/>
        <w:autoSpaceDN/>
        <w:bidi w:val="0"/>
        <w:adjustRightInd/>
        <w:snapToGrid/>
        <w:spacing w:beforeAutospacing="0" w:afterAutospacing="0" w:line="590" w:lineRule="exact"/>
        <w:ind w:firstLine="636"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drawing>
          <wp:anchor distT="0" distB="0" distL="114300" distR="114300" simplePos="0" relativeHeight="251659264" behindDoc="0" locked="0" layoutInCell="1" allowOverlap="1">
            <wp:simplePos x="0" y="0"/>
            <wp:positionH relativeFrom="column">
              <wp:posOffset>588010</wp:posOffset>
            </wp:positionH>
            <wp:positionV relativeFrom="paragraph">
              <wp:posOffset>7620</wp:posOffset>
            </wp:positionV>
            <wp:extent cx="3959860" cy="2520315"/>
            <wp:effectExtent l="0" t="0" r="2540" b="13335"/>
            <wp:wrapTopAndBottom/>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6"/>
                    <a:stretch>
                      <a:fillRect/>
                    </a:stretch>
                  </pic:blipFill>
                  <pic:spPr>
                    <a:xfrm>
                      <a:off x="0" y="0"/>
                      <a:ext cx="3959860" cy="2520315"/>
                    </a:xfrm>
                    <a:prstGeom prst="rect">
                      <a:avLst/>
                    </a:prstGeom>
                    <a:noFill/>
                    <a:ln>
                      <a:noFill/>
                    </a:ln>
                  </pic:spPr>
                </pic:pic>
              </a:graphicData>
            </a:graphic>
          </wp:anchor>
        </w:drawing>
      </w:r>
      <w:r>
        <w:rPr>
          <w:rFonts w:hint="default" w:ascii="Times New Roman" w:hAnsi="Times New Roman" w:eastAsia="仿宋_GB2312" w:cs="Times New Roman"/>
          <w:b w:val="0"/>
          <w:bCs w:val="0"/>
          <w:color w:val="auto"/>
          <w:sz w:val="32"/>
          <w:szCs w:val="32"/>
          <w:lang w:val="en-US" w:eastAsia="zh-CN"/>
        </w:rPr>
        <w:t>二是加强业务培训。编制区政府信息公开年度培训计划，做到政务公开学习培训的日常化、规范化，组织召开全区政府信息公开标准化清单编制工作会议、政务公开工作推进暨评估考核培训会议等专题会议，邀请相关专家详细解读工作要点、法规政策、操作流程等内容，120余人次接受培训。通过以会代训和日常普及教育，参训人员进一步掌握工作方式方法，提高服务意识、法律意识和责任意识，增强履职自觉性和主动性，有效提升工作水平。</w:t>
      </w:r>
    </w:p>
    <w:p>
      <w:pPr>
        <w:pStyle w:val="2"/>
        <w:keepNext w:val="0"/>
        <w:keepLines w:val="0"/>
        <w:pageBreakBefore w:val="0"/>
        <w:widowControl w:val="0"/>
        <w:kinsoku/>
        <w:wordWrap/>
        <w:overflowPunct/>
        <w:topLinePunct w:val="0"/>
        <w:autoSpaceDE/>
        <w:autoSpaceDN/>
        <w:bidi w:val="0"/>
        <w:adjustRightInd/>
        <w:snapToGrid/>
        <w:spacing w:beforeAutospacing="0" w:afterAutospacing="0" w:line="590" w:lineRule="exact"/>
        <w:ind w:firstLine="636"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三是加强队伍建设。要求各单位明确政务公开工作负责机构，具体负责组织推进本单位政府信息公开工作，切实做到机构到位、人员到位、经费到位，强化人员配备，全</w:t>
      </w:r>
      <w:r>
        <w:rPr>
          <w:rFonts w:hint="default" w:ascii="Times New Roman" w:hAnsi="Times New Roman" w:eastAsia="仿宋_GB2312" w:cs="Times New Roman"/>
          <w:b w:val="0"/>
          <w:bCs w:val="0"/>
          <w:color w:val="auto"/>
          <w:sz w:val="32"/>
          <w:szCs w:val="32"/>
          <w:shd w:val="clear" w:color="auto" w:fill="FFFFFF"/>
        </w:rPr>
        <w:t>区政府信息</w:t>
      </w:r>
      <w:r>
        <w:rPr>
          <w:rFonts w:hint="default" w:ascii="Times New Roman" w:hAnsi="Times New Roman" w:eastAsia="仿宋_GB2312" w:cs="Times New Roman"/>
          <w:b w:val="0"/>
          <w:bCs w:val="0"/>
          <w:color w:val="auto"/>
          <w:sz w:val="32"/>
          <w:szCs w:val="32"/>
          <w:lang w:val="en-US" w:eastAsia="zh-CN"/>
        </w:rPr>
        <w:t>公开工作人员98人，其中，专职33人，兼职65人，政府信息公开队伍建设进一步加强。</w:t>
      </w:r>
    </w:p>
    <w:p>
      <w:pPr>
        <w:rPr>
          <w:rFonts w:hint="default" w:ascii="Times New Roman" w:hAnsi="Times New Roman" w:cs="Times New Roman"/>
          <w:lang w:eastAsia="zh-CN"/>
        </w:rPr>
      </w:pPr>
    </w:p>
    <w:p>
      <w:pPr>
        <w:pStyle w:val="2"/>
        <w:jc w:val="center"/>
        <w:rPr>
          <w:rFonts w:hint="default" w:ascii="Times New Roman" w:hAnsi="Times New Roman" w:cs="Times New Roman"/>
          <w:color w:val="auto"/>
        </w:rPr>
      </w:pPr>
      <w:r>
        <w:rPr>
          <w:rFonts w:hint="default" w:ascii="Times New Roman" w:hAnsi="Times New Roman" w:eastAsia="宋体" w:cs="Times New Roman"/>
          <w:color w:val="auto"/>
          <w:sz w:val="24"/>
          <w:szCs w:val="24"/>
        </w:rPr>
        <w:drawing>
          <wp:anchor distT="0" distB="0" distL="114300" distR="114300" simplePos="0" relativeHeight="251661312" behindDoc="0" locked="0" layoutInCell="1" allowOverlap="1">
            <wp:simplePos x="0" y="0"/>
            <wp:positionH relativeFrom="column">
              <wp:posOffset>798830</wp:posOffset>
            </wp:positionH>
            <wp:positionV relativeFrom="paragraph">
              <wp:posOffset>127635</wp:posOffset>
            </wp:positionV>
            <wp:extent cx="3959860" cy="2404110"/>
            <wp:effectExtent l="0" t="0" r="2540" b="15240"/>
            <wp:wrapTopAndBottom/>
            <wp:docPr id="10" name="图片 3" descr="IMG_256"/>
            <wp:cNvGraphicFramePr/>
            <a:graphic xmlns:a="http://schemas.openxmlformats.org/drawingml/2006/main">
              <a:graphicData uri="http://schemas.openxmlformats.org/drawingml/2006/picture">
                <pic:pic xmlns:pic="http://schemas.openxmlformats.org/drawingml/2006/picture">
                  <pic:nvPicPr>
                    <pic:cNvPr id="10" name="图片 3" descr="IMG_256"/>
                    <pic:cNvPicPr/>
                  </pic:nvPicPr>
                  <pic:blipFill>
                    <a:blip r:embed="rId7"/>
                    <a:srcRect t="8946"/>
                    <a:stretch>
                      <a:fillRect/>
                    </a:stretch>
                  </pic:blipFill>
                  <pic:spPr>
                    <a:xfrm>
                      <a:off x="0" y="0"/>
                      <a:ext cx="3959860" cy="2404110"/>
                    </a:xfrm>
                    <a:prstGeom prst="rect">
                      <a:avLst/>
                    </a:prstGeom>
                    <a:noFill/>
                    <a:ln w="9525">
                      <a:noFill/>
                    </a:ln>
                  </pic:spPr>
                </pic:pic>
              </a:graphicData>
            </a:graphic>
          </wp:anchor>
        </w:drawing>
      </w:r>
      <w:r>
        <w:rPr>
          <w:rFonts w:hint="default" w:ascii="Times New Roman" w:hAnsi="Times New Roman" w:eastAsia="宋体" w:cs="Times New Roman"/>
          <w:color w:val="auto"/>
          <w:sz w:val="24"/>
          <w:szCs w:val="24"/>
        </w:rPr>
        <w:drawing>
          <wp:inline distT="0" distB="0" distL="114300" distR="114300">
            <wp:extent cx="3959860" cy="2520315"/>
            <wp:effectExtent l="0" t="0" r="2540" b="13335"/>
            <wp:docPr id="21" name="图片 4" descr="IMG_256"/>
            <wp:cNvGraphicFramePr/>
            <a:graphic xmlns:a="http://schemas.openxmlformats.org/drawingml/2006/main">
              <a:graphicData uri="http://schemas.openxmlformats.org/drawingml/2006/picture">
                <pic:pic xmlns:pic="http://schemas.openxmlformats.org/drawingml/2006/picture">
                  <pic:nvPicPr>
                    <pic:cNvPr id="21" name="图片 4" descr="IMG_256"/>
                    <pic:cNvPicPr/>
                  </pic:nvPicPr>
                  <pic:blipFill>
                    <a:blip r:embed="rId8"/>
                    <a:stretch>
                      <a:fillRect/>
                    </a:stretch>
                  </pic:blipFill>
                  <pic:spPr>
                    <a:xfrm>
                      <a:off x="0" y="0"/>
                      <a:ext cx="3959860" cy="2520315"/>
                    </a:xfrm>
                    <a:prstGeom prst="rect">
                      <a:avLst/>
                    </a:prstGeom>
                    <a:noFill/>
                    <a:ln w="9525">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590" w:lineRule="exact"/>
        <w:ind w:left="0" w:leftChars="0" w:firstLine="636"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楷体_GB2312" w:cs="Times New Roman"/>
          <w:color w:val="auto"/>
          <w:sz w:val="32"/>
          <w:szCs w:val="32"/>
          <w:lang w:val="en-US" w:eastAsia="zh-CN"/>
        </w:rPr>
        <w:t>聚焦重点工作，主动公开力度持续加大</w:t>
      </w:r>
    </w:p>
    <w:p>
      <w:pPr>
        <w:pStyle w:val="2"/>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590" w:lineRule="exact"/>
        <w:ind w:firstLine="668" w:firstLineChars="200"/>
        <w:jc w:val="both"/>
        <w:textAlignment w:val="auto"/>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eastAsia="仿宋_GB2312" w:cs="Times New Roman"/>
          <w:b w:val="0"/>
          <w:bCs w:val="0"/>
          <w:i w:val="0"/>
          <w:caps w:val="0"/>
          <w:color w:val="auto"/>
          <w:spacing w:val="8"/>
          <w:kern w:val="2"/>
          <w:sz w:val="32"/>
          <w:szCs w:val="32"/>
          <w:shd w:val="clear" w:fill="FFFFFF"/>
          <w:lang w:val="en-US" w:eastAsia="zh-CN" w:bidi="ar-SA"/>
        </w:rPr>
        <w:t>细化财政信息公开。</w:t>
      </w:r>
      <w:r>
        <w:rPr>
          <w:rFonts w:hint="default" w:ascii="Times New Roman" w:hAnsi="Times New Roman" w:eastAsia="仿宋_GB2312" w:cs="Times New Roman"/>
          <w:b w:val="0"/>
          <w:bCs w:val="0"/>
          <w:color w:val="auto"/>
          <w:kern w:val="2"/>
          <w:sz w:val="32"/>
          <w:szCs w:val="32"/>
          <w:lang w:val="en-US" w:eastAsia="zh-CN" w:bidi="ar-SA"/>
        </w:rPr>
        <w:t>将财税政策、区级财政预决算、部门财政预决算、收支管理、政府债务等作为财政信息公开的重点内容，使财政资金始终在高度透明和强有力的监督中运行。（1）财税政策公开。发布《关于公布涉企财税政策直通车电话的通知》，市民通过“直通车”电话反映辖区涉企财税政策有关问题及政策建议；通告《2020年天桥区行政事业性质收费和政府性基金目录清单》，提高行政事业性收费和政府性基金政策透明度，规范收费行为，加强社会监督，完善收费目录清单管理制度；转发《支持疫情防控和经济社会发展财税政策落实操作指南》《防控新型冠状病毒肺炎疫情有关税费优惠政策汇编》《关于新型冠状病毒肺炎疫情防控有关税费政策等》，进一步实现常态化疫情防控下的稳定企业生产，以企业生产保障疫情防控。（2）财政预决算公开。主动公开《</w:t>
      </w:r>
      <w:r>
        <w:rPr>
          <w:rFonts w:hint="default" w:ascii="Times New Roman" w:hAnsi="Times New Roman" w:eastAsia="仿宋_GB2312" w:cs="Times New Roman"/>
          <w:b w:val="0"/>
          <w:bCs w:val="0"/>
          <w:color w:val="auto"/>
          <w:kern w:val="2"/>
          <w:sz w:val="32"/>
          <w:szCs w:val="32"/>
          <w:lang w:val="en-US" w:eastAsia="zh-CN" w:bidi="ar-SA"/>
        </w:rPr>
        <w:fldChar w:fldCharType="begin"/>
      </w:r>
      <w:r>
        <w:rPr>
          <w:rFonts w:hint="default" w:ascii="Times New Roman" w:hAnsi="Times New Roman" w:eastAsia="仿宋_GB2312" w:cs="Times New Roman"/>
          <w:b w:val="0"/>
          <w:bCs w:val="0"/>
          <w:color w:val="auto"/>
          <w:kern w:val="2"/>
          <w:sz w:val="32"/>
          <w:szCs w:val="32"/>
          <w:lang w:val="en-US" w:eastAsia="zh-CN" w:bidi="ar-SA"/>
        </w:rPr>
        <w:instrText xml:space="preserve"> HYPERLINK "http://www.tianqiao.gov.cn/art/2020/10/30/art_45563_4761788.html?xxgkhide=1" \o "天桥区2019年财政决算" \t "http://www.tianqiao.gov.cn/col/col45603/_blank" </w:instrText>
      </w:r>
      <w:r>
        <w:rPr>
          <w:rFonts w:hint="default" w:ascii="Times New Roman" w:hAnsi="Times New Roman" w:eastAsia="仿宋_GB2312" w:cs="Times New Roman"/>
          <w:b w:val="0"/>
          <w:bCs w:val="0"/>
          <w:color w:val="auto"/>
          <w:kern w:val="2"/>
          <w:sz w:val="32"/>
          <w:szCs w:val="32"/>
          <w:lang w:val="en-US" w:eastAsia="zh-CN" w:bidi="ar-SA"/>
        </w:rPr>
        <w:fldChar w:fldCharType="separate"/>
      </w:r>
      <w:r>
        <w:rPr>
          <w:rFonts w:hint="default" w:ascii="Times New Roman" w:hAnsi="Times New Roman" w:eastAsia="仿宋_GB2312" w:cs="Times New Roman"/>
          <w:b w:val="0"/>
          <w:bCs w:val="0"/>
          <w:color w:val="auto"/>
          <w:kern w:val="2"/>
          <w:sz w:val="32"/>
          <w:szCs w:val="32"/>
          <w:lang w:val="en-US" w:eastAsia="zh-CN" w:bidi="ar-SA"/>
        </w:rPr>
        <w:t>天桥区2019年财政决算</w:t>
      </w:r>
      <w:r>
        <w:rPr>
          <w:rFonts w:hint="default" w:ascii="Times New Roman" w:hAnsi="Times New Roman" w:eastAsia="仿宋_GB2312" w:cs="Times New Roman"/>
          <w:b w:val="0"/>
          <w:bCs w:val="0"/>
          <w:color w:val="auto"/>
          <w:kern w:val="2"/>
          <w:sz w:val="32"/>
          <w:szCs w:val="32"/>
          <w:lang w:val="en-US" w:eastAsia="zh-CN" w:bidi="ar-SA"/>
        </w:rPr>
        <w:fldChar w:fldCharType="end"/>
      </w:r>
      <w:r>
        <w:rPr>
          <w:rFonts w:hint="default" w:ascii="Times New Roman" w:hAnsi="Times New Roman" w:eastAsia="仿宋_GB2312" w:cs="Times New Roman"/>
          <w:b w:val="0"/>
          <w:bCs w:val="0"/>
          <w:color w:val="auto"/>
          <w:kern w:val="2"/>
          <w:sz w:val="32"/>
          <w:szCs w:val="32"/>
          <w:lang w:val="en-US" w:eastAsia="zh-CN" w:bidi="ar-SA"/>
        </w:rPr>
        <w:t>》《</w:t>
      </w:r>
      <w:r>
        <w:rPr>
          <w:rFonts w:hint="default" w:ascii="Times New Roman" w:hAnsi="Times New Roman" w:eastAsia="仿宋_GB2312" w:cs="Times New Roman"/>
          <w:b w:val="0"/>
          <w:bCs w:val="0"/>
          <w:color w:val="auto"/>
          <w:kern w:val="2"/>
          <w:sz w:val="32"/>
          <w:szCs w:val="32"/>
          <w:lang w:val="en-US" w:eastAsia="zh-CN" w:bidi="ar-SA"/>
        </w:rPr>
        <w:fldChar w:fldCharType="begin"/>
      </w:r>
      <w:r>
        <w:rPr>
          <w:rFonts w:hint="default" w:ascii="Times New Roman" w:hAnsi="Times New Roman" w:eastAsia="仿宋_GB2312" w:cs="Times New Roman"/>
          <w:b w:val="0"/>
          <w:bCs w:val="0"/>
          <w:color w:val="auto"/>
          <w:kern w:val="2"/>
          <w:sz w:val="32"/>
          <w:szCs w:val="32"/>
          <w:lang w:val="en-US" w:eastAsia="zh-CN" w:bidi="ar-SA"/>
        </w:rPr>
        <w:instrText xml:space="preserve"> HYPERLINK "http://www.tianqiao.gov.cn/art/2020/10/30/art_45563_4761789.html?xxgkhide=1" \o "2019年济南市天桥区区级三公经费决算" \t "http://www.tianqiao.gov.cn/col/col45603/_blank" </w:instrText>
      </w:r>
      <w:r>
        <w:rPr>
          <w:rFonts w:hint="default" w:ascii="Times New Roman" w:hAnsi="Times New Roman" w:eastAsia="仿宋_GB2312" w:cs="Times New Roman"/>
          <w:b w:val="0"/>
          <w:bCs w:val="0"/>
          <w:color w:val="auto"/>
          <w:kern w:val="2"/>
          <w:sz w:val="32"/>
          <w:szCs w:val="32"/>
          <w:lang w:val="en-US" w:eastAsia="zh-CN" w:bidi="ar-SA"/>
        </w:rPr>
        <w:fldChar w:fldCharType="separate"/>
      </w:r>
      <w:r>
        <w:rPr>
          <w:rFonts w:hint="default" w:ascii="Times New Roman" w:hAnsi="Times New Roman" w:eastAsia="仿宋_GB2312" w:cs="Times New Roman"/>
          <w:b w:val="0"/>
          <w:bCs w:val="0"/>
          <w:color w:val="auto"/>
          <w:kern w:val="2"/>
          <w:sz w:val="32"/>
          <w:szCs w:val="32"/>
          <w:lang w:val="en-US" w:eastAsia="zh-CN" w:bidi="ar-SA"/>
        </w:rPr>
        <w:t>2019年济南市天桥区区级三公经费决算</w:t>
      </w:r>
      <w:r>
        <w:rPr>
          <w:rFonts w:hint="default" w:ascii="Times New Roman" w:hAnsi="Times New Roman" w:eastAsia="仿宋_GB2312" w:cs="Times New Roman"/>
          <w:b w:val="0"/>
          <w:bCs w:val="0"/>
          <w:color w:val="auto"/>
          <w:kern w:val="2"/>
          <w:sz w:val="32"/>
          <w:szCs w:val="32"/>
          <w:lang w:val="en-US" w:eastAsia="zh-CN" w:bidi="ar-SA"/>
        </w:rPr>
        <w:fldChar w:fldCharType="end"/>
      </w:r>
      <w:r>
        <w:rPr>
          <w:rFonts w:hint="default" w:ascii="Times New Roman" w:hAnsi="Times New Roman" w:eastAsia="仿宋_GB2312" w:cs="Times New Roman"/>
          <w:b w:val="0"/>
          <w:bCs w:val="0"/>
          <w:color w:val="auto"/>
          <w:kern w:val="2"/>
          <w:sz w:val="32"/>
          <w:szCs w:val="32"/>
          <w:lang w:val="en-US" w:eastAsia="zh-CN" w:bidi="ar-SA"/>
        </w:rPr>
        <w:t>》《关于天桥区2019年度财政决算草案和2020年上半年财政预算执行情况的报告》《关于天桥区2019年预算执行情况和2020年预算草案的报告》及《</w:t>
      </w:r>
      <w:r>
        <w:rPr>
          <w:rFonts w:hint="default" w:ascii="Times New Roman" w:hAnsi="Times New Roman" w:eastAsia="仿宋_GB2312" w:cs="Times New Roman"/>
          <w:b w:val="0"/>
          <w:bCs w:val="0"/>
          <w:color w:val="auto"/>
          <w:kern w:val="2"/>
          <w:sz w:val="32"/>
          <w:szCs w:val="32"/>
          <w:lang w:val="en-US" w:eastAsia="zh-CN" w:bidi="ar-SA"/>
        </w:rPr>
        <w:fldChar w:fldCharType="begin"/>
      </w:r>
      <w:r>
        <w:rPr>
          <w:rFonts w:hint="default" w:ascii="Times New Roman" w:hAnsi="Times New Roman" w:eastAsia="仿宋_GB2312" w:cs="Times New Roman"/>
          <w:b w:val="0"/>
          <w:bCs w:val="0"/>
          <w:color w:val="auto"/>
          <w:kern w:val="2"/>
          <w:sz w:val="32"/>
          <w:szCs w:val="32"/>
          <w:lang w:val="en-US" w:eastAsia="zh-CN" w:bidi="ar-SA"/>
        </w:rPr>
        <w:instrText xml:space="preserve"> HYPERLINK "http://www.tianqiao.gov.cn/art/2020/6/24/art_45562_4501435.html?xxgkhide=1" \o "2020年济南市天桥区区级\“三公\”经费预算" \t "http://www.tianqiao.gov.cn/col/col45603/_blank" </w:instrText>
      </w:r>
      <w:r>
        <w:rPr>
          <w:rFonts w:hint="default" w:ascii="Times New Roman" w:hAnsi="Times New Roman" w:eastAsia="仿宋_GB2312" w:cs="Times New Roman"/>
          <w:b w:val="0"/>
          <w:bCs w:val="0"/>
          <w:color w:val="auto"/>
          <w:kern w:val="2"/>
          <w:sz w:val="32"/>
          <w:szCs w:val="32"/>
          <w:lang w:val="en-US" w:eastAsia="zh-CN" w:bidi="ar-SA"/>
        </w:rPr>
        <w:fldChar w:fldCharType="separate"/>
      </w:r>
      <w:r>
        <w:rPr>
          <w:rFonts w:hint="default" w:ascii="Times New Roman" w:hAnsi="Times New Roman" w:eastAsia="仿宋_GB2312" w:cs="Times New Roman"/>
          <w:b w:val="0"/>
          <w:bCs w:val="0"/>
          <w:color w:val="auto"/>
          <w:kern w:val="2"/>
          <w:sz w:val="32"/>
          <w:szCs w:val="32"/>
          <w:lang w:val="en-US" w:eastAsia="zh-CN" w:bidi="ar-SA"/>
        </w:rPr>
        <w:t>2020年济南市天桥区区级“三公”经费预算</w:t>
      </w:r>
      <w:r>
        <w:rPr>
          <w:rFonts w:hint="default" w:ascii="Times New Roman" w:hAnsi="Times New Roman" w:eastAsia="仿宋_GB2312" w:cs="Times New Roman"/>
          <w:b w:val="0"/>
          <w:bCs w:val="0"/>
          <w:color w:val="auto"/>
          <w:kern w:val="2"/>
          <w:sz w:val="32"/>
          <w:szCs w:val="32"/>
          <w:lang w:val="en-US" w:eastAsia="zh-CN" w:bidi="ar-SA"/>
        </w:rPr>
        <w:fldChar w:fldCharType="end"/>
      </w:r>
      <w:r>
        <w:rPr>
          <w:rFonts w:hint="default" w:ascii="Times New Roman" w:hAnsi="Times New Roman" w:eastAsia="仿宋_GB2312" w:cs="Times New Roman"/>
          <w:b w:val="0"/>
          <w:bCs w:val="0"/>
          <w:color w:val="auto"/>
          <w:kern w:val="2"/>
          <w:sz w:val="32"/>
          <w:szCs w:val="32"/>
          <w:lang w:val="en-US" w:eastAsia="zh-CN" w:bidi="ar-SA"/>
        </w:rPr>
        <w:t>》，做好政府及各部门、街道预决算公开工作。（3）收支管理情况公开。每月公开区公共财政预算执行情况，针对当月一般公共预算收支情况、政府性基金预算支出情况、收入完成情况在各区县排名等板块进行公示，并分析财政预算收支执行的主要特点，预判财政收入走势。（4）政府债务公开。按时公开《2020年天桥区政府债务情况表和存续期情况表》等信息。</w:t>
      </w:r>
    </w:p>
    <w:p>
      <w:pPr>
        <w:numPr>
          <w:ilvl w:val="0"/>
          <w:numId w:val="0"/>
        </w:numPr>
        <w:rPr>
          <w:rFonts w:hint="default" w:ascii="Times New Roman" w:hAnsi="Times New Roman" w:cs="Times New Roman"/>
          <w:lang w:val="en-US" w:eastAsia="zh-CN"/>
        </w:rPr>
      </w:pPr>
      <w:r>
        <w:rPr>
          <w:rFonts w:hint="default" w:ascii="Times New Roman" w:hAnsi="Times New Roman" w:eastAsia="仿宋_GB2312" w:cs="Times New Roman"/>
          <w:b w:val="0"/>
          <w:bCs w:val="0"/>
          <w:color w:val="auto"/>
          <w:sz w:val="32"/>
          <w:szCs w:val="32"/>
          <w:lang w:val="en-US" w:eastAsia="zh-CN"/>
        </w:rPr>
        <w:drawing>
          <wp:anchor distT="0" distB="0" distL="114300" distR="114300" simplePos="0" relativeHeight="251671552" behindDoc="0" locked="0" layoutInCell="1" allowOverlap="1">
            <wp:simplePos x="0" y="0"/>
            <wp:positionH relativeFrom="column">
              <wp:posOffset>658495</wp:posOffset>
            </wp:positionH>
            <wp:positionV relativeFrom="paragraph">
              <wp:posOffset>448945</wp:posOffset>
            </wp:positionV>
            <wp:extent cx="4319905" cy="1696720"/>
            <wp:effectExtent l="0" t="0" r="4445" b="17780"/>
            <wp:wrapTopAndBottom/>
            <wp:docPr id="17" name="图片 17" descr="1612679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12679366(1)"/>
                    <pic:cNvPicPr>
                      <a:picLocks noChangeAspect="1"/>
                    </pic:cNvPicPr>
                  </pic:nvPicPr>
                  <pic:blipFill>
                    <a:blip r:embed="rId9"/>
                    <a:srcRect t="16159"/>
                    <a:stretch>
                      <a:fillRect/>
                    </a:stretch>
                  </pic:blipFill>
                  <pic:spPr>
                    <a:xfrm>
                      <a:off x="0" y="0"/>
                      <a:ext cx="4319905" cy="169672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68" w:firstLineChars="200"/>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i w:val="0"/>
          <w:caps w:val="0"/>
          <w:color w:val="auto"/>
          <w:spacing w:val="8"/>
          <w:sz w:val="32"/>
          <w:szCs w:val="32"/>
          <w:shd w:val="clear" w:fill="FFFFFF"/>
          <w:lang w:val="en-US" w:eastAsia="zh-CN"/>
        </w:rPr>
        <w:drawing>
          <wp:anchor distT="0" distB="0" distL="114300" distR="114300" simplePos="0" relativeHeight="251664384" behindDoc="0" locked="0" layoutInCell="1" allowOverlap="1">
            <wp:simplePos x="0" y="0"/>
            <wp:positionH relativeFrom="column">
              <wp:posOffset>318770</wp:posOffset>
            </wp:positionH>
            <wp:positionV relativeFrom="paragraph">
              <wp:posOffset>3901440</wp:posOffset>
            </wp:positionV>
            <wp:extent cx="5181600" cy="3952240"/>
            <wp:effectExtent l="4445" t="4445" r="14605" b="5715"/>
            <wp:wrapTopAndBottom/>
            <wp:docPr id="7"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rFonts w:hint="default" w:ascii="Times New Roman" w:hAnsi="Times New Roman" w:eastAsia="仿宋_GB2312" w:cs="Times New Roman"/>
          <w:b w:val="0"/>
          <w:bCs w:val="0"/>
          <w:i w:val="0"/>
          <w:caps w:val="0"/>
          <w:color w:val="auto"/>
          <w:spacing w:val="8"/>
          <w:sz w:val="32"/>
          <w:szCs w:val="32"/>
          <w:shd w:val="clear" w:fill="FFFFFF"/>
          <w:lang w:val="en-US" w:eastAsia="zh-CN"/>
        </w:rPr>
        <w:t>2</w:t>
      </w:r>
      <w:r>
        <w:rPr>
          <w:rFonts w:hint="default" w:ascii="Times New Roman" w:hAnsi="Times New Roman" w:eastAsia="仿宋_GB2312" w:cs="Times New Roman"/>
          <w:b w:val="0"/>
          <w:bCs w:val="0"/>
          <w:color w:val="auto"/>
          <w:sz w:val="32"/>
          <w:szCs w:val="32"/>
          <w:lang w:val="en-US" w:eastAsia="zh-CN"/>
        </w:rPr>
        <w:t>、推进重点领域信息公开。</w:t>
      </w:r>
      <w:r>
        <w:rPr>
          <w:rFonts w:hint="default" w:ascii="Times New Roman" w:hAnsi="Times New Roman" w:eastAsia="仿宋_GB2312" w:cs="Times New Roman"/>
          <w:b w:val="0"/>
          <w:bCs w:val="0"/>
          <w:color w:val="auto"/>
          <w:sz w:val="32"/>
          <w:szCs w:val="32"/>
          <w:lang w:eastAsia="zh-CN"/>
        </w:rPr>
        <w:t>聚焦中心工作，准确把握天桥发展“1339”战略丰富内涵和工作部署，深入实施，紧盯社会关切，聚焦民生、审计公开、</w:t>
      </w:r>
      <w:r>
        <w:rPr>
          <w:rFonts w:hint="default" w:ascii="Times New Roman" w:hAnsi="Times New Roman" w:eastAsia="仿宋_GB2312" w:cs="Times New Roman"/>
          <w:b w:val="0"/>
          <w:bCs w:val="0"/>
          <w:color w:val="auto"/>
          <w:sz w:val="32"/>
          <w:szCs w:val="32"/>
          <w:lang w:eastAsia="zh-CN"/>
        </w:rPr>
        <w:fldChar w:fldCharType="begin"/>
      </w:r>
      <w:r>
        <w:rPr>
          <w:rFonts w:hint="default" w:ascii="Times New Roman" w:hAnsi="Times New Roman" w:eastAsia="仿宋_GB2312" w:cs="Times New Roman"/>
          <w:b w:val="0"/>
          <w:bCs w:val="0"/>
          <w:color w:val="auto"/>
          <w:sz w:val="32"/>
          <w:szCs w:val="32"/>
          <w:lang w:eastAsia="zh-CN"/>
        </w:rPr>
        <w:instrText xml:space="preserve"> HYPERLINK "http://www.tianqiao.gov.cn/module/xxgk/javascript: d.o(45);" </w:instrText>
      </w:r>
      <w:r>
        <w:rPr>
          <w:rFonts w:hint="default" w:ascii="Times New Roman" w:hAnsi="Times New Roman" w:eastAsia="仿宋_GB2312" w:cs="Times New Roman"/>
          <w:b w:val="0"/>
          <w:bCs w:val="0"/>
          <w:color w:val="auto"/>
          <w:sz w:val="32"/>
          <w:szCs w:val="32"/>
          <w:lang w:eastAsia="zh-CN"/>
        </w:rPr>
        <w:fldChar w:fldCharType="separate"/>
      </w:r>
      <w:r>
        <w:rPr>
          <w:rFonts w:hint="default" w:ascii="Times New Roman" w:hAnsi="Times New Roman" w:eastAsia="仿宋_GB2312" w:cs="Times New Roman"/>
          <w:b w:val="0"/>
          <w:bCs w:val="0"/>
          <w:color w:val="auto"/>
          <w:sz w:val="32"/>
          <w:szCs w:val="32"/>
          <w:lang w:eastAsia="zh-CN"/>
        </w:rPr>
        <w:fldChar w:fldCharType="end"/>
      </w:r>
      <w:r>
        <w:rPr>
          <w:rFonts w:hint="default" w:ascii="Times New Roman" w:hAnsi="Times New Roman" w:eastAsia="仿宋_GB2312" w:cs="Times New Roman"/>
          <w:b w:val="0"/>
          <w:bCs w:val="0"/>
          <w:color w:val="auto"/>
          <w:sz w:val="32"/>
          <w:szCs w:val="32"/>
          <w:lang w:eastAsia="zh-CN"/>
        </w:rPr>
        <w:t>行政执法、</w:t>
      </w:r>
      <w:r>
        <w:rPr>
          <w:rFonts w:hint="default" w:ascii="Times New Roman" w:hAnsi="Times New Roman" w:eastAsia="仿宋_GB2312" w:cs="Times New Roman"/>
          <w:b w:val="0"/>
          <w:bCs w:val="0"/>
          <w:color w:val="auto"/>
          <w:sz w:val="32"/>
          <w:szCs w:val="32"/>
          <w:lang w:eastAsia="zh-CN"/>
        </w:rPr>
        <w:fldChar w:fldCharType="begin"/>
      </w:r>
      <w:r>
        <w:rPr>
          <w:rFonts w:hint="default" w:ascii="Times New Roman" w:hAnsi="Times New Roman" w:eastAsia="仿宋_GB2312" w:cs="Times New Roman"/>
          <w:b w:val="0"/>
          <w:bCs w:val="0"/>
          <w:color w:val="auto"/>
          <w:sz w:val="32"/>
          <w:szCs w:val="32"/>
          <w:lang w:eastAsia="zh-CN"/>
        </w:rPr>
        <w:instrText xml:space="preserve"> HYPERLINK "http://www.tianqiao.gov.cn/module/xxgk/javascript: d.o(46);" </w:instrText>
      </w:r>
      <w:r>
        <w:rPr>
          <w:rFonts w:hint="default" w:ascii="Times New Roman" w:hAnsi="Times New Roman" w:eastAsia="仿宋_GB2312" w:cs="Times New Roman"/>
          <w:b w:val="0"/>
          <w:bCs w:val="0"/>
          <w:color w:val="auto"/>
          <w:sz w:val="32"/>
          <w:szCs w:val="32"/>
          <w:lang w:eastAsia="zh-CN"/>
        </w:rPr>
        <w:fldChar w:fldCharType="separate"/>
      </w:r>
      <w:r>
        <w:rPr>
          <w:rFonts w:hint="default" w:ascii="Times New Roman" w:hAnsi="Times New Roman" w:eastAsia="仿宋_GB2312" w:cs="Times New Roman"/>
          <w:b w:val="0"/>
          <w:bCs w:val="0"/>
          <w:color w:val="auto"/>
          <w:sz w:val="32"/>
          <w:szCs w:val="32"/>
          <w:lang w:eastAsia="zh-CN"/>
        </w:rPr>
        <w:fldChar w:fldCharType="end"/>
      </w:r>
      <w:r>
        <w:rPr>
          <w:rFonts w:hint="default" w:ascii="Times New Roman" w:hAnsi="Times New Roman" w:eastAsia="仿宋_GB2312" w:cs="Times New Roman"/>
          <w:b w:val="0"/>
          <w:bCs w:val="0"/>
          <w:color w:val="auto"/>
          <w:sz w:val="32"/>
          <w:szCs w:val="32"/>
          <w:lang w:eastAsia="zh-CN"/>
        </w:rPr>
        <w:t>“双随机、一公开”监管、</w:t>
      </w:r>
      <w:r>
        <w:rPr>
          <w:rFonts w:hint="default" w:ascii="Times New Roman" w:hAnsi="Times New Roman" w:eastAsia="仿宋_GB2312" w:cs="Times New Roman"/>
          <w:b w:val="0"/>
          <w:bCs w:val="0"/>
          <w:color w:val="auto"/>
          <w:sz w:val="32"/>
          <w:szCs w:val="32"/>
          <w:lang w:eastAsia="zh-CN"/>
        </w:rPr>
        <w:fldChar w:fldCharType="begin"/>
      </w:r>
      <w:r>
        <w:rPr>
          <w:rFonts w:hint="default" w:ascii="Times New Roman" w:hAnsi="Times New Roman" w:eastAsia="仿宋_GB2312" w:cs="Times New Roman"/>
          <w:b w:val="0"/>
          <w:bCs w:val="0"/>
          <w:color w:val="auto"/>
          <w:sz w:val="32"/>
          <w:szCs w:val="32"/>
          <w:lang w:eastAsia="zh-CN"/>
        </w:rPr>
        <w:instrText xml:space="preserve"> HYPERLINK "http://www.tianqiao.gov.cn/module/xxgk/javascript: d.o(47);" </w:instrText>
      </w:r>
      <w:r>
        <w:rPr>
          <w:rFonts w:hint="default" w:ascii="Times New Roman" w:hAnsi="Times New Roman" w:eastAsia="仿宋_GB2312" w:cs="Times New Roman"/>
          <w:b w:val="0"/>
          <w:bCs w:val="0"/>
          <w:color w:val="auto"/>
          <w:sz w:val="32"/>
          <w:szCs w:val="32"/>
          <w:lang w:eastAsia="zh-CN"/>
        </w:rPr>
        <w:fldChar w:fldCharType="separate"/>
      </w:r>
      <w:r>
        <w:rPr>
          <w:rFonts w:hint="default" w:ascii="Times New Roman" w:hAnsi="Times New Roman" w:eastAsia="仿宋_GB2312" w:cs="Times New Roman"/>
          <w:b w:val="0"/>
          <w:bCs w:val="0"/>
          <w:color w:val="auto"/>
          <w:sz w:val="32"/>
          <w:szCs w:val="32"/>
          <w:lang w:eastAsia="zh-CN"/>
        </w:rPr>
        <w:fldChar w:fldCharType="end"/>
      </w:r>
      <w:r>
        <w:rPr>
          <w:rFonts w:hint="default" w:ascii="Times New Roman" w:hAnsi="Times New Roman" w:eastAsia="仿宋_GB2312" w:cs="Times New Roman"/>
          <w:b w:val="0"/>
          <w:bCs w:val="0"/>
          <w:color w:val="auto"/>
          <w:sz w:val="32"/>
          <w:szCs w:val="32"/>
          <w:lang w:eastAsia="zh-CN"/>
        </w:rPr>
        <w:t>重大建设项目、</w:t>
      </w:r>
      <w:r>
        <w:rPr>
          <w:rFonts w:hint="default" w:ascii="Times New Roman" w:hAnsi="Times New Roman" w:eastAsia="仿宋_GB2312" w:cs="Times New Roman"/>
          <w:b w:val="0"/>
          <w:bCs w:val="0"/>
          <w:color w:val="auto"/>
          <w:sz w:val="32"/>
          <w:szCs w:val="32"/>
          <w:lang w:eastAsia="zh-CN"/>
        </w:rPr>
        <w:fldChar w:fldCharType="begin"/>
      </w:r>
      <w:r>
        <w:rPr>
          <w:rFonts w:hint="default" w:ascii="Times New Roman" w:hAnsi="Times New Roman" w:eastAsia="仿宋_GB2312" w:cs="Times New Roman"/>
          <w:b w:val="0"/>
          <w:bCs w:val="0"/>
          <w:color w:val="auto"/>
          <w:sz w:val="32"/>
          <w:szCs w:val="32"/>
          <w:lang w:eastAsia="zh-CN"/>
        </w:rPr>
        <w:instrText xml:space="preserve"> HYPERLINK "http://www.tianqiao.gov.cn/module/xxgk/javascript: d.o(51);" </w:instrText>
      </w:r>
      <w:r>
        <w:rPr>
          <w:rFonts w:hint="default" w:ascii="Times New Roman" w:hAnsi="Times New Roman" w:eastAsia="仿宋_GB2312" w:cs="Times New Roman"/>
          <w:b w:val="0"/>
          <w:bCs w:val="0"/>
          <w:color w:val="auto"/>
          <w:sz w:val="32"/>
          <w:szCs w:val="32"/>
          <w:lang w:eastAsia="zh-CN"/>
        </w:rPr>
        <w:fldChar w:fldCharType="separate"/>
      </w:r>
      <w:r>
        <w:rPr>
          <w:rFonts w:hint="default" w:ascii="Times New Roman" w:hAnsi="Times New Roman" w:eastAsia="仿宋_GB2312" w:cs="Times New Roman"/>
          <w:b w:val="0"/>
          <w:bCs w:val="0"/>
          <w:color w:val="auto"/>
          <w:sz w:val="32"/>
          <w:szCs w:val="32"/>
          <w:lang w:eastAsia="zh-CN"/>
        </w:rPr>
        <w:fldChar w:fldCharType="end"/>
      </w:r>
      <w:r>
        <w:rPr>
          <w:rFonts w:hint="default" w:ascii="Times New Roman" w:hAnsi="Times New Roman" w:eastAsia="仿宋_GB2312" w:cs="Times New Roman"/>
          <w:b w:val="0"/>
          <w:bCs w:val="0"/>
          <w:color w:val="auto"/>
          <w:sz w:val="32"/>
          <w:szCs w:val="32"/>
          <w:lang w:eastAsia="zh-CN"/>
        </w:rPr>
        <w:t>扶贫脱困、</w:t>
      </w:r>
      <w:r>
        <w:rPr>
          <w:rFonts w:hint="default" w:ascii="Times New Roman" w:hAnsi="Times New Roman" w:eastAsia="仿宋_GB2312" w:cs="Times New Roman"/>
          <w:b w:val="0"/>
          <w:bCs w:val="0"/>
          <w:color w:val="auto"/>
          <w:sz w:val="32"/>
          <w:szCs w:val="32"/>
          <w:lang w:eastAsia="zh-CN"/>
        </w:rPr>
        <w:fldChar w:fldCharType="begin"/>
      </w:r>
      <w:r>
        <w:rPr>
          <w:rFonts w:hint="default" w:ascii="Times New Roman" w:hAnsi="Times New Roman" w:eastAsia="仿宋_GB2312" w:cs="Times New Roman"/>
          <w:b w:val="0"/>
          <w:bCs w:val="0"/>
          <w:color w:val="auto"/>
          <w:sz w:val="32"/>
          <w:szCs w:val="32"/>
          <w:lang w:eastAsia="zh-CN"/>
        </w:rPr>
        <w:instrText xml:space="preserve"> HYPERLINK "http://www.tianqiao.gov.cn/module/xxgk/javascript: d.o(58);" </w:instrText>
      </w:r>
      <w:r>
        <w:rPr>
          <w:rFonts w:hint="default" w:ascii="Times New Roman" w:hAnsi="Times New Roman" w:eastAsia="仿宋_GB2312" w:cs="Times New Roman"/>
          <w:b w:val="0"/>
          <w:bCs w:val="0"/>
          <w:color w:val="auto"/>
          <w:sz w:val="32"/>
          <w:szCs w:val="32"/>
          <w:lang w:eastAsia="zh-CN"/>
        </w:rPr>
        <w:fldChar w:fldCharType="separate"/>
      </w:r>
      <w:r>
        <w:rPr>
          <w:rFonts w:hint="default" w:ascii="Times New Roman" w:hAnsi="Times New Roman" w:eastAsia="仿宋_GB2312" w:cs="Times New Roman"/>
          <w:b w:val="0"/>
          <w:bCs w:val="0"/>
          <w:color w:val="auto"/>
          <w:sz w:val="32"/>
          <w:szCs w:val="32"/>
          <w:lang w:eastAsia="zh-CN"/>
        </w:rPr>
        <w:fldChar w:fldCharType="end"/>
      </w:r>
      <w:r>
        <w:rPr>
          <w:rFonts w:hint="default" w:ascii="Times New Roman" w:hAnsi="Times New Roman" w:eastAsia="仿宋_GB2312" w:cs="Times New Roman"/>
          <w:b w:val="0"/>
          <w:bCs w:val="0"/>
          <w:color w:val="auto"/>
          <w:sz w:val="32"/>
          <w:szCs w:val="32"/>
          <w:lang w:eastAsia="zh-CN"/>
        </w:rPr>
        <w:t>环境保护等重点领域，全面加强主动公开力度，扩大公众参与，优化网上服务，增强公开实效。</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firstLine="668" w:firstLineChars="200"/>
        <w:jc w:val="both"/>
        <w:textAlignment w:val="auto"/>
        <w:rPr>
          <w:rFonts w:hint="default" w:ascii="Times New Roman" w:hAnsi="Times New Roman" w:eastAsia="仿宋_GB2312" w:cs="Times New Roman"/>
          <w:b w:val="0"/>
          <w:bCs w:val="0"/>
          <w:i w:val="0"/>
          <w:caps w:val="0"/>
          <w:color w:val="auto"/>
          <w:spacing w:val="8"/>
          <w:sz w:val="32"/>
          <w:szCs w:val="32"/>
          <w:shd w:val="clear" w:fill="FFFFFF"/>
          <w:lang w:val="en-US" w:eastAsia="zh-CN"/>
        </w:rPr>
      </w:pPr>
      <w:r>
        <w:rPr>
          <w:rFonts w:hint="default" w:ascii="Times New Roman" w:hAnsi="Times New Roman" w:eastAsia="仿宋_GB2312" w:cs="Times New Roman"/>
          <w:b w:val="0"/>
          <w:bCs w:val="0"/>
          <w:i w:val="0"/>
          <w:caps w:val="0"/>
          <w:color w:val="auto"/>
          <w:spacing w:val="8"/>
          <w:sz w:val="32"/>
          <w:szCs w:val="32"/>
          <w:shd w:val="clear" w:fill="FFFFFF"/>
          <w:lang w:eastAsia="zh-CN"/>
        </w:rPr>
        <w:drawing>
          <wp:anchor distT="0" distB="0" distL="114300" distR="114300" simplePos="0" relativeHeight="251663360" behindDoc="0" locked="0" layoutInCell="1" allowOverlap="1">
            <wp:simplePos x="0" y="0"/>
            <wp:positionH relativeFrom="column">
              <wp:posOffset>477520</wp:posOffset>
            </wp:positionH>
            <wp:positionV relativeFrom="paragraph">
              <wp:posOffset>81280</wp:posOffset>
            </wp:positionV>
            <wp:extent cx="4572000" cy="2743200"/>
            <wp:effectExtent l="4445" t="4445" r="14605" b="14605"/>
            <wp:wrapTopAndBottom/>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Pr>
          <w:rFonts w:hint="default" w:ascii="Times New Roman" w:hAnsi="Times New Roman" w:eastAsia="仿宋_GB2312" w:cs="Times New Roman"/>
          <w:b w:val="0"/>
          <w:bCs w:val="0"/>
          <w:i w:val="0"/>
          <w:caps w:val="0"/>
          <w:color w:val="auto"/>
          <w:spacing w:val="8"/>
          <w:sz w:val="32"/>
          <w:szCs w:val="32"/>
          <w:shd w:val="clear" w:fill="FFFFFF"/>
          <w:lang w:eastAsia="zh-CN"/>
        </w:rPr>
        <w:t>一是深化重点任务执行信息公开。围绕</w:t>
      </w:r>
      <w:r>
        <w:rPr>
          <w:rFonts w:hint="default" w:ascii="Times New Roman" w:hAnsi="Times New Roman" w:eastAsia="仿宋_GB2312" w:cs="Times New Roman"/>
          <w:b w:val="0"/>
          <w:bCs w:val="0"/>
          <w:i w:val="0"/>
          <w:caps w:val="0"/>
          <w:color w:val="auto"/>
          <w:spacing w:val="8"/>
          <w:sz w:val="32"/>
          <w:szCs w:val="32"/>
          <w:shd w:val="clear" w:fill="FFFFFF"/>
          <w:lang w:val="en-US" w:eastAsia="zh-CN"/>
        </w:rPr>
        <w:t>2020年政府工作报告、区政府年度重点工作任务的贯彻落实情况，由牵头部门发布“</w:t>
      </w:r>
      <w:r>
        <w:rPr>
          <w:rFonts w:hint="default" w:ascii="Times New Roman" w:hAnsi="Times New Roman" w:eastAsia="仿宋_GB2312" w:cs="Times New Roman"/>
          <w:b w:val="0"/>
          <w:bCs w:val="0"/>
          <w:i w:val="0"/>
          <w:caps w:val="0"/>
          <w:color w:val="auto"/>
          <w:spacing w:val="8"/>
          <w:sz w:val="32"/>
          <w:szCs w:val="32"/>
          <w:shd w:val="clear" w:fill="FFFFFF"/>
          <w:lang w:eastAsia="zh-CN"/>
        </w:rPr>
        <w:t>2020年天桥区重大决策事项—《政府工作报告》执行落实情况</w:t>
      </w:r>
      <w:r>
        <w:rPr>
          <w:rFonts w:hint="default" w:ascii="Times New Roman" w:hAnsi="Times New Roman" w:eastAsia="仿宋_GB2312" w:cs="Times New Roman"/>
          <w:b w:val="0"/>
          <w:bCs w:val="0"/>
          <w:i w:val="0"/>
          <w:caps w:val="0"/>
          <w:color w:val="auto"/>
          <w:spacing w:val="8"/>
          <w:sz w:val="32"/>
          <w:szCs w:val="32"/>
          <w:shd w:val="clear" w:fill="FFFFFF"/>
          <w:lang w:val="en-US" w:eastAsia="zh-CN"/>
        </w:rPr>
        <w:t>”，通报政府工作报告工作进展，明确主要任务、牵头单位或责任单位、任务节点及完成情况等信息，公示公开重大决策执行落实情况。</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firstLine="668" w:firstLineChars="200"/>
        <w:jc w:val="both"/>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i w:val="0"/>
          <w:caps w:val="0"/>
          <w:color w:val="auto"/>
          <w:spacing w:val="8"/>
          <w:sz w:val="32"/>
          <w:szCs w:val="32"/>
          <w:shd w:val="clear" w:fill="FFFFFF"/>
          <w:lang w:eastAsia="zh-CN"/>
        </w:rPr>
        <w:drawing>
          <wp:anchor distT="0" distB="0" distL="114300" distR="114300" simplePos="0" relativeHeight="251668480" behindDoc="0" locked="0" layoutInCell="1" allowOverlap="1">
            <wp:simplePos x="0" y="0"/>
            <wp:positionH relativeFrom="column">
              <wp:posOffset>524510</wp:posOffset>
            </wp:positionH>
            <wp:positionV relativeFrom="paragraph">
              <wp:posOffset>143510</wp:posOffset>
            </wp:positionV>
            <wp:extent cx="4319905" cy="2479040"/>
            <wp:effectExtent l="0" t="0" r="4445" b="16510"/>
            <wp:wrapTopAndBottom/>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2"/>
                    <a:stretch>
                      <a:fillRect/>
                    </a:stretch>
                  </pic:blipFill>
                  <pic:spPr>
                    <a:xfrm>
                      <a:off x="0" y="0"/>
                      <a:ext cx="4319905" cy="2479040"/>
                    </a:xfrm>
                    <a:prstGeom prst="rect">
                      <a:avLst/>
                    </a:prstGeom>
                    <a:noFill/>
                    <a:ln>
                      <a:noFill/>
                    </a:ln>
                  </pic:spPr>
                </pic:pic>
              </a:graphicData>
            </a:graphic>
          </wp:anchor>
        </w:drawing>
      </w:r>
      <w:r>
        <w:rPr>
          <w:rFonts w:hint="default" w:ascii="Times New Roman" w:hAnsi="Times New Roman" w:eastAsia="仿宋_GB2312" w:cs="Times New Roman"/>
          <w:b w:val="0"/>
          <w:bCs w:val="0"/>
          <w:i w:val="0"/>
          <w:caps w:val="0"/>
          <w:color w:val="auto"/>
          <w:spacing w:val="8"/>
          <w:sz w:val="32"/>
          <w:szCs w:val="32"/>
          <w:shd w:val="clear" w:fill="FFFFFF"/>
          <w:lang w:eastAsia="zh-CN"/>
        </w:rPr>
        <w:t>二是推进审计信息公开。</w:t>
      </w:r>
      <w:r>
        <w:rPr>
          <w:rFonts w:hint="default" w:ascii="Times New Roman" w:hAnsi="Times New Roman" w:eastAsia="仿宋_GB2312" w:cs="Times New Roman"/>
          <w:b w:val="0"/>
          <w:bCs w:val="0"/>
          <w:color w:val="auto"/>
          <w:sz w:val="32"/>
          <w:szCs w:val="32"/>
          <w:lang w:eastAsia="zh-CN"/>
        </w:rPr>
        <w:t>在专栏及时公开《关于天桥区2019年度本级预算执行和其他财政收支的审计工作报告》《关于天桥区2019年度本级预算执行和其他财政收支审计查出问题整改情况的报告》，并针对精准扶贫等专项审计，发布政策落实及资金管理使用情况跟踪审计情况。</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firstLine="624" w:firstLineChars="300"/>
        <w:jc w:val="both"/>
        <w:textAlignment w:val="auto"/>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cs="Times New Roman"/>
          <w:b w:val="0"/>
          <w:bCs w:val="0"/>
          <w:color w:val="auto"/>
        </w:rPr>
        <w:drawing>
          <wp:anchor distT="0" distB="0" distL="114300" distR="114300" simplePos="0" relativeHeight="251669504" behindDoc="0" locked="0" layoutInCell="1" allowOverlap="1">
            <wp:simplePos x="0" y="0"/>
            <wp:positionH relativeFrom="column">
              <wp:posOffset>686435</wp:posOffset>
            </wp:positionH>
            <wp:positionV relativeFrom="paragraph">
              <wp:posOffset>2011045</wp:posOffset>
            </wp:positionV>
            <wp:extent cx="4319905" cy="1478915"/>
            <wp:effectExtent l="0" t="0" r="4445" b="6985"/>
            <wp:wrapTopAndBottom/>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3"/>
                    <a:stretch>
                      <a:fillRect/>
                    </a:stretch>
                  </pic:blipFill>
                  <pic:spPr>
                    <a:xfrm>
                      <a:off x="0" y="0"/>
                      <a:ext cx="4319905" cy="1478915"/>
                    </a:xfrm>
                    <a:prstGeom prst="rect">
                      <a:avLst/>
                    </a:prstGeom>
                    <a:noFill/>
                    <a:ln>
                      <a:noFill/>
                    </a:ln>
                  </pic:spPr>
                </pic:pic>
              </a:graphicData>
            </a:graphic>
          </wp:anchor>
        </w:drawing>
      </w:r>
      <w:r>
        <w:rPr>
          <w:rFonts w:hint="default" w:ascii="Times New Roman" w:hAnsi="Times New Roman" w:eastAsia="仿宋_GB2312" w:cs="Times New Roman"/>
          <w:b w:val="0"/>
          <w:bCs w:val="0"/>
          <w:i w:val="0"/>
          <w:caps w:val="0"/>
          <w:color w:val="auto"/>
          <w:spacing w:val="8"/>
          <w:kern w:val="2"/>
          <w:sz w:val="32"/>
          <w:szCs w:val="32"/>
          <w:shd w:val="clear" w:fill="FFFFFF"/>
          <w:lang w:val="en-US" w:eastAsia="zh-CN" w:bidi="ar-SA"/>
        </w:rPr>
        <w:drawing>
          <wp:anchor distT="0" distB="0" distL="114300" distR="114300" simplePos="0" relativeHeight="251670528" behindDoc="0" locked="0" layoutInCell="1" allowOverlap="1">
            <wp:simplePos x="0" y="0"/>
            <wp:positionH relativeFrom="column">
              <wp:posOffset>708025</wp:posOffset>
            </wp:positionH>
            <wp:positionV relativeFrom="paragraph">
              <wp:posOffset>209550</wp:posOffset>
            </wp:positionV>
            <wp:extent cx="4319905" cy="1476375"/>
            <wp:effectExtent l="0" t="0" r="4445" b="9525"/>
            <wp:wrapTopAndBottom/>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4"/>
                    <a:stretch>
                      <a:fillRect/>
                    </a:stretch>
                  </pic:blipFill>
                  <pic:spPr>
                    <a:xfrm>
                      <a:off x="0" y="0"/>
                      <a:ext cx="4319905" cy="1476375"/>
                    </a:xfrm>
                    <a:prstGeom prst="rect">
                      <a:avLst/>
                    </a:prstGeom>
                    <a:noFill/>
                    <a:ln>
                      <a:noFill/>
                    </a:ln>
                  </pic:spPr>
                </pic:pic>
              </a:graphicData>
            </a:graphic>
          </wp:anchor>
        </w:drawing>
      </w:r>
      <w:r>
        <w:rPr>
          <w:rFonts w:hint="default" w:ascii="Times New Roman" w:hAnsi="Times New Roman" w:eastAsia="仿宋_GB2312" w:cs="Times New Roman"/>
          <w:b w:val="0"/>
          <w:bCs w:val="0"/>
          <w:i w:val="0"/>
          <w:caps w:val="0"/>
          <w:color w:val="auto"/>
          <w:spacing w:val="8"/>
          <w:sz w:val="32"/>
          <w:szCs w:val="32"/>
          <w:shd w:val="clear" w:fill="FFFFFF"/>
          <w:lang w:eastAsia="zh-CN"/>
        </w:rPr>
        <w:t>三是落实行政执法信息公开。</w:t>
      </w:r>
      <w:r>
        <w:rPr>
          <w:rFonts w:hint="default" w:ascii="Times New Roman" w:hAnsi="Times New Roman" w:eastAsia="仿宋_GB2312" w:cs="Times New Roman"/>
          <w:b w:val="0"/>
          <w:bCs w:val="0"/>
          <w:color w:val="auto"/>
          <w:kern w:val="2"/>
          <w:sz w:val="32"/>
          <w:szCs w:val="32"/>
          <w:lang w:val="en-US" w:eastAsia="zh-CN" w:bidi="ar-SA"/>
        </w:rPr>
        <w:t>坚持依法规范、执法为民、务实高效、改革创新、统筹协调的原则，聚焦行政执法的源头、过程、结果等关键环节，强化事前公开、规范事中公示、加强事后公开，实现执法信息公开透明、执法全过程留痕、执法决定合法有效，切实保障人民群众合法权益，维护政府公信力。组织各行政执法主体发布行政执法权责清单，进一步明确本单位执法职责、执法权限及救济渠道；落实</w:t>
      </w:r>
      <w:r>
        <w:rPr>
          <w:rFonts w:hint="default" w:ascii="Times New Roman" w:hAnsi="Times New Roman" w:eastAsia="仿宋_GB2312" w:cs="Times New Roman"/>
          <w:b w:val="0"/>
          <w:bCs w:val="0"/>
          <w:color w:val="auto"/>
          <w:kern w:val="2"/>
          <w:sz w:val="32"/>
          <w:szCs w:val="32"/>
          <w:lang w:val="en-US" w:eastAsia="zh-CN" w:bidi="ar-SA"/>
        </w:rPr>
        <w:fldChar w:fldCharType="begin"/>
      </w:r>
      <w:r>
        <w:rPr>
          <w:rFonts w:hint="default" w:ascii="Times New Roman" w:hAnsi="Times New Roman" w:eastAsia="仿宋_GB2312" w:cs="Times New Roman"/>
          <w:b w:val="0"/>
          <w:bCs w:val="0"/>
          <w:color w:val="auto"/>
          <w:kern w:val="2"/>
          <w:sz w:val="32"/>
          <w:szCs w:val="32"/>
          <w:lang w:val="en-US" w:eastAsia="zh-CN" w:bidi="ar-SA"/>
        </w:rPr>
        <w:instrText xml:space="preserve"> HYPERLINK "http://www.tianqiao.gov.cn/art/2021/1/26/art_45621_4768377.html?xxgkhide=1" \o "天桥区发改局2020年行政执法数据公开" \t "http://www.tianqiao.gov.cn/col/col45603/_blank" </w:instrText>
      </w:r>
      <w:r>
        <w:rPr>
          <w:rFonts w:hint="default" w:ascii="Times New Roman" w:hAnsi="Times New Roman" w:eastAsia="仿宋_GB2312" w:cs="Times New Roman"/>
          <w:b w:val="0"/>
          <w:bCs w:val="0"/>
          <w:color w:val="auto"/>
          <w:kern w:val="2"/>
          <w:sz w:val="32"/>
          <w:szCs w:val="32"/>
          <w:lang w:val="en-US" w:eastAsia="zh-CN" w:bidi="ar-SA"/>
        </w:rPr>
        <w:fldChar w:fldCharType="separate"/>
      </w:r>
      <w:r>
        <w:rPr>
          <w:rFonts w:hint="default" w:ascii="Times New Roman" w:hAnsi="Times New Roman" w:eastAsia="仿宋_GB2312" w:cs="Times New Roman"/>
          <w:b w:val="0"/>
          <w:bCs w:val="0"/>
          <w:color w:val="auto"/>
          <w:kern w:val="2"/>
          <w:sz w:val="32"/>
          <w:szCs w:val="32"/>
          <w:lang w:val="en-US" w:eastAsia="zh-CN" w:bidi="ar-SA"/>
        </w:rPr>
        <w:t>2020年行政执法数据公开</w:t>
      </w:r>
      <w:r>
        <w:rPr>
          <w:rFonts w:hint="default" w:ascii="Times New Roman" w:hAnsi="Times New Roman" w:eastAsia="仿宋_GB2312" w:cs="Times New Roman"/>
          <w:b w:val="0"/>
          <w:bCs w:val="0"/>
          <w:color w:val="auto"/>
          <w:kern w:val="2"/>
          <w:sz w:val="32"/>
          <w:szCs w:val="32"/>
          <w:lang w:val="en-US" w:eastAsia="zh-CN" w:bidi="ar-SA"/>
        </w:rPr>
        <w:fldChar w:fldCharType="end"/>
      </w:r>
      <w:r>
        <w:rPr>
          <w:rFonts w:hint="default" w:ascii="Times New Roman" w:hAnsi="Times New Roman" w:eastAsia="仿宋_GB2312" w:cs="Times New Roman"/>
          <w:b w:val="0"/>
          <w:bCs w:val="0"/>
          <w:color w:val="auto"/>
          <w:kern w:val="2"/>
          <w:sz w:val="32"/>
          <w:szCs w:val="32"/>
          <w:lang w:val="en-US" w:eastAsia="zh-CN" w:bidi="ar-SA"/>
        </w:rPr>
        <w:t>27条，实现执法信息公开透明。</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firstLine="668" w:firstLineChars="200"/>
        <w:jc w:val="both"/>
        <w:textAlignment w:val="auto"/>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eastAsia="仿宋_GB2312" w:cs="Times New Roman"/>
          <w:b w:val="0"/>
          <w:bCs w:val="0"/>
          <w:i w:val="0"/>
          <w:caps w:val="0"/>
          <w:color w:val="auto"/>
          <w:spacing w:val="8"/>
          <w:kern w:val="2"/>
          <w:sz w:val="32"/>
          <w:szCs w:val="32"/>
          <w:shd w:val="clear" w:fill="FFFFFF"/>
          <w:lang w:val="en-US" w:eastAsia="zh-CN" w:bidi="ar-SA"/>
        </w:rPr>
        <w:t>四是做好疫情防控信息公开。</w:t>
      </w:r>
      <w:r>
        <w:rPr>
          <w:rFonts w:hint="default" w:ascii="Times New Roman" w:hAnsi="Times New Roman" w:eastAsia="仿宋_GB2312" w:cs="Times New Roman"/>
          <w:b w:val="0"/>
          <w:bCs w:val="0"/>
          <w:color w:val="auto"/>
          <w:kern w:val="2"/>
          <w:sz w:val="32"/>
          <w:szCs w:val="32"/>
          <w:lang w:val="en-US" w:eastAsia="zh-CN" w:bidi="ar-SA"/>
        </w:rPr>
        <w:t>全方位解读国家、省、市支持疫情防控保供、企业纾困和复工复产复学等重要决策部署和工作措施，坚持做好新冠肺炎疫情和防控措施信息发布工作，及时发布复工复产、疫情防控相关信息，转发省、市疫情防控工作最新要求，公开《关于实行“两测温、两报告”制度的通告》《关于部分小区建立消毒通道的技术说明》等疫情防控信息，确保各项政策全面落地见效。</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firstLine="668" w:firstLineChars="200"/>
        <w:jc w:val="both"/>
        <w:textAlignment w:val="auto"/>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eastAsia="仿宋_GB2312" w:cs="Times New Roman"/>
          <w:b w:val="0"/>
          <w:bCs w:val="0"/>
          <w:i w:val="0"/>
          <w:caps w:val="0"/>
          <w:color w:val="auto"/>
          <w:spacing w:val="8"/>
          <w:kern w:val="2"/>
          <w:sz w:val="32"/>
          <w:szCs w:val="32"/>
          <w:shd w:val="clear" w:fill="FFFFFF"/>
          <w:lang w:val="en-US" w:eastAsia="zh-CN" w:bidi="ar-SA"/>
        </w:rPr>
        <w:drawing>
          <wp:anchor distT="0" distB="0" distL="114300" distR="114300" simplePos="0" relativeHeight="251672576" behindDoc="0" locked="0" layoutInCell="1" allowOverlap="1">
            <wp:simplePos x="0" y="0"/>
            <wp:positionH relativeFrom="column">
              <wp:posOffset>527685</wp:posOffset>
            </wp:positionH>
            <wp:positionV relativeFrom="paragraph">
              <wp:posOffset>98425</wp:posOffset>
            </wp:positionV>
            <wp:extent cx="4319905" cy="2745740"/>
            <wp:effectExtent l="0" t="0" r="4445" b="16510"/>
            <wp:wrapTopAndBottom/>
            <wp:docPr id="4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1"/>
                    <pic:cNvPicPr>
                      <a:picLocks noChangeAspect="1"/>
                    </pic:cNvPicPr>
                  </pic:nvPicPr>
                  <pic:blipFill>
                    <a:blip r:embed="rId15"/>
                    <a:stretch>
                      <a:fillRect/>
                    </a:stretch>
                  </pic:blipFill>
                  <pic:spPr>
                    <a:xfrm>
                      <a:off x="0" y="0"/>
                      <a:ext cx="4319905" cy="2745740"/>
                    </a:xfrm>
                    <a:prstGeom prst="rect">
                      <a:avLst/>
                    </a:prstGeom>
                    <a:noFill/>
                    <a:ln>
                      <a:noFill/>
                    </a:ln>
                  </pic:spPr>
                </pic:pic>
              </a:graphicData>
            </a:graphic>
          </wp:anchor>
        </w:drawing>
      </w:r>
      <w:r>
        <w:rPr>
          <w:rFonts w:hint="default" w:ascii="Times New Roman" w:hAnsi="Times New Roman" w:eastAsia="仿宋_GB2312" w:cs="Times New Roman"/>
          <w:b w:val="0"/>
          <w:bCs w:val="0"/>
          <w:i w:val="0"/>
          <w:caps w:val="0"/>
          <w:color w:val="auto"/>
          <w:spacing w:val="8"/>
          <w:kern w:val="2"/>
          <w:sz w:val="32"/>
          <w:szCs w:val="32"/>
          <w:shd w:val="clear" w:fill="FFFFFF"/>
          <w:lang w:val="en-US" w:eastAsia="zh-CN" w:bidi="ar-SA"/>
        </w:rPr>
        <w:t>五是强化重点民生领域信息公开。</w:t>
      </w:r>
      <w:r>
        <w:rPr>
          <w:rFonts w:hint="default" w:ascii="Times New Roman" w:hAnsi="Times New Roman" w:eastAsia="仿宋_GB2312" w:cs="Times New Roman"/>
          <w:b w:val="0"/>
          <w:bCs w:val="0"/>
          <w:color w:val="auto"/>
          <w:kern w:val="2"/>
          <w:sz w:val="32"/>
          <w:szCs w:val="32"/>
          <w:lang w:val="en-US" w:eastAsia="zh-CN" w:bidi="ar-SA"/>
        </w:rPr>
        <w:t>突出做好就业、教育、医疗、养老、社会保障等领域的信息公开工作，发布“双随机、一公开”监管方面信息20条、重大建设项目方面信息62条、公共资源配置方面信息3条、价格与收费方面信息28条、市场监管方面信息12条、扶贫脱困方面信息64条、社会福利方面信息16条、社会保险方面信息12条、就业创业方面信息104条、教育信息方面信息2条、医疗卫生方面信息11条、环境保护方面信息27条、“河长制”工作方面信息12条、灾害事故救援方面信息4条、公共文化体育方面信息20条、国资国企信息方面信息13条、应急管理方面信息12条、公共企事业单位方面信息3条，</w:t>
      </w:r>
      <w:r>
        <w:rPr>
          <w:rFonts w:hint="default" w:ascii="Times New Roman" w:hAnsi="Times New Roman" w:eastAsia="仿宋_GB2312" w:cs="Times New Roman"/>
          <w:b w:val="0"/>
          <w:bCs w:val="0"/>
          <w:i w:val="0"/>
          <w:caps w:val="0"/>
          <w:color w:val="auto"/>
          <w:spacing w:val="0"/>
          <w:sz w:val="32"/>
          <w:szCs w:val="32"/>
          <w:shd w:val="clear" w:fill="FFFFFF"/>
        </w:rPr>
        <w:t>确保为民解忧，实事利民。</w:t>
      </w:r>
    </w:p>
    <w:p>
      <w:pPr>
        <w:keepNext w:val="0"/>
        <w:keepLines w:val="0"/>
        <w:pageBreakBefore w:val="0"/>
        <w:widowControl w:val="0"/>
        <w:kinsoku/>
        <w:wordWrap/>
        <w:overflowPunct/>
        <w:topLinePunct w:val="0"/>
        <w:autoSpaceDE/>
        <w:autoSpaceDN/>
        <w:bidi w:val="0"/>
        <w:adjustRightInd/>
        <w:snapToGrid/>
        <w:spacing w:line="590" w:lineRule="exact"/>
        <w:ind w:firstLine="636" w:firstLineChars="200"/>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lang w:eastAsia="zh-CN"/>
        </w:rPr>
        <w:t>六是推进网上政务服务公开。2020年疫情发生以来，全程网办成为大势所趋，天桥区按照“手续更简，环节更少，成本更低，效率更高”的原则，构建企业网上申报、部门网上审批、证章和税控设备免费寄递“零见面”的企业开办服务新流程，并且持续加大宣传力度，全程网办率大大提升，全程网办率达到86.87%。按照要求规范梳理标准化政务服务事项351项，形成统一的政务服务事项标准化清单，全年政务服务事项办理1032130件，办理满意度100%，新登记市场主体29327户，市场主体总量居全市第一，激发市场活力成效显著。</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36" w:firstLineChars="200"/>
        <w:textAlignment w:val="auto"/>
        <w:rPr>
          <w:rFonts w:hint="default" w:ascii="Times New Roman" w:hAnsi="Times New Roman" w:eastAsia="楷体_GB2312" w:cs="Times New Roman"/>
          <w:b w:val="0"/>
          <w:bCs w:val="0"/>
          <w:color w:val="auto"/>
          <w:sz w:val="32"/>
          <w:szCs w:val="32"/>
          <w:lang w:val="en-US" w:eastAsia="zh-CN"/>
        </w:rPr>
      </w:pPr>
      <w:r>
        <w:rPr>
          <w:rFonts w:hint="default" w:ascii="Times New Roman" w:hAnsi="Times New Roman" w:eastAsia="楷体_GB2312" w:cs="Times New Roman"/>
          <w:b w:val="0"/>
          <w:bCs w:val="0"/>
          <w:color w:val="auto"/>
          <w:sz w:val="32"/>
          <w:szCs w:val="32"/>
          <w:lang w:val="en-US" w:eastAsia="zh-CN"/>
        </w:rPr>
        <w:t>（三）深化解读回应，信息公开实效持续提升</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36" w:firstLineChars="200"/>
        <w:textAlignment w:val="auto"/>
        <w:rPr>
          <w:rFonts w:hint="default" w:ascii="Times New Roman" w:hAnsi="Times New Roman" w:eastAsia="仿宋_GB2312" w:cs="Times New Roman"/>
          <w:b/>
          <w:bCs/>
          <w:color w:val="auto"/>
          <w:sz w:val="32"/>
          <w:szCs w:val="32"/>
          <w:lang w:eastAsia="zh-CN"/>
        </w:rPr>
      </w:pPr>
      <w:r>
        <w:rPr>
          <w:rFonts w:hint="default" w:ascii="Times New Roman" w:hAnsi="Times New Roman" w:eastAsia="仿宋_GB2312" w:cs="Times New Roman"/>
          <w:b w:val="0"/>
          <w:bCs w:val="0"/>
          <w:color w:val="auto"/>
          <w:sz w:val="32"/>
          <w:szCs w:val="32"/>
          <w:lang w:val="en-US" w:eastAsia="zh-CN"/>
        </w:rPr>
        <w:t>1、着力强化公开效能</w:t>
      </w:r>
      <w:r>
        <w:rPr>
          <w:rFonts w:hint="default" w:ascii="Times New Roman" w:hAnsi="Times New Roman" w:eastAsia="仿宋_GB2312" w:cs="Times New Roman"/>
          <w:b w:val="0"/>
          <w:bCs w:val="0"/>
          <w:color w:val="auto"/>
          <w:sz w:val="32"/>
          <w:szCs w:val="32"/>
          <w:lang w:eastAsia="zh-CN"/>
        </w:rPr>
        <w:t>。按照“公开为原则，不公开为例外”的要求，组织区政府各部门、各街道办事处更新门户网站中政府信息公开工作指南、机构职能等板块内容，编制信息公开目录，充实、维护本单位政府信</w:t>
      </w:r>
      <w:r>
        <w:rPr>
          <w:rFonts w:hint="default" w:ascii="Times New Roman" w:hAnsi="Times New Roman" w:eastAsia="仿宋_GB2312" w:cs="Times New Roman"/>
          <w:b w:val="0"/>
          <w:bCs w:val="0"/>
          <w:color w:val="auto"/>
          <w:sz w:val="32"/>
          <w:szCs w:val="32"/>
          <w:lang w:val="en-US" w:eastAsia="zh-CN"/>
        </w:rPr>
        <w:t>息。贯彻执行区政府门户网站信息发布审校机制，</w:t>
      </w:r>
      <w:r>
        <w:rPr>
          <w:rFonts w:hint="default" w:ascii="Times New Roman" w:hAnsi="Times New Roman" w:eastAsia="仿宋_GB2312" w:cs="Times New Roman"/>
          <w:b w:val="0"/>
          <w:bCs w:val="0"/>
          <w:color w:val="auto"/>
          <w:sz w:val="32"/>
          <w:szCs w:val="32"/>
          <w:lang w:eastAsia="zh-CN"/>
        </w:rPr>
        <w:t>明确公开范围与公开形式，严格按照程序公开重点业务信息，加强对制发文件、信息的审核把关，全年审核网站信息采用量8895条。</w:t>
      </w:r>
      <w:r>
        <w:rPr>
          <w:rFonts w:hint="default" w:ascii="Times New Roman" w:hAnsi="Times New Roman" w:eastAsia="仿宋_GB2312" w:cs="Times New Roman"/>
          <w:b w:val="0"/>
          <w:bCs w:val="0"/>
          <w:color w:val="auto"/>
          <w:sz w:val="32"/>
          <w:szCs w:val="32"/>
          <w:lang w:val="en-US" w:eastAsia="zh-CN"/>
        </w:rPr>
        <w:t>按照上级部署，</w:t>
      </w:r>
      <w:r>
        <w:rPr>
          <w:rFonts w:hint="default" w:ascii="Times New Roman" w:hAnsi="Times New Roman" w:eastAsia="仿宋_GB2312" w:cs="Times New Roman"/>
          <w:b w:val="0"/>
          <w:bCs w:val="0"/>
          <w:color w:val="auto"/>
          <w:kern w:val="0"/>
          <w:sz w:val="32"/>
          <w:szCs w:val="32"/>
        </w:rPr>
        <w:t>聚焦权力运行的关键环节、关键岗位，对照国务院部门制定</w:t>
      </w:r>
      <w:r>
        <w:rPr>
          <w:rFonts w:hint="default" w:ascii="Times New Roman" w:hAnsi="Times New Roman" w:eastAsia="仿宋_GB2312" w:cs="Times New Roman"/>
          <w:color w:val="auto"/>
          <w:kern w:val="0"/>
          <w:sz w:val="32"/>
          <w:szCs w:val="32"/>
        </w:rPr>
        <w:t>的</w:t>
      </w:r>
      <w:r>
        <w:rPr>
          <w:rFonts w:hint="default" w:ascii="Times New Roman" w:hAnsi="Times New Roman" w:eastAsia="仿宋_GB2312" w:cs="Times New Roman"/>
          <w:b w:val="0"/>
          <w:bCs w:val="0"/>
          <w:color w:val="auto"/>
          <w:sz w:val="32"/>
          <w:szCs w:val="32"/>
        </w:rPr>
        <w:t>重大建设项目、公共资源交易、义务教育</w:t>
      </w:r>
      <w:r>
        <w:rPr>
          <w:rFonts w:hint="default" w:ascii="Times New Roman" w:hAnsi="Times New Roman" w:eastAsia="仿宋_GB2312" w:cs="Times New Roman"/>
          <w:b w:val="0"/>
          <w:bCs w:val="0"/>
          <w:color w:val="auto"/>
          <w:sz w:val="32"/>
          <w:szCs w:val="32"/>
          <w:lang w:eastAsia="zh-CN"/>
        </w:rPr>
        <w:t>等</w:t>
      </w:r>
      <w:r>
        <w:rPr>
          <w:rFonts w:hint="default" w:ascii="Times New Roman" w:hAnsi="Times New Roman" w:eastAsia="仿宋_GB2312" w:cs="Times New Roman"/>
          <w:color w:val="auto"/>
          <w:kern w:val="0"/>
          <w:sz w:val="32"/>
          <w:szCs w:val="32"/>
        </w:rPr>
        <w:t>26个试点领域标准指引，结合本级政府权责清单和公共服务事项清单，</w:t>
      </w:r>
      <w:r>
        <w:rPr>
          <w:rFonts w:hint="default" w:ascii="Times New Roman" w:hAnsi="Times New Roman" w:eastAsia="仿宋_GB2312" w:cs="Times New Roman"/>
          <w:b w:val="0"/>
          <w:bCs w:val="0"/>
          <w:color w:val="auto"/>
          <w:sz w:val="32"/>
          <w:szCs w:val="32"/>
          <w:lang w:val="en-US" w:eastAsia="zh-CN"/>
        </w:rPr>
        <w:t>组织编制并主动公开区级和街镇级政务公开标准化清单,切实做好政务公开标准化规范化建设工作。</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cs="Times New Roman"/>
          <w:b w:val="0"/>
          <w:bCs w:val="0"/>
          <w:color w:val="auto"/>
        </w:rPr>
        <w:drawing>
          <wp:anchor distT="0" distB="0" distL="114300" distR="114300" simplePos="0" relativeHeight="251675648" behindDoc="0" locked="0" layoutInCell="1" allowOverlap="1">
            <wp:simplePos x="0" y="0"/>
            <wp:positionH relativeFrom="column">
              <wp:posOffset>373380</wp:posOffset>
            </wp:positionH>
            <wp:positionV relativeFrom="paragraph">
              <wp:posOffset>229870</wp:posOffset>
            </wp:positionV>
            <wp:extent cx="4319905" cy="2836545"/>
            <wp:effectExtent l="0" t="0" r="4445" b="1905"/>
            <wp:wrapTopAndBottom/>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16"/>
                    <a:srcRect t="10660"/>
                    <a:stretch>
                      <a:fillRect/>
                    </a:stretch>
                  </pic:blipFill>
                  <pic:spPr>
                    <a:xfrm>
                      <a:off x="0" y="0"/>
                      <a:ext cx="4319905" cy="2836545"/>
                    </a:xfrm>
                    <a:prstGeom prst="rect">
                      <a:avLst/>
                    </a:prstGeom>
                    <a:noFill/>
                    <a:ln>
                      <a:noFill/>
                    </a:ln>
                  </pic:spPr>
                </pic:pic>
              </a:graphicData>
            </a:graphic>
          </wp:anchor>
        </w:drawing>
      </w:r>
      <w:r>
        <w:rPr>
          <w:rFonts w:hint="default" w:ascii="Times New Roman" w:hAnsi="Times New Roman" w:cs="Times New Roman"/>
          <w:color w:val="auto"/>
        </w:rPr>
        <w:drawing>
          <wp:anchor distT="0" distB="0" distL="114300" distR="114300" simplePos="0" relativeHeight="251673600" behindDoc="0" locked="0" layoutInCell="1" allowOverlap="1">
            <wp:simplePos x="0" y="0"/>
            <wp:positionH relativeFrom="column">
              <wp:posOffset>361315</wp:posOffset>
            </wp:positionH>
            <wp:positionV relativeFrom="paragraph">
              <wp:posOffset>3539490</wp:posOffset>
            </wp:positionV>
            <wp:extent cx="4319905" cy="2712720"/>
            <wp:effectExtent l="0" t="0" r="4445" b="11430"/>
            <wp:wrapTopAndBottom/>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7"/>
                    <a:srcRect t="7572"/>
                    <a:stretch>
                      <a:fillRect/>
                    </a:stretch>
                  </pic:blipFill>
                  <pic:spPr>
                    <a:xfrm>
                      <a:off x="0" y="0"/>
                      <a:ext cx="4319905" cy="271272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cs="Times New Roman"/>
          <w:color w:val="auto"/>
        </w:rPr>
        <w:drawing>
          <wp:anchor distT="0" distB="0" distL="114300" distR="114300" simplePos="0" relativeHeight="251674624" behindDoc="0" locked="0" layoutInCell="1" allowOverlap="1">
            <wp:simplePos x="0" y="0"/>
            <wp:positionH relativeFrom="column">
              <wp:posOffset>443865</wp:posOffset>
            </wp:positionH>
            <wp:positionV relativeFrom="paragraph">
              <wp:posOffset>226695</wp:posOffset>
            </wp:positionV>
            <wp:extent cx="4319905" cy="2592705"/>
            <wp:effectExtent l="0" t="0" r="4445" b="17145"/>
            <wp:wrapTopAndBottom/>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18"/>
                    <a:stretch>
                      <a:fillRect/>
                    </a:stretch>
                  </pic:blipFill>
                  <pic:spPr>
                    <a:xfrm>
                      <a:off x="0" y="0"/>
                      <a:ext cx="4319905" cy="2592705"/>
                    </a:xfrm>
                    <a:prstGeom prst="rect">
                      <a:avLst/>
                    </a:prstGeom>
                    <a:noFill/>
                    <a:ln>
                      <a:noFill/>
                    </a:ln>
                  </pic:spPr>
                </pic:pic>
              </a:graphicData>
            </a:graphic>
          </wp:anchor>
        </w:drawing>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90" w:lineRule="exact"/>
        <w:ind w:firstLine="636" w:firstLineChars="200"/>
        <w:jc w:val="both"/>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val="en-US" w:eastAsia="zh-CN"/>
        </w:rPr>
        <w:t>2、着力开展互动交流。</w:t>
      </w:r>
      <w:r>
        <w:rPr>
          <w:rFonts w:hint="default" w:ascii="Times New Roman" w:hAnsi="Times New Roman" w:eastAsia="仿宋_GB2312" w:cs="Times New Roman"/>
          <w:b w:val="0"/>
          <w:bCs w:val="0"/>
          <w:color w:val="auto"/>
          <w:sz w:val="32"/>
          <w:szCs w:val="32"/>
        </w:rPr>
        <w:t>加强舆论引导，全面阐释</w:t>
      </w:r>
      <w:r>
        <w:rPr>
          <w:rFonts w:hint="default" w:ascii="Times New Roman" w:hAnsi="Times New Roman" w:eastAsia="仿宋_GB2312" w:cs="Times New Roman"/>
          <w:b w:val="0"/>
          <w:bCs w:val="0"/>
          <w:color w:val="auto"/>
          <w:sz w:val="32"/>
          <w:szCs w:val="32"/>
          <w:lang w:eastAsia="zh-CN"/>
        </w:rPr>
        <w:t>“六稳”工作各项</w:t>
      </w:r>
      <w:r>
        <w:rPr>
          <w:rFonts w:hint="default" w:ascii="Times New Roman" w:hAnsi="Times New Roman" w:eastAsia="仿宋_GB2312" w:cs="Times New Roman"/>
          <w:b w:val="0"/>
          <w:bCs w:val="0"/>
          <w:color w:val="auto"/>
          <w:sz w:val="32"/>
          <w:szCs w:val="32"/>
        </w:rPr>
        <w:t>政策举措及其效果，主动回应经济社会热点问题。实时发布“六保”</w:t>
      </w:r>
      <w:r>
        <w:rPr>
          <w:rFonts w:hint="default" w:ascii="Times New Roman" w:hAnsi="Times New Roman" w:eastAsia="仿宋_GB2312" w:cs="Times New Roman"/>
          <w:b w:val="0"/>
          <w:bCs w:val="0"/>
          <w:color w:val="auto"/>
          <w:sz w:val="32"/>
          <w:szCs w:val="32"/>
          <w:lang w:eastAsia="zh-CN"/>
        </w:rPr>
        <w:t>任务</w:t>
      </w:r>
      <w:r>
        <w:rPr>
          <w:rFonts w:hint="default" w:ascii="Times New Roman" w:hAnsi="Times New Roman" w:eastAsia="仿宋_GB2312" w:cs="Times New Roman"/>
          <w:b w:val="0"/>
          <w:bCs w:val="0"/>
          <w:color w:val="auto"/>
          <w:sz w:val="32"/>
          <w:szCs w:val="32"/>
        </w:rPr>
        <w:t>等社会民生政策信息</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为实现经济社会发展目标任务营造良好舆论环境。</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90" w:lineRule="exact"/>
        <w:ind w:firstLine="636" w:firstLineChars="200"/>
        <w:jc w:val="both"/>
        <w:textAlignment w:val="auto"/>
        <w:rPr>
          <w:rFonts w:hint="default" w:ascii="Times New Roman" w:hAnsi="Times New Roman" w:eastAsia="仿宋_GB2312" w:cs="Times New Roman"/>
          <w:b w:val="0"/>
          <w:bCs w:val="0"/>
          <w:color w:val="auto"/>
          <w:sz w:val="32"/>
          <w:szCs w:val="32"/>
          <w:shd w:val="clear" w:color="auto" w:fill="FFFFFF"/>
        </w:rPr>
      </w:pPr>
      <w:r>
        <w:rPr>
          <w:rFonts w:hint="default" w:ascii="Times New Roman" w:hAnsi="Times New Roman" w:eastAsia="仿宋_GB2312" w:cs="Times New Roman"/>
          <w:b w:val="0"/>
          <w:bCs w:val="0"/>
          <w:color w:val="auto"/>
          <w:sz w:val="32"/>
          <w:szCs w:val="32"/>
          <w:lang w:eastAsia="zh-CN"/>
        </w:rPr>
        <w:t>一是做好</w:t>
      </w:r>
      <w:r>
        <w:rPr>
          <w:rFonts w:hint="default" w:ascii="Times New Roman" w:hAnsi="Times New Roman" w:eastAsia="仿宋_GB2312" w:cs="Times New Roman"/>
          <w:b w:val="0"/>
          <w:bCs w:val="0"/>
          <w:color w:val="auto"/>
          <w:sz w:val="32"/>
          <w:szCs w:val="32"/>
          <w:shd w:val="clear" w:color="auto" w:fill="FFFFFF"/>
        </w:rPr>
        <w:t>政策解读</w:t>
      </w:r>
      <w:r>
        <w:rPr>
          <w:rFonts w:hint="default" w:ascii="Times New Roman" w:hAnsi="Times New Roman" w:eastAsia="仿宋_GB2312" w:cs="Times New Roman"/>
          <w:b w:val="0"/>
          <w:bCs w:val="0"/>
          <w:color w:val="auto"/>
          <w:sz w:val="32"/>
          <w:szCs w:val="32"/>
          <w:shd w:val="clear" w:color="auto" w:fill="FFFFFF"/>
          <w:lang w:eastAsia="zh-CN"/>
        </w:rPr>
        <w:t>工作</w:t>
      </w:r>
      <w:r>
        <w:rPr>
          <w:rFonts w:hint="default" w:ascii="Times New Roman" w:hAnsi="Times New Roman" w:eastAsia="仿宋_GB2312" w:cs="Times New Roman"/>
          <w:b w:val="0"/>
          <w:bCs w:val="0"/>
          <w:color w:val="auto"/>
          <w:sz w:val="32"/>
          <w:szCs w:val="32"/>
          <w:shd w:val="clear" w:color="auto" w:fill="FFFFFF"/>
        </w:rPr>
        <w:t>。</w:t>
      </w:r>
      <w:r>
        <w:rPr>
          <w:rFonts w:hint="default" w:ascii="Times New Roman" w:hAnsi="Times New Roman" w:eastAsia="仿宋_GB2312" w:cs="Times New Roman"/>
          <w:b w:val="0"/>
          <w:bCs w:val="0"/>
          <w:color w:val="auto"/>
          <w:kern w:val="0"/>
          <w:sz w:val="32"/>
          <w:szCs w:val="32"/>
        </w:rPr>
        <w:t>按照“谁起草谁解读”的原则，坚持政策性文件与解读方案、解读材料同步组织、同步审签、同步部署</w:t>
      </w:r>
      <w:r>
        <w:rPr>
          <w:rFonts w:hint="default" w:ascii="Times New Roman" w:hAnsi="Times New Roman" w:eastAsia="仿宋_GB2312" w:cs="Times New Roman"/>
          <w:b w:val="0"/>
          <w:bCs w:val="0"/>
          <w:color w:val="auto"/>
          <w:kern w:val="0"/>
          <w:sz w:val="32"/>
          <w:szCs w:val="32"/>
          <w:lang w:val="en-US" w:eastAsia="zh-CN"/>
        </w:rPr>
        <w:t>,</w:t>
      </w:r>
      <w:r>
        <w:rPr>
          <w:rFonts w:hint="default" w:ascii="Times New Roman" w:hAnsi="Times New Roman" w:eastAsia="仿宋_GB2312" w:cs="Times New Roman"/>
          <w:b w:val="0"/>
          <w:bCs w:val="0"/>
          <w:color w:val="auto"/>
          <w:sz w:val="32"/>
          <w:szCs w:val="32"/>
          <w:lang w:eastAsia="zh-CN"/>
        </w:rPr>
        <w:t>设置</w:t>
      </w:r>
      <w:r>
        <w:rPr>
          <w:rFonts w:hint="default" w:ascii="Times New Roman" w:hAnsi="Times New Roman" w:eastAsia="仿宋_GB2312" w:cs="Times New Roman"/>
          <w:b w:val="0"/>
          <w:bCs w:val="0"/>
          <w:color w:val="auto"/>
          <w:sz w:val="32"/>
          <w:szCs w:val="32"/>
        </w:rPr>
        <w:t>政策解读栏目，集中做好重要政策的发布和解读工作。</w:t>
      </w:r>
      <w:r>
        <w:rPr>
          <w:rFonts w:hint="default" w:ascii="Times New Roman" w:hAnsi="Times New Roman" w:eastAsia="仿宋_GB2312" w:cs="Times New Roman"/>
          <w:b w:val="0"/>
          <w:bCs w:val="0"/>
          <w:color w:val="auto"/>
          <w:sz w:val="32"/>
          <w:szCs w:val="32"/>
          <w:lang w:eastAsia="zh-CN"/>
        </w:rPr>
        <w:t>直面群众关切问题，</w:t>
      </w:r>
      <w:r>
        <w:rPr>
          <w:rFonts w:hint="default" w:ascii="Times New Roman" w:hAnsi="Times New Roman" w:eastAsia="仿宋_GB2312" w:cs="Times New Roman"/>
          <w:b w:val="0"/>
          <w:bCs w:val="0"/>
          <w:color w:val="auto"/>
          <w:sz w:val="32"/>
          <w:szCs w:val="32"/>
        </w:rPr>
        <w:t>重点解读政策措施的背景依据、目标任务、主要内容、涉及范围、执行口径等</w:t>
      </w:r>
      <w:r>
        <w:rPr>
          <w:rFonts w:hint="default" w:ascii="Times New Roman" w:hAnsi="Times New Roman" w:eastAsia="仿宋_GB2312" w:cs="Times New Roman"/>
          <w:b w:val="0"/>
          <w:bCs w:val="0"/>
          <w:color w:val="auto"/>
          <w:sz w:val="32"/>
          <w:szCs w:val="32"/>
          <w:lang w:eastAsia="zh-CN"/>
        </w:rPr>
        <w:t>内容，</w:t>
      </w:r>
      <w:r>
        <w:rPr>
          <w:rFonts w:hint="default" w:ascii="Times New Roman" w:hAnsi="Times New Roman" w:eastAsia="仿宋_GB2312" w:cs="Times New Roman"/>
          <w:b w:val="0"/>
          <w:bCs w:val="0"/>
          <w:color w:val="auto"/>
          <w:sz w:val="32"/>
          <w:szCs w:val="32"/>
        </w:rPr>
        <w:t>运用</w:t>
      </w:r>
      <w:r>
        <w:rPr>
          <w:rFonts w:hint="default" w:ascii="Times New Roman" w:hAnsi="Times New Roman" w:eastAsia="仿宋_GB2312" w:cs="Times New Roman"/>
          <w:b w:val="0"/>
          <w:bCs w:val="0"/>
          <w:color w:val="auto"/>
          <w:sz w:val="32"/>
          <w:szCs w:val="32"/>
          <w:lang w:eastAsia="zh-CN"/>
        </w:rPr>
        <w:t>文字</w:t>
      </w:r>
      <w:r>
        <w:rPr>
          <w:rFonts w:hint="default" w:ascii="Times New Roman" w:hAnsi="Times New Roman" w:eastAsia="仿宋_GB2312" w:cs="Times New Roman"/>
          <w:b w:val="0"/>
          <w:bCs w:val="0"/>
          <w:color w:val="auto"/>
          <w:sz w:val="32"/>
          <w:szCs w:val="32"/>
        </w:rPr>
        <w:t>、图文</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媒体解读</w:t>
      </w:r>
      <w:r>
        <w:rPr>
          <w:rFonts w:hint="default" w:ascii="Times New Roman" w:hAnsi="Times New Roman" w:eastAsia="仿宋_GB2312" w:cs="Times New Roman"/>
          <w:b w:val="0"/>
          <w:bCs w:val="0"/>
          <w:color w:val="auto"/>
          <w:sz w:val="32"/>
          <w:szCs w:val="32"/>
          <w:lang w:eastAsia="zh-CN"/>
        </w:rPr>
        <w:t>等</w:t>
      </w:r>
      <w:r>
        <w:rPr>
          <w:rFonts w:hint="default" w:ascii="Times New Roman" w:hAnsi="Times New Roman" w:eastAsia="仿宋_GB2312" w:cs="Times New Roman"/>
          <w:b w:val="0"/>
          <w:bCs w:val="0"/>
          <w:color w:val="auto"/>
          <w:sz w:val="32"/>
          <w:szCs w:val="32"/>
        </w:rPr>
        <w:t>方式综合解读重要政策</w:t>
      </w:r>
      <w:r>
        <w:rPr>
          <w:rFonts w:hint="default" w:ascii="Times New Roman" w:hAnsi="Times New Roman" w:eastAsia="仿宋_GB2312" w:cs="Times New Roman"/>
          <w:b w:val="0"/>
          <w:bCs w:val="0"/>
          <w:color w:val="auto"/>
          <w:sz w:val="32"/>
          <w:szCs w:val="32"/>
          <w:lang w:eastAsia="zh-CN"/>
        </w:rPr>
        <w:t>和重要会议</w:t>
      </w:r>
      <w:r>
        <w:rPr>
          <w:rFonts w:hint="default" w:ascii="Times New Roman" w:hAnsi="Times New Roman" w:eastAsia="仿宋_GB2312" w:cs="Times New Roman"/>
          <w:b w:val="0"/>
          <w:bCs w:val="0"/>
          <w:color w:val="auto"/>
          <w:sz w:val="32"/>
          <w:szCs w:val="32"/>
        </w:rPr>
        <w:t>，不断提升政务公开工作实效。</w:t>
      </w:r>
      <w:r>
        <w:rPr>
          <w:rFonts w:hint="default" w:ascii="Times New Roman" w:hAnsi="Times New Roman" w:eastAsia="仿宋_GB2312" w:cs="Times New Roman"/>
          <w:b w:val="0"/>
          <w:bCs w:val="0"/>
          <w:color w:val="auto"/>
          <w:sz w:val="32"/>
          <w:szCs w:val="32"/>
          <w:shd w:val="clear" w:color="auto" w:fill="FFFFFF"/>
          <w:lang w:val="en-US" w:eastAsia="zh-CN"/>
        </w:rPr>
        <w:t>2020</w:t>
      </w:r>
      <w:r>
        <w:rPr>
          <w:rFonts w:hint="default" w:ascii="Times New Roman" w:hAnsi="Times New Roman" w:eastAsia="仿宋_GB2312" w:cs="Times New Roman"/>
          <w:b w:val="0"/>
          <w:bCs w:val="0"/>
          <w:color w:val="auto"/>
          <w:sz w:val="32"/>
          <w:szCs w:val="32"/>
          <w:shd w:val="clear" w:color="auto" w:fill="FFFFFF"/>
        </w:rPr>
        <w:t>年共发布政策解读信息</w:t>
      </w:r>
      <w:r>
        <w:rPr>
          <w:rFonts w:hint="default" w:ascii="Times New Roman" w:hAnsi="Times New Roman" w:eastAsia="仿宋_GB2312" w:cs="Times New Roman"/>
          <w:b w:val="0"/>
          <w:bCs w:val="0"/>
          <w:color w:val="auto"/>
          <w:sz w:val="32"/>
          <w:szCs w:val="32"/>
          <w:shd w:val="clear" w:color="auto" w:fill="FFFFFF"/>
          <w:lang w:val="en-US" w:eastAsia="zh-CN"/>
        </w:rPr>
        <w:t>49</w:t>
      </w:r>
      <w:r>
        <w:rPr>
          <w:rFonts w:hint="default" w:ascii="Times New Roman" w:hAnsi="Times New Roman" w:eastAsia="仿宋_GB2312" w:cs="Times New Roman"/>
          <w:b w:val="0"/>
          <w:bCs w:val="0"/>
          <w:color w:val="auto"/>
          <w:sz w:val="32"/>
          <w:szCs w:val="32"/>
          <w:shd w:val="clear" w:color="auto" w:fill="FFFFFF"/>
        </w:rPr>
        <w:t>条，其中文字解读</w:t>
      </w:r>
      <w:r>
        <w:rPr>
          <w:rFonts w:hint="default" w:ascii="Times New Roman" w:hAnsi="Times New Roman" w:eastAsia="仿宋_GB2312" w:cs="Times New Roman"/>
          <w:b w:val="0"/>
          <w:bCs w:val="0"/>
          <w:color w:val="auto"/>
          <w:sz w:val="32"/>
          <w:szCs w:val="32"/>
          <w:shd w:val="clear" w:color="auto" w:fill="FFFFFF"/>
          <w:lang w:val="en-US" w:eastAsia="zh-CN"/>
        </w:rPr>
        <w:t>44</w:t>
      </w:r>
      <w:r>
        <w:rPr>
          <w:rFonts w:hint="default" w:ascii="Times New Roman" w:hAnsi="Times New Roman" w:eastAsia="仿宋_GB2312" w:cs="Times New Roman"/>
          <w:b w:val="0"/>
          <w:bCs w:val="0"/>
          <w:color w:val="auto"/>
          <w:sz w:val="32"/>
          <w:szCs w:val="32"/>
          <w:shd w:val="clear" w:color="auto" w:fill="FFFFFF"/>
        </w:rPr>
        <w:t>条、领导干部解读</w:t>
      </w:r>
      <w:r>
        <w:rPr>
          <w:rFonts w:hint="default" w:ascii="Times New Roman" w:hAnsi="Times New Roman" w:eastAsia="仿宋_GB2312" w:cs="Times New Roman"/>
          <w:b w:val="0"/>
          <w:bCs w:val="0"/>
          <w:color w:val="auto"/>
          <w:sz w:val="32"/>
          <w:szCs w:val="32"/>
          <w:shd w:val="clear" w:color="auto" w:fill="FFFFFF"/>
          <w:lang w:val="en-US" w:eastAsia="zh-CN"/>
        </w:rPr>
        <w:t>1</w:t>
      </w:r>
      <w:r>
        <w:rPr>
          <w:rFonts w:hint="default" w:ascii="Times New Roman" w:hAnsi="Times New Roman" w:eastAsia="仿宋_GB2312" w:cs="Times New Roman"/>
          <w:b w:val="0"/>
          <w:bCs w:val="0"/>
          <w:color w:val="auto"/>
          <w:sz w:val="32"/>
          <w:szCs w:val="32"/>
          <w:shd w:val="clear" w:color="auto" w:fill="FFFFFF"/>
        </w:rPr>
        <w:t>条、图文解读</w:t>
      </w:r>
      <w:r>
        <w:rPr>
          <w:rFonts w:hint="default" w:ascii="Times New Roman" w:hAnsi="Times New Roman" w:eastAsia="仿宋_GB2312" w:cs="Times New Roman"/>
          <w:b w:val="0"/>
          <w:bCs w:val="0"/>
          <w:color w:val="auto"/>
          <w:sz w:val="32"/>
          <w:szCs w:val="32"/>
          <w:shd w:val="clear" w:color="auto" w:fill="FFFFFF"/>
          <w:lang w:val="en-US" w:eastAsia="zh-CN"/>
        </w:rPr>
        <w:t>4</w:t>
      </w:r>
      <w:r>
        <w:rPr>
          <w:rFonts w:hint="default" w:ascii="Times New Roman" w:hAnsi="Times New Roman" w:eastAsia="仿宋_GB2312" w:cs="Times New Roman"/>
          <w:b w:val="0"/>
          <w:bCs w:val="0"/>
          <w:color w:val="auto"/>
          <w:sz w:val="32"/>
          <w:szCs w:val="32"/>
          <w:shd w:val="clear" w:color="auto" w:fill="FFFFFF"/>
        </w:rPr>
        <w:t>条。</w:t>
      </w:r>
    </w:p>
    <w:p>
      <w:pPr>
        <w:rPr>
          <w:rFonts w:hint="default" w:ascii="Times New Roman" w:hAnsi="Times New Roman" w:eastAsia="仿宋_GB2312" w:cs="Times New Roman"/>
          <w:b w:val="0"/>
          <w:bCs w:val="0"/>
          <w:color w:val="auto"/>
          <w:sz w:val="32"/>
          <w:szCs w:val="32"/>
          <w:shd w:val="clear" w:color="auto" w:fill="FFFFFF"/>
        </w:rPr>
      </w:pPr>
    </w:p>
    <w:p>
      <w:pPr>
        <w:rPr>
          <w:rFonts w:hint="default" w:ascii="Times New Roman" w:hAnsi="Times New Roman" w:eastAsia="仿宋_GB2312" w:cs="Times New Roman"/>
          <w:b w:val="0"/>
          <w:bCs w:val="0"/>
          <w:color w:val="auto"/>
          <w:sz w:val="32"/>
          <w:szCs w:val="32"/>
          <w:shd w:val="clear" w:color="auto" w:fill="FFFFFF"/>
        </w:rPr>
      </w:pPr>
      <w:r>
        <w:rPr>
          <w:rFonts w:hint="default" w:ascii="Times New Roman" w:hAnsi="Times New Roman" w:cs="Times New Roman"/>
          <w:b w:val="0"/>
          <w:bCs w:val="0"/>
          <w:color w:val="auto"/>
        </w:rPr>
        <w:drawing>
          <wp:anchor distT="0" distB="0" distL="114300" distR="114300" simplePos="0" relativeHeight="251667456" behindDoc="0" locked="0" layoutInCell="1" allowOverlap="1">
            <wp:simplePos x="0" y="0"/>
            <wp:positionH relativeFrom="column">
              <wp:posOffset>591185</wp:posOffset>
            </wp:positionH>
            <wp:positionV relativeFrom="paragraph">
              <wp:posOffset>73660</wp:posOffset>
            </wp:positionV>
            <wp:extent cx="4319905" cy="2536190"/>
            <wp:effectExtent l="0" t="0" r="4445" b="16510"/>
            <wp:wrapTopAndBottom/>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9"/>
                    <a:stretch>
                      <a:fillRect/>
                    </a:stretch>
                  </pic:blipFill>
                  <pic:spPr>
                    <a:xfrm>
                      <a:off x="0" y="0"/>
                      <a:ext cx="4319905" cy="253619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90" w:lineRule="exact"/>
        <w:ind w:firstLine="636"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eastAsia="zh-CN"/>
        </w:rPr>
        <w:drawing>
          <wp:anchor distT="0" distB="0" distL="114300" distR="114300" simplePos="0" relativeHeight="251666432" behindDoc="0" locked="0" layoutInCell="1" allowOverlap="1">
            <wp:simplePos x="0" y="0"/>
            <wp:positionH relativeFrom="column">
              <wp:posOffset>570230</wp:posOffset>
            </wp:positionH>
            <wp:positionV relativeFrom="paragraph">
              <wp:posOffset>63500</wp:posOffset>
            </wp:positionV>
            <wp:extent cx="4319905" cy="1457325"/>
            <wp:effectExtent l="0" t="0" r="4445" b="9525"/>
            <wp:wrapTopAndBottom/>
            <wp:docPr id="12" name="图片 12" descr="1612667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12667722(1)"/>
                    <pic:cNvPicPr>
                      <a:picLocks noChangeAspect="1"/>
                    </pic:cNvPicPr>
                  </pic:nvPicPr>
                  <pic:blipFill>
                    <a:blip r:embed="rId20"/>
                    <a:stretch>
                      <a:fillRect/>
                    </a:stretch>
                  </pic:blipFill>
                  <pic:spPr>
                    <a:xfrm>
                      <a:off x="0" y="0"/>
                      <a:ext cx="4319905" cy="1457325"/>
                    </a:xfrm>
                    <a:prstGeom prst="rect">
                      <a:avLst/>
                    </a:prstGeom>
                  </pic:spPr>
                </pic:pic>
              </a:graphicData>
            </a:graphic>
          </wp:anchor>
        </w:drawing>
      </w:r>
      <w:r>
        <w:rPr>
          <w:rFonts w:hint="default" w:ascii="Times New Roman" w:hAnsi="Times New Roman" w:eastAsia="仿宋_GB2312" w:cs="Times New Roman"/>
          <w:b w:val="0"/>
          <w:bCs w:val="0"/>
          <w:color w:val="auto"/>
          <w:sz w:val="32"/>
          <w:szCs w:val="32"/>
          <w:lang w:val="en-US" w:eastAsia="zh-CN"/>
        </w:rPr>
        <w:t>二是重视互动交流效果。优化办理留言栏目，通过民生连线系统，收集、查看群众留言，对接责任部门完善答复意见，2020年办结留言185条，公开答复95条。通过热点信息反馈，定期公布天桥区12345市民服务热线办理情况。通过调查征集栏目，针对天桥区“十四五”规划、政府工作报告等政策内容，切实践行“以人民为中心”的发展理念，坚持重大决策问政于民、问需于民、问计于民，开展网上征集调查，广泛汇聚民智、集中民意，并及时进行网上调查结果反馈。</w:t>
      </w:r>
      <w:r>
        <w:rPr>
          <w:rFonts w:hint="default" w:ascii="Times New Roman" w:hAnsi="Times New Roman" w:eastAsia="仿宋_GB2312" w:cs="Times New Roman"/>
          <w:b w:val="0"/>
          <w:bCs w:val="0"/>
          <w:color w:val="auto"/>
          <w:sz w:val="32"/>
          <w:szCs w:val="32"/>
          <w:lang w:eastAsia="zh-CN"/>
        </w:rPr>
        <w:t>持续深化开展政府开放日、电视问政、网络问政等多形式的公众参与和监督活动。加强舆情监测和研判，落实政务舆情回应责任。</w:t>
      </w:r>
      <w:r>
        <w:rPr>
          <w:rFonts w:hint="default" w:ascii="Times New Roman" w:hAnsi="Times New Roman" w:eastAsia="仿宋_GB2312" w:cs="Times New Roman"/>
          <w:b w:val="0"/>
          <w:bCs w:val="0"/>
          <w:color w:val="auto"/>
          <w:sz w:val="32"/>
          <w:szCs w:val="32"/>
          <w:lang w:val="en-US" w:eastAsia="zh-CN"/>
        </w:rPr>
        <w:t>2020年共征集调查3期，公布调查结果3期。积极开展在线访谈活动，围绕政务工作、重点领域和社会热点进行剖析，开展2期在线访谈，收网民留言144条，并已全部答复。</w:t>
      </w:r>
    </w:p>
    <w:p>
      <w:pPr>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4319905" cy="1743075"/>
            <wp:effectExtent l="0" t="0" r="444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1"/>
                    <a:srcRect t="6250"/>
                    <a:stretch>
                      <a:fillRect/>
                    </a:stretch>
                  </pic:blipFill>
                  <pic:spPr>
                    <a:xfrm>
                      <a:off x="0" y="0"/>
                      <a:ext cx="4319905" cy="1743075"/>
                    </a:xfrm>
                    <a:prstGeom prst="rect">
                      <a:avLst/>
                    </a:prstGeom>
                    <a:noFill/>
                    <a:ln>
                      <a:noFill/>
                    </a:ln>
                  </pic:spPr>
                </pic:pic>
              </a:graphicData>
            </a:graphic>
          </wp:inline>
        </w:drawing>
      </w:r>
    </w:p>
    <w:p>
      <w:pPr>
        <w:jc w:val="center"/>
        <w:rPr>
          <w:rFonts w:hint="default" w:ascii="Times New Roman" w:hAnsi="Times New Roman" w:cs="Times New Roman"/>
          <w:color w:val="auto"/>
          <w:lang w:val="en-US" w:eastAsia="zh-CN"/>
        </w:rPr>
      </w:pP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90" w:lineRule="exact"/>
        <w:ind w:right="0" w:rightChars="0" w:firstLine="636" w:firstLineChars="200"/>
        <w:jc w:val="both"/>
        <w:textAlignment w:val="auto"/>
        <w:rPr>
          <w:rFonts w:hint="default" w:ascii="Times New Roman" w:hAnsi="Times New Roman" w:eastAsia="仿宋_GB2312" w:cs="Times New Roman"/>
          <w:i w:val="0"/>
          <w:caps w:val="0"/>
          <w:color w:val="auto"/>
          <w:spacing w:val="0"/>
          <w:sz w:val="32"/>
          <w:szCs w:val="32"/>
        </w:rPr>
      </w:pPr>
      <w:r>
        <w:rPr>
          <w:rFonts w:hint="default" w:ascii="Times New Roman" w:hAnsi="Times New Roman" w:eastAsia="仿宋_GB2312" w:cs="Times New Roman"/>
          <w:b w:val="0"/>
          <w:bCs w:val="0"/>
          <w:color w:val="auto"/>
          <w:kern w:val="2"/>
          <w:sz w:val="32"/>
          <w:szCs w:val="32"/>
          <w:lang w:val="en-US" w:eastAsia="zh-CN" w:bidi="ar-SA"/>
        </w:rPr>
        <w:t>3、着力做好依申请公开工作。</w:t>
      </w:r>
      <w:r>
        <w:rPr>
          <w:rFonts w:hint="default" w:ascii="Times New Roman" w:hAnsi="Times New Roman" w:eastAsia="仿宋_GB2312" w:cs="Times New Roman"/>
          <w:color w:val="auto"/>
          <w:sz w:val="32"/>
          <w:szCs w:val="32"/>
        </w:rPr>
        <w:t>聘请专业律师</w:t>
      </w:r>
      <w:r>
        <w:rPr>
          <w:rFonts w:hint="default" w:ascii="Times New Roman" w:hAnsi="Times New Roman" w:eastAsia="仿宋_GB2312" w:cs="Times New Roman"/>
          <w:color w:val="auto"/>
          <w:sz w:val="32"/>
          <w:szCs w:val="32"/>
          <w:lang w:eastAsia="zh-CN"/>
        </w:rPr>
        <w:t>提供</w:t>
      </w:r>
      <w:r>
        <w:rPr>
          <w:rFonts w:hint="default" w:ascii="Times New Roman" w:hAnsi="Times New Roman" w:eastAsia="仿宋_GB2312" w:cs="Times New Roman"/>
          <w:color w:val="auto"/>
          <w:sz w:val="32"/>
          <w:szCs w:val="32"/>
        </w:rPr>
        <w:t>依申请公开法律顾问</w:t>
      </w:r>
      <w:r>
        <w:rPr>
          <w:rFonts w:hint="default" w:ascii="Times New Roman" w:hAnsi="Times New Roman" w:eastAsia="仿宋_GB2312" w:cs="Times New Roman"/>
          <w:color w:val="auto"/>
          <w:sz w:val="32"/>
          <w:szCs w:val="32"/>
          <w:lang w:eastAsia="zh-CN"/>
        </w:rPr>
        <w:t>服务</w:t>
      </w:r>
      <w:r>
        <w:rPr>
          <w:rFonts w:hint="default" w:ascii="Times New Roman" w:hAnsi="Times New Roman" w:eastAsia="仿宋_GB2312" w:cs="Times New Roman"/>
          <w:color w:val="auto"/>
          <w:sz w:val="32"/>
          <w:szCs w:val="32"/>
        </w:rPr>
        <w:t>，给予正确、及时的法律风险评估，推动建立</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一事一议、一事一询</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的顾问机制，进一步</w:t>
      </w:r>
      <w:r>
        <w:rPr>
          <w:rFonts w:hint="default" w:ascii="Times New Roman" w:hAnsi="Times New Roman" w:eastAsia="仿宋_GB2312" w:cs="Times New Roman"/>
          <w:color w:val="auto"/>
          <w:sz w:val="32"/>
          <w:szCs w:val="32"/>
          <w:lang w:eastAsia="zh-CN"/>
        </w:rPr>
        <w:t>推进</w:t>
      </w:r>
      <w:r>
        <w:rPr>
          <w:rFonts w:hint="default" w:ascii="Times New Roman" w:hAnsi="Times New Roman" w:eastAsia="仿宋_GB2312" w:cs="Times New Roman"/>
          <w:color w:val="auto"/>
          <w:sz w:val="32"/>
          <w:szCs w:val="32"/>
        </w:rPr>
        <w:t>政府行政权力公开透明运行。</w:t>
      </w:r>
      <w:r>
        <w:rPr>
          <w:rFonts w:hint="default" w:ascii="Times New Roman" w:hAnsi="Times New Roman" w:eastAsia="仿宋_GB2312" w:cs="Times New Roman"/>
          <w:i w:val="0"/>
          <w:caps w:val="0"/>
          <w:color w:val="auto"/>
          <w:spacing w:val="0"/>
          <w:sz w:val="32"/>
          <w:szCs w:val="32"/>
        </w:rPr>
        <w:t>严格规范</w:t>
      </w:r>
      <w:r>
        <w:rPr>
          <w:rFonts w:hint="default" w:ascii="Times New Roman" w:hAnsi="Times New Roman" w:eastAsia="仿宋_GB2312" w:cs="Times New Roman"/>
          <w:i w:val="0"/>
          <w:caps w:val="0"/>
          <w:color w:val="auto"/>
          <w:spacing w:val="0"/>
          <w:sz w:val="32"/>
          <w:szCs w:val="32"/>
          <w:lang w:eastAsia="zh-CN"/>
        </w:rPr>
        <w:t>政府信息依申请公开收件</w:t>
      </w:r>
      <w:r>
        <w:rPr>
          <w:rFonts w:hint="default" w:ascii="Times New Roman" w:hAnsi="Times New Roman" w:eastAsia="仿宋_GB2312" w:cs="Times New Roman"/>
          <w:i w:val="0"/>
          <w:caps w:val="0"/>
          <w:color w:val="auto"/>
          <w:spacing w:val="0"/>
          <w:sz w:val="32"/>
          <w:szCs w:val="32"/>
        </w:rPr>
        <w:t>、登记、</w:t>
      </w:r>
      <w:r>
        <w:rPr>
          <w:rFonts w:hint="default" w:ascii="Times New Roman" w:hAnsi="Times New Roman" w:eastAsia="仿宋_GB2312" w:cs="Times New Roman"/>
          <w:i w:val="0"/>
          <w:caps w:val="0"/>
          <w:color w:val="auto"/>
          <w:spacing w:val="0"/>
          <w:sz w:val="32"/>
          <w:szCs w:val="32"/>
          <w:lang w:eastAsia="zh-CN"/>
        </w:rPr>
        <w:t>转办、</w:t>
      </w:r>
      <w:r>
        <w:rPr>
          <w:rFonts w:hint="default" w:ascii="Times New Roman" w:hAnsi="Times New Roman" w:eastAsia="仿宋_GB2312" w:cs="Times New Roman"/>
          <w:i w:val="0"/>
          <w:caps w:val="0"/>
          <w:color w:val="auto"/>
          <w:spacing w:val="0"/>
          <w:sz w:val="32"/>
          <w:szCs w:val="32"/>
        </w:rPr>
        <w:t>答复等流程</w:t>
      </w:r>
      <w:r>
        <w:rPr>
          <w:rFonts w:hint="default" w:ascii="Times New Roman" w:hAnsi="Times New Roman" w:eastAsia="仿宋_GB2312" w:cs="Times New Roman"/>
          <w:i w:val="0"/>
          <w:caps w:val="0"/>
          <w:color w:val="auto"/>
          <w:spacing w:val="0"/>
          <w:sz w:val="32"/>
          <w:szCs w:val="32"/>
          <w:lang w:eastAsia="zh-CN"/>
        </w:rPr>
        <w:t>，强化痕迹管理，</w:t>
      </w:r>
      <w:r>
        <w:rPr>
          <w:rFonts w:hint="default" w:ascii="Times New Roman" w:hAnsi="Times New Roman" w:eastAsia="仿宋_GB2312" w:cs="Times New Roman"/>
          <w:i w:val="0"/>
          <w:caps w:val="0"/>
          <w:color w:val="auto"/>
          <w:spacing w:val="0"/>
          <w:sz w:val="32"/>
          <w:szCs w:val="32"/>
        </w:rPr>
        <w:t>确保流转顺畅、内容合规</w:t>
      </w:r>
      <w:r>
        <w:rPr>
          <w:rFonts w:hint="default" w:ascii="Times New Roman" w:hAnsi="Times New Roman" w:eastAsia="仿宋_GB2312" w:cs="Times New Roman"/>
          <w:i w:val="0"/>
          <w:caps w:val="0"/>
          <w:color w:val="auto"/>
          <w:spacing w:val="0"/>
          <w:sz w:val="32"/>
          <w:szCs w:val="32"/>
          <w:lang w:eastAsia="zh-CN"/>
        </w:rPr>
        <w:t>。依法保障公众知情权，强化沟通解释，注重与公众交流互动</w:t>
      </w:r>
      <w:r>
        <w:rPr>
          <w:rFonts w:hint="default" w:ascii="Times New Roman" w:hAnsi="Times New Roman" w:eastAsia="仿宋_GB2312" w:cs="Times New Roman"/>
          <w:i w:val="0"/>
          <w:caps w:val="0"/>
          <w:color w:val="auto"/>
          <w:spacing w:val="0"/>
          <w:sz w:val="32"/>
          <w:szCs w:val="32"/>
        </w:rPr>
        <w:t>。</w:t>
      </w:r>
      <w:r>
        <w:rPr>
          <w:rFonts w:hint="default" w:ascii="Times New Roman" w:hAnsi="Times New Roman" w:eastAsia="仿宋_GB2312" w:cs="Times New Roman"/>
          <w:i w:val="0"/>
          <w:caps w:val="0"/>
          <w:color w:val="auto"/>
          <w:spacing w:val="0"/>
          <w:sz w:val="32"/>
          <w:szCs w:val="32"/>
          <w:lang w:val="en-US" w:eastAsia="zh-CN"/>
        </w:rPr>
        <w:t>2020</w:t>
      </w:r>
      <w:r>
        <w:rPr>
          <w:rFonts w:hint="eastAsia" w:ascii="Times New Roman" w:hAnsi="Times New Roman" w:eastAsia="仿宋_GB2312" w:cs="Times New Roman"/>
          <w:i w:val="0"/>
          <w:caps w:val="0"/>
          <w:color w:val="auto"/>
          <w:spacing w:val="0"/>
          <w:sz w:val="32"/>
          <w:szCs w:val="32"/>
          <w:lang w:val="en-US" w:eastAsia="zh-CN"/>
        </w:rPr>
        <w:t>年全区</w:t>
      </w:r>
      <w:r>
        <w:rPr>
          <w:rFonts w:hint="default" w:ascii="Times New Roman" w:hAnsi="Times New Roman" w:eastAsia="仿宋_GB2312" w:cs="Times New Roman"/>
          <w:i w:val="0"/>
          <w:caps w:val="0"/>
          <w:color w:val="auto"/>
          <w:spacing w:val="0"/>
          <w:sz w:val="32"/>
          <w:szCs w:val="32"/>
        </w:rPr>
        <w:t>共收到政府信息公开依申请</w:t>
      </w:r>
      <w:r>
        <w:rPr>
          <w:rFonts w:hint="eastAsia" w:ascii="Times New Roman" w:hAnsi="Times New Roman" w:eastAsia="仿宋_GB2312" w:cs="Times New Roman"/>
          <w:i w:val="0"/>
          <w:caps w:val="0"/>
          <w:color w:val="auto"/>
          <w:spacing w:val="0"/>
          <w:sz w:val="32"/>
          <w:szCs w:val="32"/>
          <w:lang w:val="en-US" w:eastAsia="zh-CN"/>
        </w:rPr>
        <w:t>287</w:t>
      </w:r>
      <w:r>
        <w:rPr>
          <w:rFonts w:hint="default" w:ascii="Times New Roman" w:hAnsi="Times New Roman" w:eastAsia="仿宋_GB2312" w:cs="Times New Roman"/>
          <w:i w:val="0"/>
          <w:caps w:val="0"/>
          <w:color w:val="auto"/>
          <w:spacing w:val="0"/>
          <w:sz w:val="32"/>
          <w:szCs w:val="32"/>
        </w:rPr>
        <w:t>件，</w:t>
      </w:r>
      <w:r>
        <w:rPr>
          <w:rFonts w:hint="eastAsia" w:ascii="Times New Roman" w:hAnsi="Times New Roman" w:eastAsia="仿宋_GB2312" w:cs="Times New Roman"/>
          <w:i w:val="0"/>
          <w:caps w:val="0"/>
          <w:color w:val="auto"/>
          <w:spacing w:val="0"/>
          <w:sz w:val="32"/>
          <w:szCs w:val="32"/>
          <w:lang w:eastAsia="zh-CN"/>
        </w:rPr>
        <w:t>上年结转政府信息公开申请数量</w:t>
      </w:r>
      <w:r>
        <w:rPr>
          <w:rFonts w:hint="eastAsia" w:ascii="Times New Roman" w:hAnsi="Times New Roman" w:eastAsia="仿宋_GB2312" w:cs="Times New Roman"/>
          <w:i w:val="0"/>
          <w:caps w:val="0"/>
          <w:color w:val="auto"/>
          <w:spacing w:val="0"/>
          <w:sz w:val="32"/>
          <w:szCs w:val="32"/>
          <w:lang w:val="en-US" w:eastAsia="zh-CN"/>
        </w:rPr>
        <w:t>10件，</w:t>
      </w:r>
      <w:r>
        <w:rPr>
          <w:rFonts w:hint="default" w:ascii="Times New Roman" w:hAnsi="Times New Roman" w:eastAsia="仿宋_GB2312" w:cs="Times New Roman"/>
          <w:i w:val="0"/>
          <w:caps w:val="0"/>
          <w:color w:val="auto"/>
          <w:spacing w:val="0"/>
          <w:sz w:val="32"/>
          <w:szCs w:val="32"/>
        </w:rPr>
        <w:t>全部受理并按时答复完毕。其中“予以公开”</w:t>
      </w:r>
      <w:r>
        <w:rPr>
          <w:rFonts w:hint="eastAsia" w:ascii="Times New Roman" w:hAnsi="Times New Roman" w:eastAsia="仿宋_GB2312" w:cs="Times New Roman"/>
          <w:i w:val="0"/>
          <w:caps w:val="0"/>
          <w:color w:val="auto"/>
          <w:spacing w:val="0"/>
          <w:sz w:val="32"/>
          <w:szCs w:val="32"/>
          <w:lang w:val="en-US" w:eastAsia="zh-CN"/>
        </w:rPr>
        <w:t>80</w:t>
      </w:r>
      <w:r>
        <w:rPr>
          <w:rFonts w:hint="default" w:ascii="Times New Roman" w:hAnsi="Times New Roman" w:eastAsia="仿宋_GB2312" w:cs="Times New Roman"/>
          <w:i w:val="0"/>
          <w:caps w:val="0"/>
          <w:color w:val="auto"/>
          <w:spacing w:val="0"/>
          <w:sz w:val="32"/>
          <w:szCs w:val="32"/>
        </w:rPr>
        <w:t>件，“部分公开”</w:t>
      </w:r>
      <w:r>
        <w:rPr>
          <w:rFonts w:hint="eastAsia" w:ascii="Times New Roman" w:hAnsi="Times New Roman" w:eastAsia="仿宋_GB2312" w:cs="Times New Roman"/>
          <w:i w:val="0"/>
          <w:caps w:val="0"/>
          <w:color w:val="auto"/>
          <w:spacing w:val="0"/>
          <w:sz w:val="32"/>
          <w:szCs w:val="32"/>
          <w:lang w:val="en-US" w:eastAsia="zh-CN"/>
        </w:rPr>
        <w:t>36</w:t>
      </w:r>
      <w:r>
        <w:rPr>
          <w:rFonts w:hint="default" w:ascii="Times New Roman" w:hAnsi="Times New Roman" w:eastAsia="仿宋_GB2312" w:cs="Times New Roman"/>
          <w:i w:val="0"/>
          <w:caps w:val="0"/>
          <w:color w:val="auto"/>
          <w:spacing w:val="0"/>
          <w:sz w:val="32"/>
          <w:szCs w:val="32"/>
        </w:rPr>
        <w:t>件,</w:t>
      </w:r>
      <w:r>
        <w:rPr>
          <w:rFonts w:hint="default" w:ascii="Times New Roman" w:hAnsi="Times New Roman" w:eastAsia="仿宋_GB2312" w:cs="Times New Roman"/>
          <w:i w:val="0"/>
          <w:caps w:val="0"/>
          <w:color w:val="auto"/>
          <w:spacing w:val="0"/>
          <w:sz w:val="32"/>
          <w:szCs w:val="32"/>
          <w:lang w:eastAsia="zh-CN"/>
        </w:rPr>
        <w:t>“不予公开”</w:t>
      </w:r>
      <w:r>
        <w:rPr>
          <w:rFonts w:hint="eastAsia" w:ascii="Times New Roman" w:hAnsi="Times New Roman" w:eastAsia="仿宋_GB2312" w:cs="Times New Roman"/>
          <w:i w:val="0"/>
          <w:caps w:val="0"/>
          <w:color w:val="auto"/>
          <w:spacing w:val="0"/>
          <w:sz w:val="32"/>
          <w:szCs w:val="32"/>
          <w:lang w:val="en-US" w:eastAsia="zh-CN"/>
        </w:rPr>
        <w:t>9</w:t>
      </w:r>
      <w:r>
        <w:rPr>
          <w:rFonts w:hint="default" w:ascii="Times New Roman" w:hAnsi="Times New Roman" w:eastAsia="仿宋_GB2312" w:cs="Times New Roman"/>
          <w:i w:val="0"/>
          <w:caps w:val="0"/>
          <w:color w:val="auto"/>
          <w:spacing w:val="0"/>
          <w:sz w:val="32"/>
          <w:szCs w:val="32"/>
          <w:lang w:val="en-US" w:eastAsia="zh-CN"/>
        </w:rPr>
        <w:t>件，</w:t>
      </w:r>
      <w:r>
        <w:rPr>
          <w:rFonts w:hint="default" w:ascii="Times New Roman" w:hAnsi="Times New Roman" w:eastAsia="仿宋_GB2312" w:cs="Times New Roman"/>
          <w:i w:val="0"/>
          <w:caps w:val="0"/>
          <w:color w:val="auto"/>
          <w:spacing w:val="0"/>
          <w:sz w:val="32"/>
          <w:szCs w:val="32"/>
        </w:rPr>
        <w:t>“无法提供”</w:t>
      </w:r>
      <w:r>
        <w:rPr>
          <w:rFonts w:hint="eastAsia" w:ascii="Times New Roman" w:hAnsi="Times New Roman" w:eastAsia="仿宋_GB2312" w:cs="Times New Roman"/>
          <w:i w:val="0"/>
          <w:caps w:val="0"/>
          <w:color w:val="auto"/>
          <w:spacing w:val="0"/>
          <w:sz w:val="32"/>
          <w:szCs w:val="32"/>
          <w:lang w:val="en-US" w:eastAsia="zh-CN"/>
        </w:rPr>
        <w:t>137</w:t>
      </w:r>
      <w:r>
        <w:rPr>
          <w:rFonts w:hint="default" w:ascii="Times New Roman" w:hAnsi="Times New Roman" w:eastAsia="仿宋_GB2312" w:cs="Times New Roman"/>
          <w:i w:val="0"/>
          <w:caps w:val="0"/>
          <w:color w:val="auto"/>
          <w:spacing w:val="0"/>
          <w:sz w:val="32"/>
          <w:szCs w:val="32"/>
        </w:rPr>
        <w:t>件</w:t>
      </w:r>
      <w:r>
        <w:rPr>
          <w:rFonts w:hint="default" w:ascii="Times New Roman" w:hAnsi="Times New Roman" w:eastAsia="仿宋_GB2312" w:cs="Times New Roman"/>
          <w:i w:val="0"/>
          <w:caps w:val="0"/>
          <w:color w:val="auto"/>
          <w:spacing w:val="0"/>
          <w:sz w:val="32"/>
          <w:szCs w:val="32"/>
          <w:lang w:eastAsia="zh-CN"/>
        </w:rPr>
        <w:t>，“不予处理”</w:t>
      </w:r>
      <w:r>
        <w:rPr>
          <w:rFonts w:hint="default" w:ascii="Times New Roman" w:hAnsi="Times New Roman" w:eastAsia="仿宋_GB2312" w:cs="Times New Roman"/>
          <w:i w:val="0"/>
          <w:caps w:val="0"/>
          <w:color w:val="auto"/>
          <w:spacing w:val="0"/>
          <w:sz w:val="32"/>
          <w:szCs w:val="32"/>
          <w:lang w:val="en-US" w:eastAsia="zh-CN"/>
        </w:rPr>
        <w:t>2</w:t>
      </w:r>
      <w:r>
        <w:rPr>
          <w:rFonts w:hint="eastAsia" w:ascii="Times New Roman" w:hAnsi="Times New Roman" w:eastAsia="仿宋_GB2312" w:cs="Times New Roman"/>
          <w:i w:val="0"/>
          <w:caps w:val="0"/>
          <w:color w:val="auto"/>
          <w:spacing w:val="0"/>
          <w:sz w:val="32"/>
          <w:szCs w:val="32"/>
          <w:lang w:val="en-US" w:eastAsia="zh-CN"/>
        </w:rPr>
        <w:t>3</w:t>
      </w:r>
      <w:r>
        <w:rPr>
          <w:rFonts w:hint="default" w:ascii="Times New Roman" w:hAnsi="Times New Roman" w:eastAsia="仿宋_GB2312" w:cs="Times New Roman"/>
          <w:i w:val="0"/>
          <w:caps w:val="0"/>
          <w:color w:val="auto"/>
          <w:spacing w:val="0"/>
          <w:sz w:val="32"/>
          <w:szCs w:val="32"/>
          <w:lang w:val="en-US" w:eastAsia="zh-CN"/>
        </w:rPr>
        <w:t>件</w:t>
      </w:r>
      <w:r>
        <w:rPr>
          <w:rFonts w:hint="default" w:ascii="Times New Roman" w:hAnsi="Times New Roman" w:eastAsia="仿宋_GB2312" w:cs="Times New Roman"/>
          <w:i w:val="0"/>
          <w:caps w:val="0"/>
          <w:color w:val="auto"/>
          <w:spacing w:val="0"/>
          <w:sz w:val="32"/>
          <w:szCs w:val="32"/>
        </w:rPr>
        <w:t>。</w:t>
      </w:r>
    </w:p>
    <w:p>
      <w:pPr>
        <w:numPr>
          <w:ilvl w:val="0"/>
          <w:numId w:val="0"/>
        </w:numPr>
        <w:spacing w:after="0" w:line="560" w:lineRule="exact"/>
        <w:ind w:leftChars="200" w:firstLine="318" w:firstLineChars="100"/>
        <w:jc w:val="both"/>
        <w:rPr>
          <w:rFonts w:hint="default" w:ascii="Times New Roman" w:hAnsi="Times New Roman" w:eastAsia="仿宋_GB2312" w:cs="Times New Roman"/>
          <w:color w:val="auto"/>
          <w:sz w:val="32"/>
          <w:szCs w:val="32"/>
          <w:lang w:val="en-US" w:eastAsia="zh-CN"/>
        </w:rPr>
      </w:pPr>
      <w:r>
        <w:rPr>
          <w:rFonts w:hint="default" w:ascii="Times New Roman" w:hAnsi="Times New Roman" w:eastAsia="楷体_GB2312" w:cs="Times New Roman"/>
          <w:color w:val="auto"/>
          <w:sz w:val="32"/>
          <w:szCs w:val="32"/>
          <w:lang w:val="en-US" w:eastAsia="zh-CN"/>
        </w:rPr>
        <w:t>（四）加强平台建设，信息管理水平持续优化</w:t>
      </w:r>
    </w:p>
    <w:p>
      <w:pPr>
        <w:numPr>
          <w:ilvl w:val="0"/>
          <w:numId w:val="0"/>
        </w:numPr>
        <w:spacing w:after="0" w:line="560" w:lineRule="exact"/>
        <w:ind w:firstLine="636" w:firstLineChars="200"/>
        <w:jc w:val="both"/>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一是</w:t>
      </w:r>
      <w:r>
        <w:rPr>
          <w:rFonts w:hint="default" w:ascii="Times New Roman" w:hAnsi="Times New Roman" w:eastAsia="仿宋_GB2312" w:cs="Times New Roman"/>
          <w:b w:val="0"/>
          <w:bCs w:val="0"/>
          <w:color w:val="auto"/>
          <w:sz w:val="32"/>
          <w:szCs w:val="32"/>
          <w:lang w:eastAsia="zh-CN"/>
        </w:rPr>
        <w:t>完善</w:t>
      </w:r>
      <w:r>
        <w:rPr>
          <w:rFonts w:hint="default" w:ascii="Times New Roman" w:hAnsi="Times New Roman" w:eastAsia="仿宋_GB2312" w:cs="Times New Roman"/>
          <w:b w:val="0"/>
          <w:bCs w:val="0"/>
          <w:color w:val="auto"/>
          <w:sz w:val="32"/>
          <w:szCs w:val="32"/>
        </w:rPr>
        <w:t>政府</w:t>
      </w:r>
      <w:r>
        <w:rPr>
          <w:rFonts w:hint="default" w:ascii="Times New Roman" w:hAnsi="Times New Roman" w:eastAsia="仿宋_GB2312" w:cs="Times New Roman"/>
          <w:b w:val="0"/>
          <w:bCs w:val="0"/>
          <w:color w:val="auto"/>
          <w:sz w:val="32"/>
          <w:szCs w:val="32"/>
          <w:lang w:eastAsia="zh-CN"/>
        </w:rPr>
        <w:t>门户</w:t>
      </w:r>
      <w:r>
        <w:rPr>
          <w:rFonts w:hint="default" w:ascii="Times New Roman" w:hAnsi="Times New Roman" w:eastAsia="仿宋_GB2312" w:cs="Times New Roman"/>
          <w:b w:val="0"/>
          <w:bCs w:val="0"/>
          <w:color w:val="auto"/>
          <w:sz w:val="32"/>
          <w:szCs w:val="32"/>
        </w:rPr>
        <w:t>网站建设。</w:t>
      </w:r>
      <w:r>
        <w:rPr>
          <w:rFonts w:hint="default" w:ascii="Times New Roman" w:hAnsi="Times New Roman" w:eastAsia="仿宋_GB2312" w:cs="Times New Roman"/>
          <w:b w:val="0"/>
          <w:bCs w:val="0"/>
          <w:color w:val="auto"/>
          <w:sz w:val="32"/>
          <w:szCs w:val="32"/>
          <w:lang w:val="en-US" w:eastAsia="zh-CN"/>
        </w:rPr>
        <w:t>贯彻落实《国务院办公厅政府信息与政务公开办公室关于规范政府信息公开平台有关事项的通知》《2020年政务公开工作要点的通知》等文件精神及省、市两级政府办公厅最新工作要求，对政府信息公开平台进行统一名称、统一格式，全面规范升级。强化</w:t>
      </w:r>
      <w:r>
        <w:rPr>
          <w:rFonts w:hint="default" w:ascii="Times New Roman" w:hAnsi="Times New Roman" w:eastAsia="仿宋_GB2312" w:cs="Times New Roman"/>
          <w:b w:val="0"/>
          <w:bCs w:val="0"/>
          <w:color w:val="auto"/>
          <w:kern w:val="0"/>
          <w:sz w:val="32"/>
          <w:szCs w:val="32"/>
        </w:rPr>
        <w:t>专栏建设和内容维护，</w:t>
      </w:r>
      <w:r>
        <w:rPr>
          <w:rFonts w:hint="default" w:ascii="Times New Roman" w:hAnsi="Times New Roman" w:eastAsia="仿宋_GB2312" w:cs="Times New Roman"/>
          <w:b w:val="0"/>
          <w:bCs w:val="0"/>
          <w:color w:val="auto"/>
          <w:kern w:val="0"/>
          <w:sz w:val="32"/>
          <w:szCs w:val="32"/>
          <w:lang w:eastAsia="zh-CN"/>
        </w:rPr>
        <w:t>实现</w:t>
      </w:r>
      <w:r>
        <w:rPr>
          <w:rFonts w:hint="default" w:ascii="Times New Roman" w:hAnsi="Times New Roman" w:eastAsia="仿宋_GB2312" w:cs="Times New Roman"/>
          <w:b w:val="0"/>
          <w:bCs w:val="0"/>
          <w:color w:val="auto"/>
          <w:kern w:val="0"/>
          <w:sz w:val="32"/>
          <w:szCs w:val="32"/>
        </w:rPr>
        <w:t>网站无障碍访问建设，提升网站的可感知性、可操作性、可理解性及兼容性。</w:t>
      </w:r>
      <w:r>
        <w:rPr>
          <w:rFonts w:hint="default" w:ascii="Times New Roman" w:hAnsi="Times New Roman" w:eastAsia="仿宋_GB2312" w:cs="Times New Roman"/>
          <w:b w:val="0"/>
          <w:bCs w:val="0"/>
          <w:color w:val="auto"/>
          <w:sz w:val="32"/>
          <w:szCs w:val="32"/>
          <w:lang w:val="en-US" w:eastAsia="zh-CN"/>
        </w:rPr>
        <w:t>优化“政府信息公开”专栏页面设置，严格按照国办通知要求及评估指标体系，规范设置政府信息公开专栏网页统一规格，并根据天桥区工作实际，优化网页版面，提升阅读体验性</w:t>
      </w:r>
      <w:r>
        <w:rPr>
          <w:rFonts w:hint="default" w:ascii="Times New Roman" w:hAnsi="Times New Roman" w:eastAsia="仿宋_GB2312" w:cs="Times New Roman"/>
          <w:b w:val="0"/>
          <w:bCs w:val="0"/>
          <w:color w:val="auto"/>
          <w:kern w:val="0"/>
          <w:sz w:val="32"/>
          <w:szCs w:val="32"/>
          <w:lang w:eastAsia="zh-CN"/>
        </w:rPr>
        <w:t>，</w:t>
      </w:r>
      <w:r>
        <w:rPr>
          <w:rFonts w:hint="default" w:ascii="Times New Roman" w:hAnsi="Times New Roman" w:eastAsia="仿宋_GB2312" w:cs="Times New Roman"/>
          <w:b w:val="0"/>
          <w:bCs w:val="0"/>
          <w:color w:val="auto"/>
          <w:sz w:val="32"/>
          <w:szCs w:val="32"/>
          <w:lang w:val="en-US" w:eastAsia="zh-CN"/>
        </w:rPr>
        <w:t>将政务公开工作落细、落实、落到位。截至2020年12月31日，网站总访问量5059.4731万人次，独立用户访问总量221.3437万个；专题专栏维护量12个，新开设数量1个；信息发布总数12762条，其中，政务动态信息更新量5155条，信息公开目录信息更新量7525条。</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36"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val="en-US" w:eastAsia="zh-CN"/>
        </w:rPr>
        <w:drawing>
          <wp:anchor distT="0" distB="0" distL="114300" distR="114300" simplePos="0" relativeHeight="251665408" behindDoc="0" locked="0" layoutInCell="1" allowOverlap="1">
            <wp:simplePos x="0" y="0"/>
            <wp:positionH relativeFrom="column">
              <wp:posOffset>698500</wp:posOffset>
            </wp:positionH>
            <wp:positionV relativeFrom="paragraph">
              <wp:posOffset>170180</wp:posOffset>
            </wp:positionV>
            <wp:extent cx="4319905" cy="1760220"/>
            <wp:effectExtent l="0" t="0" r="4445" b="11430"/>
            <wp:wrapTopAndBottom/>
            <wp:docPr id="11" name="图片 11" descr="1612667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12667256(1)"/>
                    <pic:cNvPicPr>
                      <a:picLocks noChangeAspect="1"/>
                    </pic:cNvPicPr>
                  </pic:nvPicPr>
                  <pic:blipFill>
                    <a:blip r:embed="rId22"/>
                    <a:stretch>
                      <a:fillRect/>
                    </a:stretch>
                  </pic:blipFill>
                  <pic:spPr>
                    <a:xfrm>
                      <a:off x="0" y="0"/>
                      <a:ext cx="4319905" cy="1760220"/>
                    </a:xfrm>
                    <a:prstGeom prst="rect">
                      <a:avLst/>
                    </a:prstGeom>
                  </pic:spPr>
                </pic:pic>
              </a:graphicData>
            </a:graphic>
          </wp:anchor>
        </w:drawing>
      </w:r>
      <w:r>
        <w:rPr>
          <w:rFonts w:hint="default" w:ascii="Times New Roman" w:hAnsi="Times New Roman" w:eastAsia="仿宋_GB2312" w:cs="Times New Roman"/>
          <w:b w:val="0"/>
          <w:bCs w:val="0"/>
          <w:color w:val="auto"/>
          <w:sz w:val="32"/>
          <w:szCs w:val="32"/>
          <w:lang w:val="en-US" w:eastAsia="zh-CN"/>
        </w:rPr>
        <w:t>二是推进新媒体规范发展。</w:t>
      </w:r>
      <w:r>
        <w:rPr>
          <w:rFonts w:hint="default" w:ascii="Times New Roman" w:hAnsi="Times New Roman" w:eastAsia="仿宋_GB2312" w:cs="Times New Roman"/>
          <w:b w:val="0"/>
          <w:bCs w:val="0"/>
          <w:color w:val="auto"/>
          <w:sz w:val="32"/>
          <w:szCs w:val="32"/>
          <w:lang w:eastAsia="zh-CN"/>
        </w:rPr>
        <w:t>落实</w:t>
      </w:r>
      <w:r>
        <w:rPr>
          <w:rFonts w:hint="default" w:ascii="Times New Roman" w:hAnsi="Times New Roman" w:eastAsia="仿宋_GB2312" w:cs="Times New Roman"/>
          <w:b w:val="0"/>
          <w:bCs w:val="0"/>
          <w:color w:val="auto"/>
          <w:sz w:val="32"/>
          <w:szCs w:val="32"/>
        </w:rPr>
        <w:t>重要时间节点</w:t>
      </w:r>
      <w:r>
        <w:rPr>
          <w:rFonts w:hint="default" w:ascii="Times New Roman" w:hAnsi="Times New Roman" w:eastAsia="仿宋_GB2312" w:cs="Times New Roman"/>
          <w:b w:val="0"/>
          <w:bCs w:val="0"/>
          <w:color w:val="auto"/>
          <w:sz w:val="32"/>
          <w:szCs w:val="32"/>
          <w:lang w:val="en-US" w:eastAsia="zh-CN"/>
        </w:rPr>
        <w:t>24小时</w:t>
      </w:r>
      <w:r>
        <w:rPr>
          <w:rFonts w:hint="default" w:ascii="Times New Roman" w:hAnsi="Times New Roman" w:eastAsia="仿宋_GB2312" w:cs="Times New Roman"/>
          <w:b w:val="0"/>
          <w:bCs w:val="0"/>
          <w:color w:val="auto"/>
          <w:sz w:val="32"/>
          <w:szCs w:val="32"/>
        </w:rPr>
        <w:t>值班制度</w:t>
      </w:r>
      <w:r>
        <w:rPr>
          <w:rFonts w:hint="default" w:ascii="Times New Roman" w:hAnsi="Times New Roman" w:eastAsia="仿宋_GB2312" w:cs="Times New Roman"/>
          <w:b w:val="0"/>
          <w:bCs w:val="0"/>
          <w:color w:val="auto"/>
          <w:sz w:val="32"/>
          <w:szCs w:val="32"/>
          <w:lang w:eastAsia="zh-CN"/>
        </w:rPr>
        <w:t>，完善</w:t>
      </w:r>
      <w:r>
        <w:rPr>
          <w:rFonts w:hint="default" w:ascii="Times New Roman" w:hAnsi="Times New Roman" w:eastAsia="仿宋_GB2312" w:cs="Times New Roman"/>
          <w:b w:val="0"/>
          <w:bCs w:val="0"/>
          <w:color w:val="auto"/>
          <w:sz w:val="32"/>
          <w:szCs w:val="32"/>
        </w:rPr>
        <w:t>信息发布机制</w:t>
      </w:r>
      <w:r>
        <w:rPr>
          <w:rFonts w:hint="default" w:ascii="Times New Roman" w:hAnsi="Times New Roman" w:eastAsia="仿宋_GB2312" w:cs="Times New Roman"/>
          <w:b w:val="0"/>
          <w:bCs w:val="0"/>
          <w:color w:val="auto"/>
          <w:sz w:val="32"/>
          <w:szCs w:val="32"/>
          <w:lang w:eastAsia="zh-CN"/>
        </w:rPr>
        <w:t>，制定并下发</w:t>
      </w:r>
      <w:r>
        <w:rPr>
          <w:rFonts w:hint="default" w:ascii="Times New Roman" w:hAnsi="Times New Roman" w:eastAsia="仿宋_GB2312" w:cs="Times New Roman"/>
          <w:b w:val="0"/>
          <w:bCs w:val="0"/>
          <w:color w:val="auto"/>
          <w:sz w:val="32"/>
          <w:szCs w:val="32"/>
        </w:rPr>
        <w:t>《天桥区政府系统政务新媒体应用管理规定》，</w:t>
      </w:r>
      <w:r>
        <w:rPr>
          <w:rFonts w:hint="default" w:ascii="Times New Roman" w:hAnsi="Times New Roman" w:eastAsia="仿宋_GB2312" w:cs="Times New Roman"/>
          <w:b w:val="0"/>
          <w:bCs w:val="0"/>
          <w:color w:val="auto"/>
          <w:sz w:val="32"/>
          <w:szCs w:val="32"/>
          <w:lang w:eastAsia="zh-CN"/>
        </w:rPr>
        <w:t>同时</w:t>
      </w:r>
      <w:r>
        <w:rPr>
          <w:rFonts w:hint="default" w:ascii="Times New Roman" w:hAnsi="Times New Roman" w:eastAsia="仿宋_GB2312" w:cs="Times New Roman"/>
          <w:b w:val="0"/>
          <w:bCs w:val="0"/>
          <w:color w:val="auto"/>
          <w:sz w:val="32"/>
          <w:szCs w:val="32"/>
        </w:rPr>
        <w:t>要求各政务新媒体主办单位建立信息公开发布审查制度，做到“先审查，后公开”“无审查，不公开”</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保证内容更新及时准确，不存在政治性表述错误、严重错别字、虚假信息、反动、暴力、色情和其他引发负面舆情的信息，不存在链接至非法网站等情况。</w:t>
      </w:r>
      <w:r>
        <w:rPr>
          <w:rFonts w:hint="default" w:ascii="Times New Roman" w:hAnsi="Times New Roman" w:eastAsia="仿宋_GB2312" w:cs="Times New Roman"/>
          <w:b w:val="0"/>
          <w:bCs w:val="0"/>
          <w:color w:val="auto"/>
          <w:sz w:val="32"/>
          <w:szCs w:val="32"/>
          <w:lang w:val="en-US" w:eastAsia="zh-CN"/>
        </w:rPr>
        <w:t>我区现有</w:t>
      </w:r>
      <w:r>
        <w:rPr>
          <w:rFonts w:hint="default" w:ascii="Times New Roman" w:hAnsi="Times New Roman" w:eastAsia="仿宋_GB2312" w:cs="Times New Roman"/>
          <w:b w:val="0"/>
          <w:bCs w:val="0"/>
          <w:color w:val="auto"/>
          <w:sz w:val="32"/>
          <w:szCs w:val="32"/>
        </w:rPr>
        <w:t>19个主办单位开办的28个已备案且正常运行的政务新媒体，其中</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微信公众号24个，微博3个，今日头条1个。</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36" w:firstLineChars="200"/>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lang w:val="en-US" w:eastAsia="zh-CN"/>
        </w:rPr>
        <w:t>三是加快政府公报数字化发展。</w:t>
      </w:r>
      <w:r>
        <w:rPr>
          <w:rFonts w:hint="default" w:ascii="Times New Roman" w:hAnsi="Times New Roman" w:eastAsia="仿宋_GB2312" w:cs="Times New Roman"/>
          <w:b w:val="0"/>
          <w:bCs w:val="0"/>
          <w:color w:val="auto"/>
          <w:kern w:val="0"/>
          <w:sz w:val="32"/>
          <w:szCs w:val="32"/>
        </w:rPr>
        <w:t>突出政府公报权威性</w:t>
      </w:r>
      <w:r>
        <w:rPr>
          <w:rFonts w:hint="default" w:ascii="Times New Roman" w:hAnsi="Times New Roman" w:eastAsia="仿宋_GB2312" w:cs="Times New Roman"/>
          <w:b w:val="0"/>
          <w:bCs w:val="0"/>
          <w:color w:val="auto"/>
          <w:kern w:val="0"/>
          <w:sz w:val="32"/>
          <w:szCs w:val="32"/>
          <w:lang w:eastAsia="zh-CN"/>
        </w:rPr>
        <w:t>、时效性、规范性</w:t>
      </w:r>
      <w:r>
        <w:rPr>
          <w:rFonts w:hint="default" w:ascii="Times New Roman" w:hAnsi="Times New Roman" w:eastAsia="仿宋_GB2312" w:cs="Times New Roman"/>
          <w:b w:val="0"/>
          <w:bCs w:val="0"/>
          <w:color w:val="auto"/>
          <w:kern w:val="0"/>
          <w:sz w:val="32"/>
          <w:szCs w:val="32"/>
        </w:rPr>
        <w:t>，</w:t>
      </w:r>
      <w:r>
        <w:rPr>
          <w:rFonts w:hint="default" w:ascii="Times New Roman" w:hAnsi="Times New Roman" w:eastAsia="仿宋_GB2312" w:cs="Times New Roman"/>
          <w:b w:val="0"/>
          <w:bCs w:val="0"/>
          <w:color w:val="auto"/>
          <w:kern w:val="0"/>
          <w:sz w:val="32"/>
          <w:szCs w:val="32"/>
          <w:lang w:eastAsia="zh-CN"/>
        </w:rPr>
        <w:t>设置“政府公报”专栏，强化公报内容审核，</w:t>
      </w:r>
      <w:r>
        <w:rPr>
          <w:rFonts w:hint="default" w:ascii="Times New Roman" w:hAnsi="Times New Roman" w:eastAsia="仿宋_GB2312" w:cs="Times New Roman"/>
          <w:b w:val="0"/>
          <w:bCs w:val="0"/>
          <w:color w:val="auto"/>
          <w:kern w:val="0"/>
          <w:sz w:val="32"/>
          <w:szCs w:val="32"/>
        </w:rPr>
        <w:t>使其在多样化的传播渠道中更好发出政府权威声音。</w:t>
      </w:r>
      <w:r>
        <w:rPr>
          <w:rFonts w:hint="default" w:ascii="Times New Roman" w:hAnsi="Times New Roman" w:eastAsia="仿宋_GB2312" w:cs="Times New Roman"/>
          <w:b w:val="0"/>
          <w:bCs w:val="0"/>
          <w:color w:val="auto"/>
          <w:sz w:val="32"/>
          <w:szCs w:val="32"/>
          <w:lang w:eastAsia="zh-CN"/>
        </w:rPr>
        <w:t>印发《天桥区人民政府公报》</w:t>
      </w:r>
      <w:r>
        <w:rPr>
          <w:rFonts w:hint="default" w:ascii="Times New Roman" w:hAnsi="Times New Roman" w:eastAsia="仿宋_GB2312" w:cs="Times New Roman"/>
          <w:b w:val="0"/>
          <w:bCs w:val="0"/>
          <w:color w:val="auto"/>
          <w:sz w:val="32"/>
          <w:szCs w:val="32"/>
          <w:lang w:val="en-US" w:eastAsia="zh-CN"/>
        </w:rPr>
        <w:t>4</w:t>
      </w:r>
      <w:r>
        <w:rPr>
          <w:rFonts w:hint="default" w:ascii="Times New Roman" w:hAnsi="Times New Roman" w:eastAsia="仿宋_GB2312" w:cs="Times New Roman"/>
          <w:b w:val="0"/>
          <w:bCs w:val="0"/>
          <w:color w:val="auto"/>
          <w:sz w:val="32"/>
          <w:szCs w:val="32"/>
          <w:lang w:eastAsia="zh-CN"/>
        </w:rPr>
        <w:t>期，并在区政府门户网站公开。</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0" w:lineRule="exact"/>
        <w:ind w:leftChars="200" w:right="0" w:rightChars="0" w:firstLine="318" w:firstLineChars="100"/>
        <w:jc w:val="both"/>
        <w:textAlignment w:val="auto"/>
        <w:rPr>
          <w:rFonts w:hint="default" w:ascii="Times New Roman" w:hAnsi="Times New Roman" w:eastAsia="楷体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eastAsia="zh-CN"/>
        </w:rPr>
        <w:drawing>
          <wp:anchor distT="0" distB="0" distL="114300" distR="114300" simplePos="0" relativeHeight="251662336" behindDoc="0" locked="0" layoutInCell="1" allowOverlap="1">
            <wp:simplePos x="0" y="0"/>
            <wp:positionH relativeFrom="column">
              <wp:posOffset>635635</wp:posOffset>
            </wp:positionH>
            <wp:positionV relativeFrom="paragraph">
              <wp:posOffset>195580</wp:posOffset>
            </wp:positionV>
            <wp:extent cx="4319905" cy="2126615"/>
            <wp:effectExtent l="0" t="0" r="4445" b="6985"/>
            <wp:wrapTopAndBottom/>
            <wp:docPr id="5" name="图片 5" descr="1612426850(1)"/>
            <wp:cNvGraphicFramePr/>
            <a:graphic xmlns:a="http://schemas.openxmlformats.org/drawingml/2006/main">
              <a:graphicData uri="http://schemas.openxmlformats.org/drawingml/2006/picture">
                <pic:pic xmlns:pic="http://schemas.openxmlformats.org/drawingml/2006/picture">
                  <pic:nvPicPr>
                    <pic:cNvPr id="5" name="图片 5" descr="1612426850(1)"/>
                    <pic:cNvPicPr/>
                  </pic:nvPicPr>
                  <pic:blipFill>
                    <a:blip r:embed="rId23"/>
                    <a:stretch>
                      <a:fillRect/>
                    </a:stretch>
                  </pic:blipFill>
                  <pic:spPr>
                    <a:xfrm>
                      <a:off x="0" y="0"/>
                      <a:ext cx="4319905" cy="2126615"/>
                    </a:xfrm>
                    <a:prstGeom prst="rect">
                      <a:avLst/>
                    </a:prstGeom>
                  </pic:spPr>
                </pic:pic>
              </a:graphicData>
            </a:graphic>
          </wp:anchor>
        </w:drawing>
      </w:r>
      <w:r>
        <w:rPr>
          <w:rFonts w:hint="default" w:ascii="Times New Roman" w:hAnsi="Times New Roman" w:eastAsia="楷体_GB2312" w:cs="Times New Roman"/>
          <w:b w:val="0"/>
          <w:bCs w:val="0"/>
          <w:color w:val="auto"/>
          <w:sz w:val="32"/>
          <w:szCs w:val="32"/>
          <w:lang w:val="en-US" w:eastAsia="zh-CN"/>
        </w:rPr>
        <w:t>（五）细化整改落实，监督考核持续加强</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0" w:lineRule="exact"/>
        <w:ind w:right="0" w:rightChars="0" w:firstLine="636" w:firstLineChars="200"/>
        <w:jc w:val="both"/>
        <w:textAlignment w:val="auto"/>
        <w:rPr>
          <w:rFonts w:hint="default" w:ascii="Times New Roman" w:hAnsi="Times New Roman" w:eastAsia="仿宋_GB2312" w:cs="Times New Roman"/>
          <w:b w:val="0"/>
          <w:bCs w:val="0"/>
          <w:color w:val="auto"/>
          <w:sz w:val="32"/>
          <w:szCs w:val="40"/>
          <w:lang w:eastAsia="zh-CN"/>
        </w:rPr>
      </w:pPr>
      <w:r>
        <w:rPr>
          <w:rFonts w:hint="default" w:ascii="Times New Roman" w:hAnsi="Times New Roman" w:eastAsia="仿宋_GB2312" w:cs="Times New Roman"/>
          <w:b w:val="0"/>
          <w:bCs w:val="0"/>
          <w:color w:val="auto"/>
          <w:sz w:val="32"/>
          <w:szCs w:val="40"/>
          <w:lang w:val="en-US" w:eastAsia="zh-CN"/>
        </w:rPr>
        <w:t>一是整改有力。</w:t>
      </w:r>
      <w:r>
        <w:rPr>
          <w:rFonts w:hint="default" w:ascii="Times New Roman" w:hAnsi="Times New Roman" w:eastAsia="仿宋_GB2312" w:cs="Times New Roman"/>
          <w:b w:val="0"/>
          <w:bCs w:val="0"/>
          <w:color w:val="auto"/>
          <w:sz w:val="32"/>
          <w:szCs w:val="40"/>
        </w:rPr>
        <w:t>根据市政府办公厅</w:t>
      </w:r>
      <w:r>
        <w:rPr>
          <w:rFonts w:hint="default" w:ascii="Times New Roman" w:hAnsi="Times New Roman" w:eastAsia="仿宋_GB2312" w:cs="Times New Roman"/>
          <w:b w:val="0"/>
          <w:bCs w:val="0"/>
          <w:color w:val="auto"/>
          <w:sz w:val="32"/>
          <w:szCs w:val="40"/>
          <w:lang w:eastAsia="zh-CN"/>
        </w:rPr>
        <w:t>反馈中的</w:t>
      </w:r>
      <w:r>
        <w:rPr>
          <w:rFonts w:hint="default" w:ascii="Times New Roman" w:hAnsi="Times New Roman" w:eastAsia="仿宋_GB2312" w:cs="Times New Roman"/>
          <w:b w:val="0"/>
          <w:bCs w:val="0"/>
          <w:color w:val="auto"/>
          <w:sz w:val="32"/>
          <w:szCs w:val="40"/>
        </w:rPr>
        <w:t>突出问题和整改要求，</w:t>
      </w:r>
      <w:r>
        <w:rPr>
          <w:rFonts w:hint="default" w:ascii="Times New Roman" w:hAnsi="Times New Roman" w:eastAsia="仿宋_GB2312" w:cs="Times New Roman"/>
          <w:b w:val="0"/>
          <w:bCs w:val="0"/>
          <w:color w:val="auto"/>
          <w:sz w:val="32"/>
          <w:szCs w:val="40"/>
          <w:lang w:eastAsia="zh-CN"/>
        </w:rPr>
        <w:t>召开专题会议讨论，</w:t>
      </w:r>
      <w:r>
        <w:rPr>
          <w:rFonts w:hint="default" w:ascii="Times New Roman" w:hAnsi="Times New Roman" w:eastAsia="仿宋_GB2312" w:cs="Times New Roman"/>
          <w:b w:val="0"/>
          <w:bCs w:val="0"/>
          <w:color w:val="auto"/>
          <w:sz w:val="32"/>
          <w:szCs w:val="40"/>
        </w:rPr>
        <w:t>全面梳理，分类处理</w:t>
      </w:r>
      <w:r>
        <w:rPr>
          <w:rFonts w:hint="default" w:ascii="Times New Roman" w:hAnsi="Times New Roman" w:eastAsia="仿宋_GB2312" w:cs="Times New Roman"/>
          <w:b w:val="0"/>
          <w:bCs w:val="0"/>
          <w:color w:val="auto"/>
          <w:sz w:val="32"/>
          <w:szCs w:val="40"/>
          <w:lang w:eastAsia="zh-CN"/>
        </w:rPr>
        <w:t>，</w:t>
      </w:r>
      <w:r>
        <w:rPr>
          <w:rFonts w:hint="default" w:ascii="Times New Roman" w:hAnsi="Times New Roman" w:eastAsia="仿宋_GB2312" w:cs="Times New Roman"/>
          <w:b w:val="0"/>
          <w:bCs w:val="0"/>
          <w:color w:val="auto"/>
          <w:sz w:val="32"/>
          <w:szCs w:val="40"/>
        </w:rPr>
        <w:t>向</w:t>
      </w:r>
      <w:r>
        <w:rPr>
          <w:rFonts w:hint="default" w:ascii="Times New Roman" w:hAnsi="Times New Roman" w:eastAsia="仿宋_GB2312" w:cs="Times New Roman"/>
          <w:b w:val="0"/>
          <w:bCs w:val="0"/>
          <w:color w:val="auto"/>
          <w:sz w:val="32"/>
          <w:szCs w:val="40"/>
          <w:lang w:eastAsia="zh-CN"/>
        </w:rPr>
        <w:t>相关</w:t>
      </w:r>
      <w:r>
        <w:rPr>
          <w:rFonts w:hint="default" w:ascii="Times New Roman" w:hAnsi="Times New Roman" w:eastAsia="仿宋_GB2312" w:cs="Times New Roman"/>
          <w:b w:val="0"/>
          <w:bCs w:val="0"/>
          <w:color w:val="auto"/>
          <w:sz w:val="32"/>
          <w:szCs w:val="40"/>
        </w:rPr>
        <w:t>单位下发</w:t>
      </w:r>
      <w:r>
        <w:rPr>
          <w:rFonts w:hint="default" w:ascii="Times New Roman" w:hAnsi="Times New Roman" w:eastAsia="仿宋_GB2312" w:cs="Times New Roman"/>
          <w:b w:val="0"/>
          <w:bCs w:val="0"/>
          <w:color w:val="auto"/>
          <w:sz w:val="32"/>
          <w:szCs w:val="40"/>
          <w:lang w:eastAsia="zh-CN"/>
        </w:rPr>
        <w:t>整改</w:t>
      </w:r>
      <w:r>
        <w:rPr>
          <w:rFonts w:hint="default" w:ascii="Times New Roman" w:hAnsi="Times New Roman" w:eastAsia="仿宋_GB2312" w:cs="Times New Roman"/>
          <w:b w:val="0"/>
          <w:bCs w:val="0"/>
          <w:color w:val="auto"/>
          <w:sz w:val="32"/>
          <w:szCs w:val="40"/>
        </w:rPr>
        <w:t>提醒，要求规定时限内更新、完善信息，由专人对整改工作进行协助指导，确保按时按质按量全面完成整改任务</w:t>
      </w:r>
      <w:r>
        <w:rPr>
          <w:rFonts w:hint="default" w:ascii="Times New Roman" w:hAnsi="Times New Roman" w:eastAsia="仿宋_GB2312" w:cs="Times New Roman"/>
          <w:b w:val="0"/>
          <w:bCs w:val="0"/>
          <w:color w:val="auto"/>
          <w:sz w:val="32"/>
          <w:szCs w:val="40"/>
          <w:lang w:eastAsia="zh-CN"/>
        </w:rPr>
        <w:t>，相关</w:t>
      </w:r>
      <w:r>
        <w:rPr>
          <w:rFonts w:hint="default" w:ascii="Times New Roman" w:hAnsi="Times New Roman" w:eastAsia="仿宋_GB2312" w:cs="Times New Roman"/>
          <w:b w:val="0"/>
          <w:bCs w:val="0"/>
          <w:color w:val="auto"/>
          <w:sz w:val="32"/>
          <w:szCs w:val="40"/>
        </w:rPr>
        <w:t>单位对照</w:t>
      </w:r>
      <w:r>
        <w:rPr>
          <w:rFonts w:hint="default" w:ascii="Times New Roman" w:hAnsi="Times New Roman" w:eastAsia="仿宋_GB2312" w:cs="Times New Roman"/>
          <w:b w:val="0"/>
          <w:bCs w:val="0"/>
          <w:color w:val="auto"/>
          <w:sz w:val="32"/>
          <w:szCs w:val="40"/>
          <w:lang w:eastAsia="zh-CN"/>
        </w:rPr>
        <w:t>“</w:t>
      </w:r>
      <w:r>
        <w:rPr>
          <w:rFonts w:hint="default" w:ascii="Times New Roman" w:hAnsi="Times New Roman" w:eastAsia="仿宋_GB2312" w:cs="Times New Roman"/>
          <w:b w:val="0"/>
          <w:bCs w:val="0"/>
          <w:color w:val="auto"/>
          <w:sz w:val="32"/>
          <w:szCs w:val="40"/>
        </w:rPr>
        <w:t>提醒单</w:t>
      </w:r>
      <w:r>
        <w:rPr>
          <w:rFonts w:hint="default" w:ascii="Times New Roman" w:hAnsi="Times New Roman" w:eastAsia="仿宋_GB2312" w:cs="Times New Roman"/>
          <w:b w:val="0"/>
          <w:bCs w:val="0"/>
          <w:color w:val="auto"/>
          <w:sz w:val="32"/>
          <w:szCs w:val="40"/>
          <w:lang w:eastAsia="zh-CN"/>
        </w:rPr>
        <w:t>”</w:t>
      </w:r>
      <w:r>
        <w:rPr>
          <w:rFonts w:hint="default" w:ascii="Times New Roman" w:hAnsi="Times New Roman" w:eastAsia="仿宋_GB2312" w:cs="Times New Roman"/>
          <w:b w:val="0"/>
          <w:bCs w:val="0"/>
          <w:color w:val="auto"/>
          <w:sz w:val="32"/>
          <w:szCs w:val="40"/>
        </w:rPr>
        <w:t>及第三方反馈要求，制定整改措施，细化整改方案</w:t>
      </w:r>
      <w:r>
        <w:rPr>
          <w:rFonts w:hint="default" w:ascii="Times New Roman" w:hAnsi="Times New Roman" w:eastAsia="仿宋_GB2312" w:cs="Times New Roman"/>
          <w:b w:val="0"/>
          <w:bCs w:val="0"/>
          <w:color w:val="auto"/>
          <w:sz w:val="32"/>
          <w:szCs w:val="40"/>
          <w:lang w:eastAsia="zh-CN"/>
        </w:rPr>
        <w:t>；</w:t>
      </w:r>
      <w:r>
        <w:rPr>
          <w:rFonts w:hint="default" w:ascii="Times New Roman" w:hAnsi="Times New Roman" w:eastAsia="仿宋_GB2312" w:cs="Times New Roman"/>
          <w:b w:val="0"/>
          <w:bCs w:val="0"/>
          <w:color w:val="auto"/>
          <w:sz w:val="32"/>
          <w:szCs w:val="40"/>
        </w:rPr>
        <w:t>能够整改的问题，第一时间调度各部门补充、完善、审核、校对，确保工作任务到位、责任到位</w:t>
      </w:r>
      <w:r>
        <w:rPr>
          <w:rFonts w:hint="default" w:ascii="Times New Roman" w:hAnsi="Times New Roman" w:eastAsia="仿宋_GB2312" w:cs="Times New Roman"/>
          <w:b w:val="0"/>
          <w:bCs w:val="0"/>
          <w:color w:val="auto"/>
          <w:sz w:val="32"/>
          <w:szCs w:val="40"/>
          <w:lang w:eastAsia="zh-CN"/>
        </w:rPr>
        <w:t>，并形成整改情况报告。</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0" w:lineRule="exact"/>
        <w:ind w:right="0" w:rightChars="0" w:firstLine="636" w:firstLineChars="200"/>
        <w:jc w:val="both"/>
        <w:textAlignment w:val="auto"/>
        <w:rPr>
          <w:rFonts w:hint="default" w:ascii="Times New Roman" w:hAnsi="Times New Roman" w:eastAsia="仿宋_GB2312" w:cs="Times New Roman"/>
          <w:b w:val="0"/>
          <w:bCs w:val="0"/>
          <w:color w:val="auto"/>
          <w:sz w:val="32"/>
          <w:szCs w:val="40"/>
          <w:lang w:eastAsia="zh-CN"/>
        </w:rPr>
      </w:pPr>
      <w:r>
        <w:rPr>
          <w:rFonts w:hint="default" w:ascii="Times New Roman" w:hAnsi="Times New Roman" w:eastAsia="仿宋_GB2312" w:cs="Times New Roman"/>
          <w:b w:val="0"/>
          <w:bCs w:val="0"/>
          <w:color w:val="auto"/>
          <w:sz w:val="32"/>
          <w:szCs w:val="40"/>
          <w:lang w:eastAsia="zh-CN"/>
        </w:rPr>
        <w:t>二是</w:t>
      </w:r>
      <w:r>
        <w:rPr>
          <w:rFonts w:hint="default" w:ascii="Times New Roman" w:hAnsi="Times New Roman" w:eastAsia="仿宋_GB2312" w:cs="Times New Roman"/>
          <w:b w:val="0"/>
          <w:bCs w:val="0"/>
          <w:color w:val="auto"/>
          <w:sz w:val="32"/>
          <w:szCs w:val="40"/>
        </w:rPr>
        <w:t>沟通有效。根据上级文件及考核指标要求，聚焦政务公开重点领域，强化工作督导及日常调度，</w:t>
      </w:r>
      <w:r>
        <w:rPr>
          <w:rFonts w:hint="default" w:ascii="Times New Roman" w:hAnsi="Times New Roman" w:eastAsia="仿宋_GB2312" w:cs="Times New Roman"/>
          <w:b w:val="0"/>
          <w:bCs w:val="0"/>
          <w:color w:val="auto"/>
          <w:sz w:val="32"/>
          <w:szCs w:val="40"/>
          <w:lang w:eastAsia="zh-CN"/>
        </w:rPr>
        <w:t>及时提醒相关单位及时按照要求开展政府信息公开工作，</w:t>
      </w:r>
      <w:r>
        <w:rPr>
          <w:rFonts w:hint="default" w:ascii="Times New Roman" w:hAnsi="Times New Roman" w:eastAsia="仿宋_GB2312" w:cs="Times New Roman"/>
          <w:b w:val="0"/>
          <w:bCs w:val="0"/>
          <w:color w:val="auto"/>
          <w:sz w:val="32"/>
          <w:szCs w:val="40"/>
        </w:rPr>
        <w:t>确保政府各部门、街道办事处能够根据工作进展及时更新相关信息</w:t>
      </w:r>
      <w:r>
        <w:rPr>
          <w:rFonts w:hint="default" w:ascii="Times New Roman" w:hAnsi="Times New Roman" w:eastAsia="仿宋_GB2312" w:cs="Times New Roman"/>
          <w:b w:val="0"/>
          <w:bCs w:val="0"/>
          <w:color w:val="auto"/>
          <w:sz w:val="32"/>
          <w:szCs w:val="40"/>
          <w:lang w:eastAsia="zh-CN"/>
        </w:rPr>
        <w:t>，</w:t>
      </w:r>
      <w:r>
        <w:rPr>
          <w:rFonts w:hint="default" w:ascii="Times New Roman" w:hAnsi="Times New Roman" w:eastAsia="仿宋_GB2312" w:cs="Times New Roman"/>
          <w:b w:val="0"/>
          <w:bCs w:val="0"/>
          <w:color w:val="auto"/>
          <w:sz w:val="32"/>
          <w:szCs w:val="40"/>
        </w:rPr>
        <w:t>做到全区政务公开工作统一思想、明确任务，步调一致、形成合力</w:t>
      </w:r>
      <w:r>
        <w:rPr>
          <w:rFonts w:hint="default" w:ascii="Times New Roman" w:hAnsi="Times New Roman" w:eastAsia="仿宋_GB2312" w:cs="Times New Roman"/>
          <w:b w:val="0"/>
          <w:bCs w:val="0"/>
          <w:color w:val="auto"/>
          <w:sz w:val="32"/>
          <w:szCs w:val="40"/>
          <w:lang w:eastAsia="zh-CN"/>
        </w:rPr>
        <w:t>。</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0" w:lineRule="exact"/>
        <w:ind w:right="0" w:rightChars="0" w:firstLine="636" w:firstLineChars="200"/>
        <w:jc w:val="both"/>
        <w:textAlignment w:val="auto"/>
        <w:rPr>
          <w:rFonts w:hint="default" w:ascii="Times New Roman" w:hAnsi="Times New Roman" w:eastAsia="仿宋_GB2312" w:cs="Times New Roman"/>
          <w:b w:val="0"/>
          <w:bCs w:val="0"/>
          <w:color w:val="auto"/>
          <w:sz w:val="32"/>
          <w:szCs w:val="40"/>
          <w:lang w:eastAsia="zh-CN"/>
        </w:rPr>
      </w:pPr>
      <w:r>
        <w:rPr>
          <w:rFonts w:hint="default" w:ascii="Times New Roman" w:hAnsi="Times New Roman" w:eastAsia="仿宋_GB2312" w:cs="Times New Roman"/>
          <w:b w:val="0"/>
          <w:bCs w:val="0"/>
          <w:color w:val="auto"/>
          <w:sz w:val="32"/>
          <w:szCs w:val="40"/>
          <w:lang w:eastAsia="zh-CN"/>
        </w:rPr>
        <w:t>三是考评有序。建立健全政府信息公开工作考核制度、社会评议制度和责任追究制度，主动将政府信息公开工作纳入到天桥区</w:t>
      </w:r>
      <w:r>
        <w:rPr>
          <w:rFonts w:hint="default" w:ascii="Times New Roman" w:hAnsi="Times New Roman" w:eastAsia="仿宋_GB2312" w:cs="Times New Roman"/>
          <w:b w:val="0"/>
          <w:bCs w:val="0"/>
          <w:color w:val="auto"/>
          <w:sz w:val="32"/>
          <w:szCs w:val="40"/>
          <w:lang w:val="en-US" w:eastAsia="zh-CN"/>
        </w:rPr>
        <w:t>2020</w:t>
      </w:r>
      <w:r>
        <w:rPr>
          <w:rFonts w:hint="default" w:ascii="Times New Roman" w:hAnsi="Times New Roman" w:eastAsia="仿宋_GB2312" w:cs="Times New Roman"/>
          <w:b w:val="0"/>
          <w:bCs w:val="0"/>
          <w:color w:val="auto"/>
          <w:sz w:val="32"/>
          <w:szCs w:val="40"/>
          <w:lang w:eastAsia="zh-CN"/>
        </w:rPr>
        <w:t>年经济社会综合考核，制定经济社会发展综合考核计分办法。截至目前，全区不存在违规行为，无责任追究情况。</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80" w:lineRule="exact"/>
        <w:ind w:right="0" w:firstLine="636" w:firstLineChars="200"/>
        <w:jc w:val="both"/>
        <w:textAlignment w:val="auto"/>
        <w:rPr>
          <w:rFonts w:hint="default" w:ascii="Times New Roman" w:hAnsi="Times New Roman" w:eastAsia="黑体" w:cs="Times New Roman"/>
          <w:i w:val="0"/>
          <w:caps w:val="0"/>
          <w:color w:val="auto"/>
          <w:spacing w:val="0"/>
          <w:sz w:val="32"/>
          <w:szCs w:val="32"/>
        </w:rPr>
      </w:pPr>
      <w:r>
        <w:rPr>
          <w:rFonts w:hint="default" w:ascii="Times New Roman" w:hAnsi="Times New Roman" w:eastAsia="黑体" w:cs="Times New Roman"/>
          <w:i w:val="0"/>
          <w:caps w:val="0"/>
          <w:color w:val="auto"/>
          <w:spacing w:val="0"/>
          <w:sz w:val="32"/>
          <w:szCs w:val="32"/>
        </w:rPr>
        <w:t>二、主动公开政府信息情况</w:t>
      </w:r>
    </w:p>
    <w:tbl>
      <w:tblPr>
        <w:tblStyle w:val="7"/>
        <w:tblW w:w="8708" w:type="dxa"/>
        <w:jc w:val="center"/>
        <w:shd w:val="clear" w:color="auto" w:fill="auto"/>
        <w:tblLayout w:type="fixed"/>
        <w:tblCellMar>
          <w:top w:w="0" w:type="dxa"/>
          <w:left w:w="0" w:type="dxa"/>
          <w:bottom w:w="0" w:type="dxa"/>
          <w:right w:w="0" w:type="dxa"/>
        </w:tblCellMar>
      </w:tblPr>
      <w:tblGrid>
        <w:gridCol w:w="3073"/>
        <w:gridCol w:w="17"/>
        <w:gridCol w:w="2095"/>
        <w:gridCol w:w="1505"/>
        <w:gridCol w:w="2018"/>
      </w:tblGrid>
      <w:tr>
        <w:tblPrEx>
          <w:shd w:val="clear" w:color="auto" w:fill="auto"/>
          <w:tblCellMar>
            <w:top w:w="0" w:type="dxa"/>
            <w:left w:w="0" w:type="dxa"/>
            <w:bottom w:w="0" w:type="dxa"/>
            <w:right w:w="0" w:type="dxa"/>
          </w:tblCellMar>
        </w:tblPrEx>
        <w:trPr>
          <w:trHeight w:val="774" w:hRule="atLeast"/>
          <w:jc w:val="center"/>
        </w:trPr>
        <w:tc>
          <w:tcPr>
            <w:tcW w:w="8708" w:type="dxa"/>
            <w:gridSpan w:val="5"/>
            <w:tcBorders>
              <w:top w:val="single" w:color="auto" w:sz="8" w:space="0"/>
              <w:left w:val="single" w:color="auto" w:sz="8" w:space="0"/>
              <w:bottom w:val="single" w:color="auto" w:sz="8" w:space="0"/>
              <w:right w:val="single" w:color="auto" w:sz="8" w:space="0"/>
            </w:tcBorders>
            <w:shd w:val="clear" w:color="auto" w:fill="auto"/>
            <w:noWrap w:val="0"/>
            <w:tcMar>
              <w:left w:w="108" w:type="dxa"/>
              <w:right w:w="108" w:type="dxa"/>
            </w:tcMar>
            <w:vAlign w:val="center"/>
          </w:tcPr>
          <w:p>
            <w:pPr>
              <w:widowControl/>
              <w:jc w:val="center"/>
              <w:rPr>
                <w:rFonts w:hint="default" w:ascii="Times New Roman" w:hAnsi="Times New Roman" w:cs="Times New Roman"/>
                <w:color w:val="auto"/>
                <w:sz w:val="24"/>
              </w:rPr>
            </w:pPr>
            <w:r>
              <w:rPr>
                <w:rFonts w:hint="default" w:ascii="Times New Roman" w:hAnsi="Times New Roman" w:cs="Times New Roman"/>
                <w:color w:val="auto"/>
                <w:kern w:val="0"/>
                <w:sz w:val="24"/>
              </w:rPr>
              <w:t>第二十条第（一）项</w:t>
            </w:r>
          </w:p>
        </w:tc>
      </w:tr>
      <w:tr>
        <w:tblPrEx>
          <w:shd w:val="clear" w:color="auto" w:fill="auto"/>
          <w:tblCellMar>
            <w:top w:w="0" w:type="dxa"/>
            <w:left w:w="0" w:type="dxa"/>
            <w:bottom w:w="0" w:type="dxa"/>
            <w:right w:w="0" w:type="dxa"/>
          </w:tblCellMar>
        </w:tblPrEx>
        <w:trPr>
          <w:trHeight w:val="866" w:hRule="atLeast"/>
          <w:jc w:val="center"/>
        </w:trPr>
        <w:tc>
          <w:tcPr>
            <w:tcW w:w="3073" w:type="dxa"/>
            <w:tcBorders>
              <w:top w:val="nil"/>
              <w:left w:val="single" w:color="auto" w:sz="8" w:space="0"/>
              <w:bottom w:val="single" w:color="auto" w:sz="8" w:space="0"/>
              <w:right w:val="single" w:color="auto" w:sz="8" w:space="0"/>
            </w:tcBorders>
            <w:shd w:val="clear" w:color="auto" w:fill="auto"/>
            <w:noWrap w:val="0"/>
            <w:tcMar>
              <w:left w:w="108" w:type="dxa"/>
              <w:right w:w="108"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信息内容</w:t>
            </w:r>
          </w:p>
        </w:tc>
        <w:tc>
          <w:tcPr>
            <w:tcW w:w="2112" w:type="dxa"/>
            <w:gridSpan w:val="2"/>
            <w:tcBorders>
              <w:top w:val="single" w:color="auto" w:sz="8" w:space="0"/>
              <w:left w:val="nil"/>
              <w:bottom w:val="single" w:color="auto" w:sz="8" w:space="0"/>
              <w:right w:val="single" w:color="auto" w:sz="8" w:space="0"/>
            </w:tcBorders>
            <w:shd w:val="clear" w:color="auto" w:fill="auto"/>
            <w:noWrap w:val="0"/>
            <w:tcMar>
              <w:left w:w="108" w:type="dxa"/>
              <w:right w:w="108"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本年新制作数量</w:t>
            </w:r>
          </w:p>
        </w:tc>
        <w:tc>
          <w:tcPr>
            <w:tcW w:w="1505" w:type="dxa"/>
            <w:tcBorders>
              <w:top w:val="single" w:color="auto" w:sz="8" w:space="0"/>
              <w:left w:val="nil"/>
              <w:bottom w:val="single" w:color="auto" w:sz="8" w:space="0"/>
              <w:right w:val="single" w:color="auto" w:sz="8" w:space="0"/>
            </w:tcBorders>
            <w:shd w:val="clear" w:color="auto" w:fill="auto"/>
            <w:noWrap w:val="0"/>
            <w:tcMar>
              <w:left w:w="108" w:type="dxa"/>
              <w:right w:w="108" w:type="dxa"/>
            </w:tcMar>
            <w:vAlign w:val="center"/>
          </w:tcPr>
          <w:p>
            <w:pPr>
              <w:widowControl/>
              <w:jc w:val="center"/>
              <w:rPr>
                <w:rFonts w:hint="eastAsia" w:ascii="Times New Roman" w:hAnsi="Times New Roman" w:cs="Times New Roman" w:eastAsiaTheme="minorEastAsia"/>
                <w:color w:val="auto"/>
                <w:kern w:val="0"/>
                <w:sz w:val="24"/>
                <w:lang w:eastAsia="zh-CN"/>
              </w:rPr>
            </w:pPr>
            <w:r>
              <w:rPr>
                <w:rFonts w:hint="default" w:ascii="Times New Roman" w:hAnsi="Times New Roman" w:cs="Times New Roman"/>
                <w:color w:val="auto"/>
                <w:kern w:val="0"/>
                <w:sz w:val="24"/>
              </w:rPr>
              <w:t>本年新</w:t>
            </w:r>
          </w:p>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公开数量</w:t>
            </w:r>
          </w:p>
        </w:tc>
        <w:tc>
          <w:tcPr>
            <w:tcW w:w="2018" w:type="dxa"/>
            <w:tcBorders>
              <w:top w:val="nil"/>
              <w:left w:val="nil"/>
              <w:bottom w:val="single" w:color="auto" w:sz="8" w:space="0"/>
              <w:right w:val="single" w:color="auto" w:sz="8" w:space="0"/>
            </w:tcBorders>
            <w:shd w:val="clear" w:color="auto" w:fill="auto"/>
            <w:noWrap w:val="0"/>
            <w:tcMar>
              <w:left w:w="108" w:type="dxa"/>
              <w:right w:w="108"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对外公开</w:t>
            </w:r>
          </w:p>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总数量</w:t>
            </w:r>
          </w:p>
        </w:tc>
      </w:tr>
      <w:tr>
        <w:tblPrEx>
          <w:shd w:val="clear" w:color="auto" w:fill="auto"/>
          <w:tblCellMar>
            <w:top w:w="0" w:type="dxa"/>
            <w:left w:w="0" w:type="dxa"/>
            <w:bottom w:w="0" w:type="dxa"/>
            <w:right w:w="0" w:type="dxa"/>
          </w:tblCellMar>
        </w:tblPrEx>
        <w:trPr>
          <w:trHeight w:val="399" w:hRule="atLeast"/>
          <w:jc w:val="center"/>
        </w:trPr>
        <w:tc>
          <w:tcPr>
            <w:tcW w:w="3073" w:type="dxa"/>
            <w:tcBorders>
              <w:top w:val="nil"/>
              <w:left w:val="single" w:color="auto" w:sz="8" w:space="0"/>
              <w:bottom w:val="single" w:color="auto" w:sz="8" w:space="0"/>
              <w:right w:val="single" w:color="auto" w:sz="8" w:space="0"/>
            </w:tcBorders>
            <w:shd w:val="clear" w:color="auto" w:fill="auto"/>
            <w:noWrap w:val="0"/>
            <w:tcMar>
              <w:left w:w="108" w:type="dxa"/>
              <w:right w:w="108"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规章</w:t>
            </w:r>
          </w:p>
        </w:tc>
        <w:tc>
          <w:tcPr>
            <w:tcW w:w="2112" w:type="dxa"/>
            <w:gridSpan w:val="2"/>
            <w:tcBorders>
              <w:top w:val="nil"/>
              <w:left w:val="nil"/>
              <w:bottom w:val="single" w:color="auto" w:sz="8" w:space="0"/>
              <w:right w:val="single" w:color="auto" w:sz="8" w:space="0"/>
            </w:tcBorders>
            <w:shd w:val="clear" w:color="auto" w:fill="auto"/>
            <w:noWrap w:val="0"/>
            <w:tcMar>
              <w:left w:w="108" w:type="dxa"/>
              <w:right w:w="108" w:type="dxa"/>
            </w:tcMar>
            <w:vAlign w:val="center"/>
          </w:tcPr>
          <w:p>
            <w:pPr>
              <w:widowControl/>
              <w:jc w:val="center"/>
              <w:rPr>
                <w:rFonts w:hint="default" w:ascii="Times New Roman" w:hAnsi="Times New Roman" w:eastAsia="宋体" w:cs="Times New Roman"/>
                <w:color w:val="auto"/>
                <w:kern w:val="0"/>
                <w:sz w:val="24"/>
                <w:lang w:eastAsia="zh-CN"/>
              </w:rPr>
            </w:pPr>
            <w:r>
              <w:rPr>
                <w:rFonts w:hint="eastAsia" w:ascii="Times New Roman" w:hAnsi="Times New Roman" w:cs="Times New Roman"/>
                <w:color w:val="auto"/>
                <w:kern w:val="0"/>
                <w:sz w:val="24"/>
                <w:lang w:val="en-US" w:eastAsia="zh-CN"/>
              </w:rPr>
              <w:t>0</w:t>
            </w:r>
          </w:p>
        </w:tc>
        <w:tc>
          <w:tcPr>
            <w:tcW w:w="1505" w:type="dxa"/>
            <w:tcBorders>
              <w:top w:val="nil"/>
              <w:left w:val="nil"/>
              <w:bottom w:val="single" w:color="auto" w:sz="8" w:space="0"/>
              <w:right w:val="single" w:color="auto" w:sz="8" w:space="0"/>
            </w:tcBorders>
            <w:shd w:val="clear" w:color="auto" w:fill="auto"/>
            <w:noWrap w:val="0"/>
            <w:tcMar>
              <w:left w:w="108" w:type="dxa"/>
              <w:right w:w="108" w:type="dxa"/>
            </w:tcMar>
            <w:vAlign w:val="center"/>
          </w:tcPr>
          <w:p>
            <w:pPr>
              <w:widowControl/>
              <w:jc w:val="center"/>
              <w:rPr>
                <w:rFonts w:hint="default" w:ascii="Times New Roman" w:hAnsi="Times New Roman" w:cs="Times New Roman"/>
                <w:color w:val="auto"/>
                <w:kern w:val="0"/>
                <w:sz w:val="24"/>
              </w:rPr>
            </w:pPr>
            <w:r>
              <w:rPr>
                <w:rFonts w:hint="eastAsia" w:ascii="Times New Roman" w:hAnsi="Times New Roman" w:cs="Times New Roman"/>
                <w:color w:val="auto"/>
                <w:kern w:val="0"/>
                <w:sz w:val="24"/>
                <w:lang w:val="en-US" w:eastAsia="zh-CN"/>
              </w:rPr>
              <w:t>0</w:t>
            </w:r>
          </w:p>
        </w:tc>
        <w:tc>
          <w:tcPr>
            <w:tcW w:w="2018" w:type="dxa"/>
            <w:tcBorders>
              <w:top w:val="nil"/>
              <w:left w:val="nil"/>
              <w:bottom w:val="single" w:color="auto" w:sz="8" w:space="0"/>
              <w:right w:val="single" w:color="auto" w:sz="8" w:space="0"/>
            </w:tcBorders>
            <w:shd w:val="clear" w:color="auto" w:fill="auto"/>
            <w:noWrap w:val="0"/>
            <w:tcMar>
              <w:left w:w="108" w:type="dxa"/>
              <w:right w:w="108" w:type="dxa"/>
            </w:tcMar>
            <w:vAlign w:val="center"/>
          </w:tcPr>
          <w:p>
            <w:pPr>
              <w:widowControl/>
              <w:jc w:val="center"/>
              <w:rPr>
                <w:rFonts w:hint="default" w:ascii="Times New Roman" w:hAnsi="Times New Roman" w:cs="Times New Roman"/>
                <w:color w:val="auto"/>
                <w:kern w:val="0"/>
                <w:sz w:val="24"/>
              </w:rPr>
            </w:pPr>
            <w:r>
              <w:rPr>
                <w:rFonts w:hint="eastAsia" w:ascii="Times New Roman" w:hAnsi="Times New Roman" w:cs="Times New Roman"/>
                <w:color w:val="auto"/>
                <w:kern w:val="0"/>
                <w:sz w:val="24"/>
                <w:lang w:val="en-US" w:eastAsia="zh-CN"/>
              </w:rPr>
              <w:t>0</w:t>
            </w:r>
          </w:p>
        </w:tc>
      </w:tr>
      <w:tr>
        <w:tblPrEx>
          <w:shd w:val="clear" w:color="auto" w:fill="auto"/>
          <w:tblCellMar>
            <w:top w:w="0" w:type="dxa"/>
            <w:left w:w="0" w:type="dxa"/>
            <w:bottom w:w="0" w:type="dxa"/>
            <w:right w:w="0" w:type="dxa"/>
          </w:tblCellMar>
        </w:tblPrEx>
        <w:trPr>
          <w:trHeight w:val="404" w:hRule="atLeast"/>
          <w:jc w:val="center"/>
        </w:trPr>
        <w:tc>
          <w:tcPr>
            <w:tcW w:w="3073" w:type="dxa"/>
            <w:tcBorders>
              <w:top w:val="nil"/>
              <w:left w:val="single" w:color="auto" w:sz="8" w:space="0"/>
              <w:bottom w:val="single" w:color="auto" w:sz="8" w:space="0"/>
              <w:right w:val="single" w:color="auto" w:sz="8" w:space="0"/>
            </w:tcBorders>
            <w:shd w:val="clear" w:color="auto" w:fill="auto"/>
            <w:noWrap w:val="0"/>
            <w:tcMar>
              <w:left w:w="108" w:type="dxa"/>
              <w:right w:w="108"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规范性文件</w:t>
            </w:r>
          </w:p>
        </w:tc>
        <w:tc>
          <w:tcPr>
            <w:tcW w:w="2112" w:type="dxa"/>
            <w:gridSpan w:val="2"/>
            <w:tcBorders>
              <w:top w:val="nil"/>
              <w:left w:val="nil"/>
              <w:bottom w:val="single" w:color="auto" w:sz="8" w:space="0"/>
              <w:right w:val="single" w:color="auto" w:sz="8" w:space="0"/>
            </w:tcBorders>
            <w:shd w:val="clear" w:color="auto" w:fill="auto"/>
            <w:noWrap w:val="0"/>
            <w:tcMar>
              <w:left w:w="108" w:type="dxa"/>
              <w:right w:w="108" w:type="dxa"/>
            </w:tcMar>
            <w:vAlign w:val="center"/>
          </w:tcPr>
          <w:p>
            <w:pPr>
              <w:widowControl/>
              <w:jc w:val="center"/>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1</w:t>
            </w:r>
          </w:p>
        </w:tc>
        <w:tc>
          <w:tcPr>
            <w:tcW w:w="1505" w:type="dxa"/>
            <w:tcBorders>
              <w:top w:val="nil"/>
              <w:left w:val="nil"/>
              <w:bottom w:val="single" w:color="auto" w:sz="8" w:space="0"/>
              <w:right w:val="single" w:color="auto" w:sz="8" w:space="0"/>
            </w:tcBorders>
            <w:shd w:val="clear" w:color="auto" w:fill="auto"/>
            <w:noWrap w:val="0"/>
            <w:tcMar>
              <w:left w:w="108" w:type="dxa"/>
              <w:right w:w="108" w:type="dxa"/>
            </w:tcMar>
            <w:vAlign w:val="center"/>
          </w:tcPr>
          <w:p>
            <w:pPr>
              <w:widowControl/>
              <w:jc w:val="center"/>
              <w:rPr>
                <w:rFonts w:hint="default" w:ascii="Times New Roman" w:hAnsi="Times New Roman" w:cs="Times New Roman" w:eastAsiaTheme="minorEastAsia"/>
                <w:color w:val="auto"/>
                <w:kern w:val="0"/>
                <w:sz w:val="24"/>
                <w:lang w:val="en-US" w:eastAsia="zh-CN"/>
              </w:rPr>
            </w:pPr>
            <w:r>
              <w:rPr>
                <w:rFonts w:hint="default" w:ascii="Times New Roman" w:hAnsi="Times New Roman" w:cs="Times New Roman"/>
                <w:color w:val="auto"/>
                <w:kern w:val="0"/>
                <w:sz w:val="24"/>
                <w:lang w:val="en-US" w:eastAsia="zh-CN"/>
              </w:rPr>
              <w:t>1</w:t>
            </w:r>
          </w:p>
        </w:tc>
        <w:tc>
          <w:tcPr>
            <w:tcW w:w="2018" w:type="dxa"/>
            <w:tcBorders>
              <w:top w:val="nil"/>
              <w:left w:val="nil"/>
              <w:bottom w:val="single" w:color="auto" w:sz="8" w:space="0"/>
              <w:right w:val="single" w:color="auto" w:sz="8" w:space="0"/>
            </w:tcBorders>
            <w:shd w:val="clear" w:color="auto" w:fill="auto"/>
            <w:noWrap w:val="0"/>
            <w:tcMar>
              <w:left w:w="108" w:type="dxa"/>
              <w:right w:w="108" w:type="dxa"/>
            </w:tcMar>
            <w:vAlign w:val="center"/>
          </w:tcPr>
          <w:p>
            <w:pPr>
              <w:widowControl/>
              <w:jc w:val="center"/>
              <w:rPr>
                <w:rFonts w:hint="default" w:ascii="Times New Roman" w:hAnsi="Times New Roman" w:cs="Times New Roman" w:eastAsiaTheme="minorEastAsia"/>
                <w:color w:val="auto"/>
                <w:kern w:val="0"/>
                <w:sz w:val="24"/>
                <w:lang w:val="en-US" w:eastAsia="zh-CN"/>
              </w:rPr>
            </w:pPr>
            <w:r>
              <w:rPr>
                <w:rFonts w:hint="default" w:ascii="Times New Roman" w:hAnsi="Times New Roman" w:cs="Times New Roman"/>
                <w:color w:val="auto"/>
                <w:kern w:val="0"/>
                <w:sz w:val="24"/>
                <w:lang w:val="en-US" w:eastAsia="zh-CN"/>
              </w:rPr>
              <w:t>9</w:t>
            </w:r>
          </w:p>
        </w:tc>
      </w:tr>
      <w:tr>
        <w:tblPrEx>
          <w:shd w:val="clear" w:color="auto" w:fill="auto"/>
          <w:tblCellMar>
            <w:top w:w="0" w:type="dxa"/>
            <w:left w:w="0" w:type="dxa"/>
            <w:bottom w:w="0" w:type="dxa"/>
            <w:right w:w="0" w:type="dxa"/>
          </w:tblCellMar>
        </w:tblPrEx>
        <w:trPr>
          <w:trHeight w:val="480" w:hRule="atLeast"/>
          <w:jc w:val="center"/>
        </w:trPr>
        <w:tc>
          <w:tcPr>
            <w:tcW w:w="8708" w:type="dxa"/>
            <w:gridSpan w:val="5"/>
            <w:tcBorders>
              <w:top w:val="nil"/>
              <w:left w:val="single" w:color="auto" w:sz="8" w:space="0"/>
              <w:bottom w:val="single" w:color="auto" w:sz="8" w:space="0"/>
              <w:right w:val="single" w:color="auto" w:sz="8" w:space="0"/>
            </w:tcBorders>
            <w:shd w:val="clear" w:color="auto" w:fill="auto"/>
            <w:noWrap w:val="0"/>
            <w:tcMar>
              <w:left w:w="108" w:type="dxa"/>
              <w:right w:w="108"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第二十条第（五）项</w:t>
            </w:r>
          </w:p>
        </w:tc>
      </w:tr>
      <w:tr>
        <w:tblPrEx>
          <w:shd w:val="clear" w:color="auto" w:fill="auto"/>
          <w:tblCellMar>
            <w:top w:w="0" w:type="dxa"/>
            <w:left w:w="0" w:type="dxa"/>
            <w:bottom w:w="0" w:type="dxa"/>
            <w:right w:w="0" w:type="dxa"/>
          </w:tblCellMar>
        </w:tblPrEx>
        <w:trPr>
          <w:trHeight w:val="516" w:hRule="atLeast"/>
          <w:jc w:val="center"/>
        </w:trPr>
        <w:tc>
          <w:tcPr>
            <w:tcW w:w="3073" w:type="dxa"/>
            <w:tcBorders>
              <w:top w:val="nil"/>
              <w:left w:val="single" w:color="auto" w:sz="8" w:space="0"/>
              <w:bottom w:val="single" w:color="auto" w:sz="8" w:space="0"/>
              <w:right w:val="single" w:color="auto" w:sz="8" w:space="0"/>
            </w:tcBorders>
            <w:shd w:val="clear" w:color="auto" w:fill="auto"/>
            <w:noWrap w:val="0"/>
            <w:tcMar>
              <w:left w:w="108" w:type="dxa"/>
              <w:right w:w="108"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信息内容</w:t>
            </w:r>
          </w:p>
        </w:tc>
        <w:tc>
          <w:tcPr>
            <w:tcW w:w="2112" w:type="dxa"/>
            <w:gridSpan w:val="2"/>
            <w:tcBorders>
              <w:top w:val="single" w:color="auto" w:sz="8" w:space="0"/>
              <w:left w:val="nil"/>
              <w:bottom w:val="single" w:color="auto" w:sz="8" w:space="0"/>
              <w:right w:val="single" w:color="auto" w:sz="8" w:space="0"/>
            </w:tcBorders>
            <w:shd w:val="clear" w:color="auto" w:fill="auto"/>
            <w:noWrap w:val="0"/>
            <w:tcMar>
              <w:left w:w="108" w:type="dxa"/>
              <w:right w:w="108"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上一年项目数量</w:t>
            </w:r>
          </w:p>
        </w:tc>
        <w:tc>
          <w:tcPr>
            <w:tcW w:w="1505" w:type="dxa"/>
            <w:tcBorders>
              <w:top w:val="single" w:color="auto" w:sz="8" w:space="0"/>
              <w:left w:val="nil"/>
              <w:bottom w:val="single" w:color="auto" w:sz="8" w:space="0"/>
              <w:right w:val="single" w:color="auto" w:sz="8" w:space="0"/>
            </w:tcBorders>
            <w:shd w:val="clear" w:color="auto" w:fill="auto"/>
            <w:noWrap w:val="0"/>
            <w:tcMar>
              <w:left w:w="108" w:type="dxa"/>
              <w:right w:w="108"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本年增/减</w:t>
            </w:r>
          </w:p>
        </w:tc>
        <w:tc>
          <w:tcPr>
            <w:tcW w:w="2018" w:type="dxa"/>
            <w:tcBorders>
              <w:top w:val="nil"/>
              <w:left w:val="nil"/>
              <w:bottom w:val="single" w:color="auto" w:sz="8" w:space="0"/>
              <w:right w:val="single" w:color="auto" w:sz="8" w:space="0"/>
            </w:tcBorders>
            <w:shd w:val="clear" w:color="auto" w:fill="auto"/>
            <w:noWrap w:val="0"/>
            <w:tcMar>
              <w:left w:w="108" w:type="dxa"/>
              <w:right w:w="108"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处理决定数量</w:t>
            </w:r>
          </w:p>
        </w:tc>
      </w:tr>
      <w:tr>
        <w:tblPrEx>
          <w:shd w:val="clear" w:color="auto" w:fill="auto"/>
          <w:tblCellMar>
            <w:top w:w="0" w:type="dxa"/>
            <w:left w:w="0" w:type="dxa"/>
            <w:bottom w:w="0" w:type="dxa"/>
            <w:right w:w="0" w:type="dxa"/>
          </w:tblCellMar>
        </w:tblPrEx>
        <w:trPr>
          <w:trHeight w:val="455" w:hRule="atLeast"/>
          <w:jc w:val="center"/>
        </w:trPr>
        <w:tc>
          <w:tcPr>
            <w:tcW w:w="3073" w:type="dxa"/>
            <w:tcBorders>
              <w:top w:val="nil"/>
              <w:left w:val="single" w:color="auto" w:sz="8" w:space="0"/>
              <w:bottom w:val="single" w:color="auto" w:sz="8" w:space="0"/>
              <w:right w:val="single" w:color="auto" w:sz="8" w:space="0"/>
            </w:tcBorders>
            <w:shd w:val="clear" w:color="auto" w:fill="auto"/>
            <w:noWrap w:val="0"/>
            <w:tcMar>
              <w:left w:w="108"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leftChars="0" w:right="0" w:rightChars="0"/>
              <w:jc w:val="left"/>
              <w:rPr>
                <w:rFonts w:hint="default" w:ascii="Times New Roman" w:hAnsi="Times New Roman" w:cs="Times New Roman"/>
                <w:color w:val="auto"/>
                <w:kern w:val="0"/>
                <w:sz w:val="24"/>
              </w:rPr>
            </w:pPr>
            <w:r>
              <w:rPr>
                <w:rFonts w:ascii="微软雅黑" w:hAnsi="微软雅黑" w:eastAsia="微软雅黑" w:cs="微软雅黑"/>
                <w:caps w:val="0"/>
                <w:color w:val="333333"/>
                <w:spacing w:val="0"/>
                <w:sz w:val="24"/>
                <w:szCs w:val="24"/>
              </w:rPr>
              <w:t>行政许可</w:t>
            </w:r>
          </w:p>
        </w:tc>
        <w:tc>
          <w:tcPr>
            <w:tcW w:w="2112" w:type="dxa"/>
            <w:gridSpan w:val="2"/>
            <w:tcBorders>
              <w:top w:val="nil"/>
              <w:left w:val="nil"/>
              <w:bottom w:val="single" w:color="auto" w:sz="8" w:space="0"/>
              <w:right w:val="single" w:color="auto" w:sz="8" w:space="0"/>
            </w:tcBorders>
            <w:shd w:val="clear" w:color="auto" w:fill="auto"/>
            <w:noWrap w:val="0"/>
            <w:tcMar>
              <w:left w:w="108"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leftChars="0" w:right="0" w:rightChars="0"/>
              <w:jc w:val="center"/>
              <w:rPr>
                <w:rFonts w:hint="default" w:ascii="Times New Roman" w:hAnsi="Times New Roman" w:eastAsia="华文中宋" w:cs="Times New Roman"/>
                <w:color w:val="auto"/>
                <w:kern w:val="0"/>
                <w:sz w:val="24"/>
                <w:szCs w:val="24"/>
                <w:lang w:val="en-US" w:eastAsia="zh-CN"/>
              </w:rPr>
            </w:pPr>
            <w:r>
              <w:rPr>
                <w:rFonts w:hint="eastAsia" w:ascii="Times New Roman" w:hAnsi="Times New Roman" w:eastAsia="华文中宋" w:cs="Times New Roman"/>
                <w:caps w:val="0"/>
                <w:color w:val="333333"/>
                <w:spacing w:val="0"/>
                <w:sz w:val="24"/>
                <w:szCs w:val="24"/>
                <w:lang w:val="en-US" w:eastAsia="zh-CN"/>
              </w:rPr>
              <w:t>210</w:t>
            </w:r>
          </w:p>
        </w:tc>
        <w:tc>
          <w:tcPr>
            <w:tcW w:w="1505" w:type="dxa"/>
            <w:tcBorders>
              <w:top w:val="nil"/>
              <w:left w:val="nil"/>
              <w:bottom w:val="single" w:color="auto" w:sz="8" w:space="0"/>
              <w:right w:val="single" w:color="auto" w:sz="8" w:space="0"/>
            </w:tcBorders>
            <w:shd w:val="clear" w:color="auto" w:fill="auto"/>
            <w:noWrap w:val="0"/>
            <w:tcMar>
              <w:left w:w="108"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leftChars="0" w:right="0" w:rightChars="0"/>
              <w:jc w:val="center"/>
              <w:rPr>
                <w:rFonts w:hint="default" w:ascii="Times New Roman" w:hAnsi="Times New Roman" w:eastAsia="华文中宋" w:cs="Times New Roman"/>
                <w:color w:val="auto"/>
                <w:kern w:val="0"/>
                <w:sz w:val="24"/>
                <w:szCs w:val="24"/>
                <w:lang w:val="en-US" w:eastAsia="zh-CN"/>
              </w:rPr>
            </w:pPr>
            <w:r>
              <w:rPr>
                <w:rFonts w:hint="eastAsia" w:ascii="Times New Roman" w:hAnsi="Times New Roman" w:eastAsia="华文中宋" w:cs="Times New Roman"/>
                <w:color w:val="auto"/>
                <w:kern w:val="0"/>
                <w:sz w:val="24"/>
                <w:szCs w:val="24"/>
                <w:lang w:val="en-US" w:eastAsia="zh-CN"/>
              </w:rPr>
              <w:t>-32</w:t>
            </w:r>
          </w:p>
        </w:tc>
        <w:tc>
          <w:tcPr>
            <w:tcW w:w="2018" w:type="dxa"/>
            <w:tcBorders>
              <w:top w:val="nil"/>
              <w:left w:val="nil"/>
              <w:bottom w:val="single" w:color="auto" w:sz="8" w:space="0"/>
              <w:right w:val="single" w:color="auto" w:sz="8" w:space="0"/>
            </w:tcBorders>
            <w:shd w:val="clear" w:color="auto" w:fill="auto"/>
            <w:noWrap w:val="0"/>
            <w:tcMar>
              <w:left w:w="108"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leftChars="0" w:right="0" w:rightChars="0"/>
              <w:jc w:val="center"/>
              <w:rPr>
                <w:rFonts w:hint="default" w:ascii="Times New Roman" w:hAnsi="Times New Roman" w:eastAsia="华文中宋" w:cs="Times New Roman"/>
                <w:color w:val="auto"/>
                <w:kern w:val="0"/>
                <w:sz w:val="24"/>
                <w:szCs w:val="24"/>
                <w:lang w:val="en-US" w:eastAsia="zh-CN"/>
              </w:rPr>
            </w:pPr>
            <w:r>
              <w:rPr>
                <w:rFonts w:hint="eastAsia" w:ascii="Times New Roman" w:hAnsi="Times New Roman" w:eastAsia="华文中宋" w:cs="Times New Roman"/>
                <w:color w:val="auto"/>
                <w:kern w:val="0"/>
                <w:sz w:val="24"/>
                <w:szCs w:val="24"/>
                <w:lang w:val="en-US" w:eastAsia="zh-CN"/>
              </w:rPr>
              <w:t>74026</w:t>
            </w:r>
          </w:p>
        </w:tc>
      </w:tr>
      <w:tr>
        <w:tblPrEx>
          <w:shd w:val="clear" w:color="auto" w:fill="auto"/>
          <w:tblCellMar>
            <w:top w:w="0" w:type="dxa"/>
            <w:left w:w="0" w:type="dxa"/>
            <w:bottom w:w="0" w:type="dxa"/>
            <w:right w:w="0" w:type="dxa"/>
          </w:tblCellMar>
        </w:tblPrEx>
        <w:trPr>
          <w:trHeight w:val="550" w:hRule="atLeast"/>
          <w:jc w:val="center"/>
        </w:trPr>
        <w:tc>
          <w:tcPr>
            <w:tcW w:w="3073" w:type="dxa"/>
            <w:tcBorders>
              <w:top w:val="nil"/>
              <w:left w:val="single" w:color="auto" w:sz="8" w:space="0"/>
              <w:bottom w:val="single" w:color="auto" w:sz="8" w:space="0"/>
              <w:right w:val="single" w:color="auto" w:sz="8" w:space="0"/>
            </w:tcBorders>
            <w:shd w:val="clear" w:color="auto" w:fill="auto"/>
            <w:noWrap w:val="0"/>
            <w:tcMar>
              <w:left w:w="108"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leftChars="0" w:right="0" w:rightChars="0"/>
              <w:jc w:val="left"/>
              <w:rPr>
                <w:rFonts w:hint="default" w:ascii="Times New Roman" w:hAnsi="Times New Roman" w:cs="Times New Roman"/>
                <w:color w:val="auto"/>
                <w:kern w:val="0"/>
                <w:sz w:val="24"/>
              </w:rPr>
            </w:pPr>
            <w:r>
              <w:rPr>
                <w:rFonts w:hint="eastAsia" w:ascii="微软雅黑" w:hAnsi="微软雅黑" w:eastAsia="微软雅黑" w:cs="微软雅黑"/>
                <w:caps w:val="0"/>
                <w:color w:val="333333"/>
                <w:spacing w:val="0"/>
                <w:sz w:val="24"/>
                <w:szCs w:val="24"/>
              </w:rPr>
              <w:t>其他对外管理服务事项</w:t>
            </w:r>
          </w:p>
        </w:tc>
        <w:tc>
          <w:tcPr>
            <w:tcW w:w="2112" w:type="dxa"/>
            <w:gridSpan w:val="2"/>
            <w:tcBorders>
              <w:top w:val="nil"/>
              <w:left w:val="nil"/>
              <w:bottom w:val="single" w:color="auto" w:sz="8" w:space="0"/>
              <w:right w:val="single" w:color="auto" w:sz="8" w:space="0"/>
            </w:tcBorders>
            <w:shd w:val="clear" w:color="auto" w:fill="auto"/>
            <w:noWrap w:val="0"/>
            <w:tcMar>
              <w:left w:w="108"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leftChars="0" w:right="0" w:rightChars="0"/>
              <w:jc w:val="center"/>
              <w:rPr>
                <w:rFonts w:hint="default" w:ascii="Times New Roman" w:hAnsi="Times New Roman" w:eastAsia="华文中宋" w:cs="Times New Roman"/>
                <w:color w:val="auto"/>
                <w:kern w:val="0"/>
                <w:sz w:val="24"/>
                <w:szCs w:val="24"/>
                <w:lang w:val="en-US" w:eastAsia="zh-CN"/>
              </w:rPr>
            </w:pPr>
            <w:r>
              <w:rPr>
                <w:rFonts w:hint="eastAsia" w:ascii="Times New Roman" w:hAnsi="Times New Roman" w:eastAsia="华文中宋" w:cs="Times New Roman"/>
                <w:color w:val="auto"/>
                <w:kern w:val="0"/>
                <w:sz w:val="24"/>
                <w:szCs w:val="24"/>
                <w:lang w:val="en-US" w:eastAsia="zh-CN"/>
              </w:rPr>
              <w:t>319</w:t>
            </w:r>
          </w:p>
        </w:tc>
        <w:tc>
          <w:tcPr>
            <w:tcW w:w="1505" w:type="dxa"/>
            <w:tcBorders>
              <w:top w:val="nil"/>
              <w:left w:val="nil"/>
              <w:bottom w:val="single" w:color="auto" w:sz="8" w:space="0"/>
              <w:right w:val="single" w:color="auto" w:sz="8" w:space="0"/>
            </w:tcBorders>
            <w:shd w:val="clear" w:color="auto" w:fill="auto"/>
            <w:noWrap w:val="0"/>
            <w:tcMar>
              <w:left w:w="108"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leftChars="0" w:right="0" w:rightChars="0"/>
              <w:jc w:val="center"/>
              <w:rPr>
                <w:rFonts w:hint="default" w:ascii="Times New Roman" w:hAnsi="Times New Roman" w:eastAsia="华文中宋" w:cs="Times New Roman"/>
                <w:color w:val="auto"/>
                <w:kern w:val="0"/>
                <w:sz w:val="24"/>
                <w:szCs w:val="24"/>
                <w:lang w:val="en-US" w:eastAsia="zh-CN"/>
              </w:rPr>
            </w:pPr>
            <w:r>
              <w:rPr>
                <w:rFonts w:hint="default" w:ascii="Times New Roman" w:hAnsi="Times New Roman" w:eastAsia="华文中宋" w:cs="Times New Roman"/>
                <w:caps w:val="0"/>
                <w:color w:val="333333"/>
                <w:spacing w:val="0"/>
                <w:sz w:val="24"/>
                <w:szCs w:val="24"/>
                <w:lang w:val="en-US" w:eastAsia="zh-CN"/>
              </w:rPr>
              <w:t>+</w:t>
            </w:r>
            <w:r>
              <w:rPr>
                <w:rFonts w:hint="eastAsia" w:ascii="Times New Roman" w:hAnsi="Times New Roman" w:eastAsia="华文中宋" w:cs="Times New Roman"/>
                <w:caps w:val="0"/>
                <w:color w:val="333333"/>
                <w:spacing w:val="0"/>
                <w:sz w:val="24"/>
                <w:szCs w:val="24"/>
                <w:lang w:val="en-US" w:eastAsia="zh-CN"/>
              </w:rPr>
              <w:t>163</w:t>
            </w:r>
          </w:p>
        </w:tc>
        <w:tc>
          <w:tcPr>
            <w:tcW w:w="2018" w:type="dxa"/>
            <w:tcBorders>
              <w:top w:val="nil"/>
              <w:left w:val="nil"/>
              <w:bottom w:val="single" w:color="auto" w:sz="8" w:space="0"/>
              <w:right w:val="single" w:color="auto" w:sz="8" w:space="0"/>
            </w:tcBorders>
            <w:shd w:val="clear" w:color="auto" w:fill="auto"/>
            <w:noWrap w:val="0"/>
            <w:tcMar>
              <w:left w:w="108"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leftChars="0" w:right="0" w:rightChars="0"/>
              <w:jc w:val="center"/>
              <w:rPr>
                <w:rFonts w:hint="default" w:ascii="Times New Roman" w:hAnsi="Times New Roman" w:eastAsia="华文中宋" w:cs="Times New Roman"/>
                <w:color w:val="auto"/>
                <w:kern w:val="0"/>
                <w:sz w:val="24"/>
                <w:szCs w:val="24"/>
                <w:lang w:val="en-US" w:eastAsia="zh-CN"/>
              </w:rPr>
            </w:pPr>
            <w:r>
              <w:rPr>
                <w:rFonts w:hint="eastAsia" w:ascii="Times New Roman" w:hAnsi="Times New Roman" w:eastAsia="华文中宋" w:cs="Times New Roman"/>
                <w:caps w:val="0"/>
                <w:color w:val="333333"/>
                <w:spacing w:val="0"/>
                <w:sz w:val="24"/>
                <w:szCs w:val="24"/>
                <w:lang w:val="en-US" w:eastAsia="zh-CN"/>
              </w:rPr>
              <w:t>14465</w:t>
            </w:r>
          </w:p>
        </w:tc>
      </w:tr>
      <w:tr>
        <w:tblPrEx>
          <w:shd w:val="clear" w:color="auto" w:fill="auto"/>
          <w:tblCellMar>
            <w:top w:w="0" w:type="dxa"/>
            <w:left w:w="0" w:type="dxa"/>
            <w:bottom w:w="0" w:type="dxa"/>
            <w:right w:w="0" w:type="dxa"/>
          </w:tblCellMar>
        </w:tblPrEx>
        <w:trPr>
          <w:trHeight w:val="497" w:hRule="atLeast"/>
          <w:jc w:val="center"/>
        </w:trPr>
        <w:tc>
          <w:tcPr>
            <w:tcW w:w="8708" w:type="dxa"/>
            <w:gridSpan w:val="5"/>
            <w:tcBorders>
              <w:top w:val="nil"/>
              <w:left w:val="single" w:color="auto" w:sz="8" w:space="0"/>
              <w:bottom w:val="single" w:color="auto" w:sz="8" w:space="0"/>
              <w:right w:val="single" w:color="auto" w:sz="8" w:space="0"/>
            </w:tcBorders>
            <w:shd w:val="clear" w:color="auto" w:fill="auto"/>
            <w:noWrap w:val="0"/>
            <w:tcMar>
              <w:left w:w="108" w:type="dxa"/>
              <w:right w:w="108"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第二十条第（六）项</w:t>
            </w:r>
          </w:p>
        </w:tc>
      </w:tr>
      <w:tr>
        <w:tblPrEx>
          <w:shd w:val="clear" w:color="auto" w:fill="auto"/>
          <w:tblCellMar>
            <w:top w:w="0" w:type="dxa"/>
            <w:left w:w="0" w:type="dxa"/>
            <w:bottom w:w="0" w:type="dxa"/>
            <w:right w:w="0" w:type="dxa"/>
          </w:tblCellMar>
        </w:tblPrEx>
        <w:trPr>
          <w:trHeight w:val="547" w:hRule="atLeast"/>
          <w:jc w:val="center"/>
        </w:trPr>
        <w:tc>
          <w:tcPr>
            <w:tcW w:w="3073" w:type="dxa"/>
            <w:tcBorders>
              <w:top w:val="nil"/>
              <w:left w:val="single" w:color="auto" w:sz="8" w:space="0"/>
              <w:bottom w:val="single" w:color="auto" w:sz="8" w:space="0"/>
              <w:right w:val="single" w:color="auto" w:sz="8" w:space="0"/>
            </w:tcBorders>
            <w:shd w:val="clear" w:color="auto" w:fill="auto"/>
            <w:noWrap w:val="0"/>
            <w:tcMar>
              <w:left w:w="108" w:type="dxa"/>
              <w:right w:w="108"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信息内容</w:t>
            </w:r>
          </w:p>
        </w:tc>
        <w:tc>
          <w:tcPr>
            <w:tcW w:w="2112" w:type="dxa"/>
            <w:gridSpan w:val="2"/>
            <w:tcBorders>
              <w:top w:val="single" w:color="auto" w:sz="8" w:space="0"/>
              <w:left w:val="nil"/>
              <w:bottom w:val="single" w:color="auto" w:sz="8" w:space="0"/>
              <w:right w:val="single" w:color="auto" w:sz="8" w:space="0"/>
            </w:tcBorders>
            <w:shd w:val="clear" w:color="auto" w:fill="auto"/>
            <w:noWrap w:val="0"/>
            <w:tcMar>
              <w:left w:w="108" w:type="dxa"/>
              <w:right w:w="108"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上一年项目数量</w:t>
            </w:r>
          </w:p>
        </w:tc>
        <w:tc>
          <w:tcPr>
            <w:tcW w:w="1505" w:type="dxa"/>
            <w:tcBorders>
              <w:top w:val="single" w:color="auto" w:sz="8" w:space="0"/>
              <w:left w:val="nil"/>
              <w:bottom w:val="single" w:color="auto" w:sz="8" w:space="0"/>
              <w:right w:val="single" w:color="auto" w:sz="8" w:space="0"/>
            </w:tcBorders>
            <w:shd w:val="clear" w:color="auto" w:fill="auto"/>
            <w:noWrap w:val="0"/>
            <w:tcMar>
              <w:left w:w="108" w:type="dxa"/>
              <w:right w:w="108"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本年增/减</w:t>
            </w:r>
          </w:p>
        </w:tc>
        <w:tc>
          <w:tcPr>
            <w:tcW w:w="2018" w:type="dxa"/>
            <w:tcBorders>
              <w:top w:val="nil"/>
              <w:left w:val="nil"/>
              <w:bottom w:val="single" w:color="auto" w:sz="8" w:space="0"/>
              <w:right w:val="single" w:color="auto" w:sz="8" w:space="0"/>
            </w:tcBorders>
            <w:shd w:val="clear" w:color="auto" w:fill="auto"/>
            <w:noWrap w:val="0"/>
            <w:tcMar>
              <w:left w:w="108" w:type="dxa"/>
              <w:right w:w="108"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处理决定数量</w:t>
            </w:r>
          </w:p>
        </w:tc>
      </w:tr>
      <w:tr>
        <w:tblPrEx>
          <w:shd w:val="clear" w:color="auto" w:fill="auto"/>
          <w:tblCellMar>
            <w:top w:w="0" w:type="dxa"/>
            <w:left w:w="0" w:type="dxa"/>
            <w:bottom w:w="0" w:type="dxa"/>
            <w:right w:w="0" w:type="dxa"/>
          </w:tblCellMar>
        </w:tblPrEx>
        <w:trPr>
          <w:trHeight w:val="430" w:hRule="atLeast"/>
          <w:jc w:val="center"/>
        </w:trPr>
        <w:tc>
          <w:tcPr>
            <w:tcW w:w="3073" w:type="dxa"/>
            <w:tcBorders>
              <w:top w:val="nil"/>
              <w:left w:val="single" w:color="auto" w:sz="8" w:space="0"/>
              <w:bottom w:val="single" w:color="auto" w:sz="8" w:space="0"/>
              <w:right w:val="single" w:color="auto" w:sz="8" w:space="0"/>
            </w:tcBorders>
            <w:shd w:val="clear" w:color="auto" w:fill="auto"/>
            <w:noWrap w:val="0"/>
            <w:tcMar>
              <w:left w:w="108" w:type="dxa"/>
              <w:right w:w="108" w:type="dxa"/>
            </w:tcMar>
            <w:vAlign w:val="center"/>
          </w:tcPr>
          <w:p>
            <w:pPr>
              <w:widowControl/>
              <w:ind w:firstLine="0" w:firstLineChars="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行政处罚</w:t>
            </w:r>
          </w:p>
        </w:tc>
        <w:tc>
          <w:tcPr>
            <w:tcW w:w="2112" w:type="dxa"/>
            <w:gridSpan w:val="2"/>
            <w:tcBorders>
              <w:top w:val="nil"/>
              <w:left w:val="nil"/>
              <w:bottom w:val="single" w:color="auto" w:sz="8" w:space="0"/>
              <w:right w:val="single" w:color="auto" w:sz="8" w:space="0"/>
            </w:tcBorders>
            <w:shd w:val="clear" w:color="auto" w:fill="auto"/>
            <w:noWrap w:val="0"/>
            <w:tcMar>
              <w:left w:w="108"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leftChars="0" w:right="0" w:rightChars="0"/>
              <w:jc w:val="center"/>
              <w:rPr>
                <w:rFonts w:hint="default"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2155</w:t>
            </w:r>
          </w:p>
        </w:tc>
        <w:tc>
          <w:tcPr>
            <w:tcW w:w="1505" w:type="dxa"/>
            <w:tcBorders>
              <w:top w:val="nil"/>
              <w:left w:val="nil"/>
              <w:bottom w:val="single" w:color="auto" w:sz="8" w:space="0"/>
              <w:right w:val="single" w:color="auto" w:sz="8" w:space="0"/>
            </w:tcBorders>
            <w:shd w:val="clear" w:color="auto" w:fill="auto"/>
            <w:noWrap w:val="0"/>
            <w:tcMar>
              <w:left w:w="108"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leftChars="0" w:right="0" w:rightChars="0"/>
              <w:jc w:val="center"/>
              <w:rPr>
                <w:rFonts w:hint="default"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-89</w:t>
            </w:r>
          </w:p>
        </w:tc>
        <w:tc>
          <w:tcPr>
            <w:tcW w:w="2018" w:type="dxa"/>
            <w:tcBorders>
              <w:top w:val="nil"/>
              <w:left w:val="nil"/>
              <w:bottom w:val="single" w:color="auto" w:sz="8" w:space="0"/>
              <w:right w:val="single" w:color="auto" w:sz="8" w:space="0"/>
            </w:tcBorders>
            <w:shd w:val="clear" w:color="auto" w:fill="auto"/>
            <w:noWrap w:val="0"/>
            <w:tcMar>
              <w:left w:w="108"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leftChars="0" w:right="0" w:rightChars="0"/>
              <w:jc w:val="center"/>
              <w:rPr>
                <w:rFonts w:hint="default" w:ascii="Times New Roman" w:hAnsi="Times New Roman" w:cs="Times New Roman" w:eastAsiaTheme="minorEastAsia"/>
                <w:color w:val="auto"/>
                <w:kern w:val="0"/>
                <w:sz w:val="24"/>
                <w:lang w:val="en-US" w:eastAsia="zh-CN"/>
              </w:rPr>
            </w:pPr>
            <w:r>
              <w:rPr>
                <w:rFonts w:hint="eastAsia" w:ascii="Times New Roman" w:hAnsi="Times New Roman" w:cs="Times New Roman"/>
                <w:color w:val="auto"/>
                <w:kern w:val="0"/>
                <w:sz w:val="24"/>
                <w:lang w:val="en-US" w:eastAsia="zh-CN"/>
              </w:rPr>
              <w:t>1349</w:t>
            </w:r>
          </w:p>
        </w:tc>
      </w:tr>
      <w:tr>
        <w:tblPrEx>
          <w:shd w:val="clear" w:color="auto" w:fill="auto"/>
          <w:tblCellMar>
            <w:top w:w="0" w:type="dxa"/>
            <w:left w:w="0" w:type="dxa"/>
            <w:bottom w:w="0" w:type="dxa"/>
            <w:right w:w="0" w:type="dxa"/>
          </w:tblCellMar>
        </w:tblPrEx>
        <w:trPr>
          <w:trHeight w:val="409" w:hRule="atLeast"/>
          <w:jc w:val="center"/>
        </w:trPr>
        <w:tc>
          <w:tcPr>
            <w:tcW w:w="3073" w:type="dxa"/>
            <w:tcBorders>
              <w:top w:val="nil"/>
              <w:left w:val="single" w:color="auto" w:sz="8" w:space="0"/>
              <w:bottom w:val="single" w:color="auto" w:sz="8" w:space="0"/>
              <w:right w:val="single" w:color="auto" w:sz="8" w:space="0"/>
            </w:tcBorders>
            <w:shd w:val="clear" w:color="auto" w:fill="auto"/>
            <w:noWrap w:val="0"/>
            <w:tcMar>
              <w:left w:w="108" w:type="dxa"/>
              <w:right w:w="108" w:type="dxa"/>
            </w:tcMar>
            <w:vAlign w:val="center"/>
          </w:tcPr>
          <w:p>
            <w:pPr>
              <w:widowControl/>
              <w:ind w:firstLine="0" w:firstLineChars="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行政强制</w:t>
            </w:r>
          </w:p>
        </w:tc>
        <w:tc>
          <w:tcPr>
            <w:tcW w:w="2112" w:type="dxa"/>
            <w:gridSpan w:val="2"/>
            <w:tcBorders>
              <w:top w:val="nil"/>
              <w:left w:val="nil"/>
              <w:bottom w:val="single" w:color="auto" w:sz="8" w:space="0"/>
              <w:right w:val="single" w:color="auto" w:sz="8" w:space="0"/>
            </w:tcBorders>
            <w:shd w:val="clear" w:color="auto" w:fill="auto"/>
            <w:noWrap w:val="0"/>
            <w:tcMar>
              <w:left w:w="108"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leftChars="0" w:right="0" w:rightChars="0"/>
              <w:jc w:val="center"/>
              <w:rPr>
                <w:rFonts w:hint="default"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58</w:t>
            </w:r>
          </w:p>
        </w:tc>
        <w:tc>
          <w:tcPr>
            <w:tcW w:w="1505" w:type="dxa"/>
            <w:tcBorders>
              <w:top w:val="nil"/>
              <w:left w:val="nil"/>
              <w:bottom w:val="single" w:color="auto" w:sz="8" w:space="0"/>
              <w:right w:val="single" w:color="auto" w:sz="8" w:space="0"/>
            </w:tcBorders>
            <w:shd w:val="clear" w:color="auto" w:fill="auto"/>
            <w:noWrap w:val="0"/>
            <w:tcMar>
              <w:left w:w="108"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leftChars="0" w:right="0" w:rightChars="0"/>
              <w:jc w:val="center"/>
              <w:rPr>
                <w:rFonts w:hint="default"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-3</w:t>
            </w:r>
          </w:p>
        </w:tc>
        <w:tc>
          <w:tcPr>
            <w:tcW w:w="2018" w:type="dxa"/>
            <w:tcBorders>
              <w:top w:val="nil"/>
              <w:left w:val="nil"/>
              <w:bottom w:val="single" w:color="auto" w:sz="8" w:space="0"/>
              <w:right w:val="single" w:color="auto" w:sz="8" w:space="0"/>
            </w:tcBorders>
            <w:shd w:val="clear" w:color="auto" w:fill="auto"/>
            <w:noWrap w:val="0"/>
            <w:tcMar>
              <w:left w:w="108"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leftChars="0" w:right="0" w:rightChars="0"/>
              <w:jc w:val="center"/>
              <w:rPr>
                <w:rFonts w:hint="default" w:ascii="Times New Roman" w:hAnsi="Times New Roman" w:cs="Times New Roman" w:eastAsiaTheme="minorEastAsia"/>
                <w:color w:val="auto"/>
                <w:kern w:val="0"/>
                <w:sz w:val="24"/>
                <w:lang w:val="en-US" w:eastAsia="zh-CN"/>
              </w:rPr>
            </w:pPr>
            <w:r>
              <w:rPr>
                <w:rFonts w:hint="eastAsia" w:ascii="Times New Roman" w:hAnsi="Times New Roman" w:cs="Times New Roman"/>
                <w:color w:val="auto"/>
                <w:kern w:val="0"/>
                <w:sz w:val="24"/>
                <w:lang w:val="en-US" w:eastAsia="zh-CN"/>
              </w:rPr>
              <w:t>55</w:t>
            </w:r>
          </w:p>
        </w:tc>
      </w:tr>
      <w:tr>
        <w:tblPrEx>
          <w:shd w:val="clear" w:color="auto" w:fill="auto"/>
          <w:tblCellMar>
            <w:top w:w="0" w:type="dxa"/>
            <w:left w:w="0" w:type="dxa"/>
            <w:bottom w:w="0" w:type="dxa"/>
            <w:right w:w="0" w:type="dxa"/>
          </w:tblCellMar>
        </w:tblPrEx>
        <w:trPr>
          <w:trHeight w:val="474" w:hRule="atLeast"/>
          <w:jc w:val="center"/>
        </w:trPr>
        <w:tc>
          <w:tcPr>
            <w:tcW w:w="8708" w:type="dxa"/>
            <w:gridSpan w:val="5"/>
            <w:tcBorders>
              <w:top w:val="nil"/>
              <w:left w:val="single" w:color="auto" w:sz="8" w:space="0"/>
              <w:bottom w:val="single" w:color="auto" w:sz="8" w:space="0"/>
              <w:right w:val="single" w:color="auto" w:sz="8" w:space="0"/>
            </w:tcBorders>
            <w:shd w:val="clear" w:color="auto" w:fill="auto"/>
            <w:noWrap w:val="0"/>
            <w:tcMar>
              <w:left w:w="108" w:type="dxa"/>
              <w:right w:w="108"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第二十条第（八）项</w:t>
            </w:r>
          </w:p>
        </w:tc>
      </w:tr>
      <w:tr>
        <w:tblPrEx>
          <w:shd w:val="clear" w:color="auto" w:fill="auto"/>
          <w:tblCellMar>
            <w:top w:w="0" w:type="dxa"/>
            <w:left w:w="0" w:type="dxa"/>
            <w:bottom w:w="0" w:type="dxa"/>
            <w:right w:w="0" w:type="dxa"/>
          </w:tblCellMar>
        </w:tblPrEx>
        <w:trPr>
          <w:trHeight w:val="447" w:hRule="atLeast"/>
          <w:jc w:val="center"/>
        </w:trPr>
        <w:tc>
          <w:tcPr>
            <w:tcW w:w="3073" w:type="dxa"/>
            <w:tcBorders>
              <w:top w:val="nil"/>
              <w:left w:val="single" w:color="auto" w:sz="8" w:space="0"/>
              <w:bottom w:val="single" w:color="auto" w:sz="8" w:space="0"/>
              <w:right w:val="single" w:color="auto" w:sz="8" w:space="0"/>
            </w:tcBorders>
            <w:shd w:val="clear" w:color="auto" w:fill="auto"/>
            <w:noWrap w:val="0"/>
            <w:tcMar>
              <w:left w:w="108" w:type="dxa"/>
              <w:right w:w="108"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信息内容</w:t>
            </w:r>
          </w:p>
        </w:tc>
        <w:tc>
          <w:tcPr>
            <w:tcW w:w="2112" w:type="dxa"/>
            <w:gridSpan w:val="2"/>
            <w:tcBorders>
              <w:top w:val="nil"/>
              <w:left w:val="nil"/>
              <w:bottom w:val="single" w:color="auto" w:sz="8" w:space="0"/>
              <w:right w:val="single" w:color="auto" w:sz="8" w:space="0"/>
            </w:tcBorders>
            <w:shd w:val="clear" w:color="auto" w:fill="auto"/>
            <w:noWrap w:val="0"/>
            <w:tcMar>
              <w:left w:w="108" w:type="dxa"/>
              <w:right w:w="108"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上一年项目数量</w:t>
            </w:r>
          </w:p>
        </w:tc>
        <w:tc>
          <w:tcPr>
            <w:tcW w:w="3523" w:type="dxa"/>
            <w:gridSpan w:val="2"/>
            <w:tcBorders>
              <w:top w:val="single" w:color="auto" w:sz="8" w:space="0"/>
              <w:left w:val="nil"/>
              <w:bottom w:val="single" w:color="auto" w:sz="8" w:space="0"/>
              <w:right w:val="single" w:color="000000" w:sz="8" w:space="0"/>
            </w:tcBorders>
            <w:shd w:val="clear" w:color="auto" w:fill="auto"/>
            <w:noWrap w:val="0"/>
            <w:tcMar>
              <w:left w:w="108" w:type="dxa"/>
              <w:right w:w="108"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本年增/减</w:t>
            </w:r>
          </w:p>
        </w:tc>
      </w:tr>
      <w:tr>
        <w:tblPrEx>
          <w:shd w:val="clear" w:color="auto" w:fill="auto"/>
          <w:tblCellMar>
            <w:top w:w="0" w:type="dxa"/>
            <w:left w:w="0" w:type="dxa"/>
            <w:bottom w:w="0" w:type="dxa"/>
            <w:right w:w="0" w:type="dxa"/>
          </w:tblCellMar>
        </w:tblPrEx>
        <w:trPr>
          <w:trHeight w:val="440" w:hRule="atLeast"/>
          <w:jc w:val="center"/>
        </w:trPr>
        <w:tc>
          <w:tcPr>
            <w:tcW w:w="3073" w:type="dxa"/>
            <w:tcBorders>
              <w:top w:val="nil"/>
              <w:left w:val="single" w:color="auto" w:sz="8" w:space="0"/>
              <w:bottom w:val="single" w:color="auto" w:sz="8" w:space="0"/>
              <w:right w:val="single" w:color="auto" w:sz="8" w:space="0"/>
            </w:tcBorders>
            <w:shd w:val="clear" w:color="auto" w:fill="auto"/>
            <w:noWrap w:val="0"/>
            <w:tcMar>
              <w:left w:w="108" w:type="dxa"/>
              <w:right w:w="108"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行政事业性收费</w:t>
            </w:r>
          </w:p>
        </w:tc>
        <w:tc>
          <w:tcPr>
            <w:tcW w:w="2112" w:type="dxa"/>
            <w:gridSpan w:val="2"/>
            <w:tcBorders>
              <w:top w:val="nil"/>
              <w:left w:val="nil"/>
              <w:bottom w:val="single" w:color="auto" w:sz="8" w:space="0"/>
              <w:right w:val="single" w:color="auto" w:sz="8" w:space="0"/>
            </w:tcBorders>
            <w:shd w:val="clear" w:color="auto" w:fill="auto"/>
            <w:noWrap w:val="0"/>
            <w:tcMar>
              <w:left w:w="108" w:type="dxa"/>
              <w:right w:w="108" w:type="dxa"/>
            </w:tcMar>
            <w:vAlign w:val="center"/>
          </w:tcPr>
          <w:p>
            <w:pPr>
              <w:widowControl/>
              <w:jc w:val="center"/>
              <w:rPr>
                <w:rFonts w:hint="default" w:ascii="Times New Roman" w:hAnsi="Times New Roman" w:cs="Times New Roman"/>
                <w:color w:val="auto"/>
                <w:kern w:val="0"/>
                <w:sz w:val="24"/>
                <w:lang w:val="en-US"/>
              </w:rPr>
            </w:pPr>
            <w:r>
              <w:rPr>
                <w:rFonts w:hint="default" w:ascii="Times New Roman" w:hAnsi="Times New Roman" w:cs="Times New Roman"/>
                <w:color w:val="auto"/>
                <w:kern w:val="0"/>
                <w:sz w:val="24"/>
                <w:lang w:val="en-US" w:eastAsia="zh-CN"/>
              </w:rPr>
              <w:t>17</w:t>
            </w:r>
          </w:p>
        </w:tc>
        <w:tc>
          <w:tcPr>
            <w:tcW w:w="3523" w:type="dxa"/>
            <w:gridSpan w:val="2"/>
            <w:tcBorders>
              <w:top w:val="nil"/>
              <w:left w:val="nil"/>
              <w:bottom w:val="single" w:color="auto" w:sz="8" w:space="0"/>
              <w:right w:val="single" w:color="000000" w:sz="8" w:space="0"/>
            </w:tcBorders>
            <w:shd w:val="clear" w:color="auto" w:fill="auto"/>
            <w:noWrap w:val="0"/>
            <w:tcMar>
              <w:left w:w="108" w:type="dxa"/>
              <w:right w:w="108"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lang w:val="en-US" w:eastAsia="zh-CN"/>
              </w:rPr>
              <w:t>0</w:t>
            </w:r>
          </w:p>
        </w:tc>
      </w:tr>
      <w:tr>
        <w:tblPrEx>
          <w:shd w:val="clear" w:color="auto" w:fill="auto"/>
          <w:tblCellMar>
            <w:top w:w="0" w:type="dxa"/>
            <w:left w:w="0" w:type="dxa"/>
            <w:bottom w:w="0" w:type="dxa"/>
            <w:right w:w="0" w:type="dxa"/>
          </w:tblCellMar>
        </w:tblPrEx>
        <w:trPr>
          <w:trHeight w:val="476" w:hRule="atLeast"/>
          <w:jc w:val="center"/>
        </w:trPr>
        <w:tc>
          <w:tcPr>
            <w:tcW w:w="8708" w:type="dxa"/>
            <w:gridSpan w:val="5"/>
            <w:tcBorders>
              <w:top w:val="nil"/>
              <w:left w:val="single" w:color="auto" w:sz="8" w:space="0"/>
              <w:bottom w:val="single" w:color="auto" w:sz="8" w:space="0"/>
              <w:right w:val="single" w:color="auto" w:sz="8" w:space="0"/>
            </w:tcBorders>
            <w:shd w:val="clear" w:color="auto" w:fill="auto"/>
            <w:noWrap w:val="0"/>
            <w:tcMar>
              <w:left w:w="108" w:type="dxa"/>
              <w:right w:w="108"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第二十条第（九）项</w:t>
            </w:r>
          </w:p>
        </w:tc>
      </w:tr>
      <w:tr>
        <w:tblPrEx>
          <w:shd w:val="clear" w:color="auto" w:fill="auto"/>
          <w:tblCellMar>
            <w:top w:w="0" w:type="dxa"/>
            <w:left w:w="0" w:type="dxa"/>
            <w:bottom w:w="0" w:type="dxa"/>
            <w:right w:w="0" w:type="dxa"/>
          </w:tblCellMar>
        </w:tblPrEx>
        <w:trPr>
          <w:trHeight w:val="427" w:hRule="atLeast"/>
          <w:jc w:val="center"/>
        </w:trPr>
        <w:tc>
          <w:tcPr>
            <w:tcW w:w="3090" w:type="dxa"/>
            <w:gridSpan w:val="2"/>
            <w:tcBorders>
              <w:top w:val="nil"/>
              <w:left w:val="single" w:color="auto" w:sz="8" w:space="0"/>
              <w:bottom w:val="single" w:color="auto" w:sz="8" w:space="0"/>
              <w:right w:val="single" w:color="auto" w:sz="8" w:space="0"/>
            </w:tcBorders>
            <w:shd w:val="clear" w:color="auto" w:fill="auto"/>
            <w:noWrap w:val="0"/>
            <w:tcMar>
              <w:left w:w="108" w:type="dxa"/>
              <w:right w:w="108"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信息内容</w:t>
            </w:r>
          </w:p>
        </w:tc>
        <w:tc>
          <w:tcPr>
            <w:tcW w:w="2095" w:type="dxa"/>
            <w:tcBorders>
              <w:top w:val="nil"/>
              <w:left w:val="nil"/>
              <w:bottom w:val="single" w:color="auto" w:sz="8" w:space="0"/>
              <w:right w:val="single" w:color="auto" w:sz="8" w:space="0"/>
            </w:tcBorders>
            <w:shd w:val="clear" w:color="auto" w:fill="auto"/>
            <w:noWrap w:val="0"/>
            <w:tcMar>
              <w:left w:w="108" w:type="dxa"/>
              <w:right w:w="108"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采购项目数量</w:t>
            </w:r>
          </w:p>
        </w:tc>
        <w:tc>
          <w:tcPr>
            <w:tcW w:w="3523" w:type="dxa"/>
            <w:gridSpan w:val="2"/>
            <w:tcBorders>
              <w:top w:val="single" w:color="auto" w:sz="8" w:space="0"/>
              <w:left w:val="nil"/>
              <w:bottom w:val="single" w:color="auto" w:sz="8" w:space="0"/>
              <w:right w:val="single" w:color="000000" w:sz="8" w:space="0"/>
            </w:tcBorders>
            <w:shd w:val="clear" w:color="auto" w:fill="auto"/>
            <w:noWrap w:val="0"/>
            <w:tcMar>
              <w:left w:w="108" w:type="dxa"/>
              <w:right w:w="108"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采购总金额</w:t>
            </w:r>
          </w:p>
        </w:tc>
      </w:tr>
      <w:tr>
        <w:tblPrEx>
          <w:tblCellMar>
            <w:top w:w="0" w:type="dxa"/>
            <w:left w:w="0" w:type="dxa"/>
            <w:bottom w:w="0" w:type="dxa"/>
            <w:right w:w="0" w:type="dxa"/>
          </w:tblCellMar>
        </w:tblPrEx>
        <w:trPr>
          <w:trHeight w:val="469" w:hRule="atLeast"/>
          <w:jc w:val="center"/>
        </w:trPr>
        <w:tc>
          <w:tcPr>
            <w:tcW w:w="3090" w:type="dxa"/>
            <w:gridSpan w:val="2"/>
            <w:tcBorders>
              <w:top w:val="nil"/>
              <w:left w:val="single" w:color="auto" w:sz="8" w:space="0"/>
              <w:bottom w:val="single" w:color="auto" w:sz="8" w:space="0"/>
              <w:right w:val="single" w:color="auto" w:sz="8" w:space="0"/>
            </w:tcBorders>
            <w:shd w:val="clear" w:color="auto" w:fill="auto"/>
            <w:noWrap w:val="0"/>
            <w:tcMar>
              <w:left w:w="108" w:type="dxa"/>
              <w:right w:w="108"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政府集中采购</w:t>
            </w:r>
          </w:p>
        </w:tc>
        <w:tc>
          <w:tcPr>
            <w:tcW w:w="2095" w:type="dxa"/>
            <w:tcBorders>
              <w:top w:val="nil"/>
              <w:left w:val="nil"/>
              <w:bottom w:val="single" w:color="auto" w:sz="8" w:space="0"/>
              <w:right w:val="single" w:color="auto" w:sz="8" w:space="0"/>
            </w:tcBorders>
            <w:shd w:val="clear" w:color="auto" w:fill="auto"/>
            <w:noWrap w:val="0"/>
            <w:tcMar>
              <w:left w:w="108" w:type="dxa"/>
              <w:right w:w="108" w:type="dxa"/>
            </w:tcMar>
            <w:vAlign w:val="center"/>
          </w:tcPr>
          <w:p>
            <w:pPr>
              <w:widowControl/>
              <w:jc w:val="center"/>
              <w:rPr>
                <w:rFonts w:hint="default" w:ascii="Times New Roman" w:hAnsi="Times New Roman" w:eastAsia="宋体" w:cs="Times New Roman"/>
                <w:color w:val="auto"/>
                <w:kern w:val="0"/>
                <w:sz w:val="24"/>
                <w:lang w:val="en-US" w:eastAsia="zh-CN"/>
              </w:rPr>
            </w:pPr>
            <w:r>
              <w:rPr>
                <w:rFonts w:hint="eastAsia" w:ascii="Times New Roman" w:hAnsi="Times New Roman" w:cs="Times New Roman"/>
                <w:color w:val="auto"/>
                <w:kern w:val="0"/>
                <w:sz w:val="24"/>
                <w:lang w:val="en-US" w:eastAsia="zh-CN"/>
              </w:rPr>
              <w:t>7710</w:t>
            </w:r>
            <w:r>
              <w:rPr>
                <w:rFonts w:hint="default" w:ascii="Times New Roman" w:hAnsi="Times New Roman" w:cs="Times New Roman"/>
                <w:color w:val="auto"/>
                <w:kern w:val="0"/>
                <w:sz w:val="24"/>
              </w:rPr>
              <w:t>（次）</w:t>
            </w:r>
          </w:p>
        </w:tc>
        <w:tc>
          <w:tcPr>
            <w:tcW w:w="3523" w:type="dxa"/>
            <w:gridSpan w:val="2"/>
            <w:tcBorders>
              <w:top w:val="nil"/>
              <w:left w:val="nil"/>
              <w:bottom w:val="single" w:color="auto" w:sz="8" w:space="0"/>
              <w:right w:val="single" w:color="000000" w:sz="8" w:space="0"/>
            </w:tcBorders>
            <w:shd w:val="clear" w:color="auto" w:fill="auto"/>
            <w:noWrap w:val="0"/>
            <w:tcMar>
              <w:left w:w="108" w:type="dxa"/>
              <w:right w:w="108" w:type="dxa"/>
            </w:tcMar>
            <w:vAlign w:val="center"/>
          </w:tcPr>
          <w:p>
            <w:pPr>
              <w:ind w:left="0" w:leftChars="0" w:firstLine="0" w:firstLineChars="0"/>
              <w:jc w:val="center"/>
              <w:rPr>
                <w:rFonts w:hint="default" w:ascii="Times New Roman" w:hAnsi="Times New Roman" w:cs="Times New Roman"/>
                <w:color w:val="auto"/>
                <w:kern w:val="0"/>
                <w:sz w:val="24"/>
              </w:rPr>
            </w:pPr>
            <w:r>
              <w:rPr>
                <w:rFonts w:hint="eastAsia" w:ascii="Times New Roman" w:hAnsi="Times New Roman" w:cs="Times New Roman"/>
                <w:color w:val="auto"/>
                <w:kern w:val="0"/>
                <w:sz w:val="24"/>
                <w:lang w:val="en-US" w:eastAsia="zh-CN"/>
              </w:rPr>
              <w:t>104367.118823</w:t>
            </w:r>
            <w:bookmarkStart w:id="0" w:name="_GoBack"/>
            <w:bookmarkEnd w:id="0"/>
            <w:r>
              <w:rPr>
                <w:rFonts w:hint="default" w:ascii="Times New Roman" w:hAnsi="Times New Roman" w:cs="Times New Roman"/>
                <w:color w:val="auto"/>
                <w:kern w:val="0"/>
                <w:sz w:val="24"/>
              </w:rPr>
              <w:t>万元</w:t>
            </w:r>
          </w:p>
        </w:tc>
      </w:tr>
    </w:tbl>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80" w:lineRule="exact"/>
        <w:ind w:right="0" w:firstLine="636" w:firstLineChars="200"/>
        <w:jc w:val="both"/>
        <w:textAlignment w:val="auto"/>
        <w:rPr>
          <w:rFonts w:hint="default" w:ascii="Times New Roman" w:hAnsi="Times New Roman" w:eastAsia="黑体" w:cs="Times New Roman"/>
          <w:i w:val="0"/>
          <w:caps w:val="0"/>
          <w:color w:val="auto"/>
          <w:spacing w:val="0"/>
          <w:sz w:val="32"/>
          <w:szCs w:val="32"/>
        </w:rPr>
      </w:pPr>
      <w:r>
        <w:rPr>
          <w:rFonts w:hint="default" w:ascii="Times New Roman" w:hAnsi="Times New Roman" w:eastAsia="黑体" w:cs="Times New Roman"/>
          <w:i w:val="0"/>
          <w:caps w:val="0"/>
          <w:color w:val="auto"/>
          <w:spacing w:val="0"/>
          <w:sz w:val="32"/>
          <w:szCs w:val="32"/>
        </w:rPr>
        <w:t>三、收到和处理政府信息公开申请情况</w:t>
      </w:r>
    </w:p>
    <w:tbl>
      <w:tblPr>
        <w:tblStyle w:val="7"/>
        <w:tblW w:w="9075"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29"/>
        <w:gridCol w:w="1305"/>
        <w:gridCol w:w="2355"/>
        <w:gridCol w:w="852"/>
        <w:gridCol w:w="343"/>
        <w:gridCol w:w="418"/>
        <w:gridCol w:w="419"/>
        <w:gridCol w:w="419"/>
        <w:gridCol w:w="1123"/>
        <w:gridCol w:w="1212"/>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20" w:hRule="atLeast"/>
          <w:jc w:val="center"/>
        </w:trPr>
        <w:tc>
          <w:tcPr>
            <w:tcW w:w="4289" w:type="dxa"/>
            <w:gridSpan w:val="3"/>
            <w:vMerge w:val="restart"/>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本列数据的勾稽关系为：第一项加第二项之和，等于第三项加第四项之和）</w:t>
            </w:r>
          </w:p>
        </w:tc>
        <w:tc>
          <w:tcPr>
            <w:tcW w:w="4786" w:type="dxa"/>
            <w:gridSpan w:val="7"/>
            <w:tcBorders>
              <w:top w:val="single" w:color="auto" w:sz="6" w:space="0"/>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申请人情况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 w:hRule="atLeast"/>
          <w:jc w:val="center"/>
        </w:trPr>
        <w:tc>
          <w:tcPr>
            <w:tcW w:w="4289" w:type="dxa"/>
            <w:gridSpan w:val="3"/>
            <w:vMerge w:val="continue"/>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p>
        </w:tc>
        <w:tc>
          <w:tcPr>
            <w:tcW w:w="852" w:type="dxa"/>
            <w:vMerge w:val="restart"/>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自然人</w:t>
            </w:r>
          </w:p>
        </w:tc>
        <w:tc>
          <w:tcPr>
            <w:tcW w:w="2722" w:type="dxa"/>
            <w:gridSpan w:val="5"/>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法人或其他组织</w:t>
            </w:r>
          </w:p>
        </w:tc>
        <w:tc>
          <w:tcPr>
            <w:tcW w:w="1212" w:type="dxa"/>
            <w:vMerge w:val="restart"/>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70" w:hRule="atLeast"/>
          <w:jc w:val="center"/>
        </w:trPr>
        <w:tc>
          <w:tcPr>
            <w:tcW w:w="4289" w:type="dxa"/>
            <w:gridSpan w:val="3"/>
            <w:vMerge w:val="continue"/>
            <w:tcBorders>
              <w:top w:val="single" w:color="auto" w:sz="6" w:space="0"/>
              <w:left w:val="single" w:color="auto" w:sz="6" w:space="0"/>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p>
        </w:tc>
        <w:tc>
          <w:tcPr>
            <w:tcW w:w="852" w:type="dxa"/>
            <w:vMerge w:val="continue"/>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p>
        </w:tc>
        <w:tc>
          <w:tcPr>
            <w:tcW w:w="343"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商业企业</w:t>
            </w:r>
          </w:p>
        </w:tc>
        <w:tc>
          <w:tcPr>
            <w:tcW w:w="418"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科研机构</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社会公益组织</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法律服务机构</w:t>
            </w:r>
          </w:p>
        </w:tc>
        <w:tc>
          <w:tcPr>
            <w:tcW w:w="1123"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其他</w:t>
            </w:r>
          </w:p>
        </w:tc>
        <w:tc>
          <w:tcPr>
            <w:tcW w:w="1212" w:type="dxa"/>
            <w:vMerge w:val="continue"/>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289" w:type="dxa"/>
            <w:gridSpan w:val="3"/>
            <w:tcBorders>
              <w:top w:val="nil"/>
              <w:left w:val="single" w:color="auto" w:sz="6" w:space="0"/>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一、本年新收政府信息公开申请数量</w:t>
            </w:r>
          </w:p>
        </w:tc>
        <w:tc>
          <w:tcPr>
            <w:tcW w:w="85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286</w:t>
            </w:r>
          </w:p>
        </w:tc>
        <w:tc>
          <w:tcPr>
            <w:tcW w:w="343"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418"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123"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121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287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289" w:type="dxa"/>
            <w:gridSpan w:val="3"/>
            <w:tcBorders>
              <w:top w:val="nil"/>
              <w:left w:val="single" w:color="auto" w:sz="6" w:space="0"/>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二、上年结转政府信息公开申请数量</w:t>
            </w:r>
          </w:p>
        </w:tc>
        <w:tc>
          <w:tcPr>
            <w:tcW w:w="85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343"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418"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1123"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121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10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29" w:type="dxa"/>
            <w:vMerge w:val="restart"/>
            <w:tcBorders>
              <w:top w:val="nil"/>
              <w:left w:val="single" w:color="auto" w:sz="6" w:space="0"/>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三、本年度办理结果</w:t>
            </w:r>
          </w:p>
        </w:tc>
        <w:tc>
          <w:tcPr>
            <w:tcW w:w="3660" w:type="dxa"/>
            <w:gridSpan w:val="2"/>
            <w:tcBorders>
              <w:top w:val="nil"/>
              <w:left w:val="nil"/>
              <w:bottom w:val="single" w:color="auto" w:sz="6" w:space="0"/>
              <w:right w:val="single" w:color="auto" w:sz="6" w:space="0"/>
            </w:tcBorders>
            <w:noWrap w:val="0"/>
            <w:tcMar>
              <w:left w:w="105" w:type="dxa"/>
              <w:right w:w="105" w:type="dxa"/>
            </w:tcMar>
            <w:vAlign w:val="center"/>
          </w:tcPr>
          <w:p>
            <w:pPr>
              <w:widowControl/>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（一）予以公开</w:t>
            </w:r>
          </w:p>
        </w:tc>
        <w:tc>
          <w:tcPr>
            <w:tcW w:w="85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lang w:eastAsia="zh-CN"/>
              </w:rPr>
            </w:pPr>
            <w:r>
              <w:rPr>
                <w:rFonts w:hint="default" w:ascii="Times New Roman" w:hAnsi="Times New Roman" w:eastAsia="宋体" w:cs="Times New Roman"/>
                <w:i w:val="0"/>
                <w:iCs w:val="0"/>
                <w:color w:val="000000"/>
                <w:kern w:val="0"/>
                <w:sz w:val="24"/>
                <w:szCs w:val="24"/>
                <w:u w:val="none"/>
                <w:lang w:val="en-US" w:eastAsia="zh-CN" w:bidi="ar"/>
              </w:rPr>
              <w:t>78</w:t>
            </w:r>
          </w:p>
        </w:tc>
        <w:tc>
          <w:tcPr>
            <w:tcW w:w="343"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18"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123"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121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lang w:eastAsia="zh-CN"/>
              </w:rPr>
            </w:pPr>
            <w:r>
              <w:rPr>
                <w:rFonts w:hint="default" w:ascii="Times New Roman" w:hAnsi="Times New Roman" w:eastAsia="宋体" w:cs="Times New Roman"/>
                <w:i w:val="0"/>
                <w:iCs w:val="0"/>
                <w:color w:val="000000"/>
                <w:kern w:val="0"/>
                <w:sz w:val="24"/>
                <w:szCs w:val="24"/>
                <w:u w:val="none"/>
                <w:lang w:val="en-US" w:eastAsia="zh-CN" w:bidi="ar"/>
              </w:rPr>
              <w:t>80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29" w:type="dxa"/>
            <w:vMerge w:val="continue"/>
            <w:tcBorders>
              <w:top w:val="nil"/>
              <w:left w:val="single" w:color="auto" w:sz="6" w:space="0"/>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p>
        </w:tc>
        <w:tc>
          <w:tcPr>
            <w:tcW w:w="3660" w:type="dxa"/>
            <w:gridSpan w:val="2"/>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（二）部分公开（区分处理的，只计这一情形，不计其他情形）</w:t>
            </w:r>
          </w:p>
        </w:tc>
        <w:tc>
          <w:tcPr>
            <w:tcW w:w="85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36</w:t>
            </w:r>
          </w:p>
        </w:tc>
        <w:tc>
          <w:tcPr>
            <w:tcW w:w="343"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418"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1123"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121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36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0" w:hRule="atLeast"/>
          <w:jc w:val="center"/>
        </w:trPr>
        <w:tc>
          <w:tcPr>
            <w:tcW w:w="629" w:type="dxa"/>
            <w:vMerge w:val="continue"/>
            <w:tcBorders>
              <w:top w:val="nil"/>
              <w:left w:val="single" w:color="auto" w:sz="6" w:space="0"/>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p>
        </w:tc>
        <w:tc>
          <w:tcPr>
            <w:tcW w:w="1305" w:type="dxa"/>
            <w:vMerge w:val="restart"/>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（三）不予公开</w:t>
            </w:r>
          </w:p>
        </w:tc>
        <w:tc>
          <w:tcPr>
            <w:tcW w:w="2355"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1.属于国家秘密</w:t>
            </w:r>
          </w:p>
        </w:tc>
        <w:tc>
          <w:tcPr>
            <w:tcW w:w="85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343"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418"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1123"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121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0" w:hRule="atLeast"/>
          <w:jc w:val="center"/>
        </w:trPr>
        <w:tc>
          <w:tcPr>
            <w:tcW w:w="629" w:type="dxa"/>
            <w:vMerge w:val="continue"/>
            <w:tcBorders>
              <w:top w:val="nil"/>
              <w:left w:val="single" w:color="auto" w:sz="6" w:space="0"/>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p>
        </w:tc>
        <w:tc>
          <w:tcPr>
            <w:tcW w:w="1305" w:type="dxa"/>
            <w:vMerge w:val="continue"/>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p>
        </w:tc>
        <w:tc>
          <w:tcPr>
            <w:tcW w:w="2355"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2.其他法律行政法规禁止公开</w:t>
            </w:r>
          </w:p>
        </w:tc>
        <w:tc>
          <w:tcPr>
            <w:tcW w:w="85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343"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418"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1123"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0</w:t>
            </w:r>
          </w:p>
        </w:tc>
        <w:tc>
          <w:tcPr>
            <w:tcW w:w="121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0" w:hRule="atLeast"/>
          <w:jc w:val="center"/>
        </w:trPr>
        <w:tc>
          <w:tcPr>
            <w:tcW w:w="629" w:type="dxa"/>
            <w:vMerge w:val="continue"/>
            <w:tcBorders>
              <w:top w:val="nil"/>
              <w:left w:val="single" w:color="auto" w:sz="6" w:space="0"/>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p>
        </w:tc>
        <w:tc>
          <w:tcPr>
            <w:tcW w:w="1305" w:type="dxa"/>
            <w:vMerge w:val="continue"/>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p>
        </w:tc>
        <w:tc>
          <w:tcPr>
            <w:tcW w:w="2355"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3.危及“三安全一稳定”</w:t>
            </w:r>
          </w:p>
        </w:tc>
        <w:tc>
          <w:tcPr>
            <w:tcW w:w="85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343"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418"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1123"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121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0" w:hRule="atLeast"/>
          <w:jc w:val="center"/>
        </w:trPr>
        <w:tc>
          <w:tcPr>
            <w:tcW w:w="629" w:type="dxa"/>
            <w:vMerge w:val="continue"/>
            <w:tcBorders>
              <w:top w:val="nil"/>
              <w:left w:val="single" w:color="auto" w:sz="6" w:space="0"/>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p>
        </w:tc>
        <w:tc>
          <w:tcPr>
            <w:tcW w:w="1305" w:type="dxa"/>
            <w:vMerge w:val="continue"/>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p>
        </w:tc>
        <w:tc>
          <w:tcPr>
            <w:tcW w:w="2355"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4.保护第三方合法权益</w:t>
            </w:r>
          </w:p>
        </w:tc>
        <w:tc>
          <w:tcPr>
            <w:tcW w:w="85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lang w:eastAsia="zh-CN"/>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343"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418"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1123"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121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lang w:eastAsia="zh-CN"/>
              </w:rPr>
            </w:pPr>
            <w:r>
              <w:rPr>
                <w:rFonts w:hint="default" w:ascii="Times New Roman" w:hAnsi="Times New Roman" w:eastAsia="宋体" w:cs="Times New Roman"/>
                <w:i w:val="0"/>
                <w:iCs w:val="0"/>
                <w:color w:val="000000"/>
                <w:kern w:val="0"/>
                <w:sz w:val="24"/>
                <w:szCs w:val="24"/>
                <w:u w:val="none"/>
                <w:lang w:val="en-US" w:eastAsia="zh-CN" w:bidi="ar"/>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0" w:hRule="atLeast"/>
          <w:jc w:val="center"/>
        </w:trPr>
        <w:tc>
          <w:tcPr>
            <w:tcW w:w="629" w:type="dxa"/>
            <w:vMerge w:val="continue"/>
            <w:tcBorders>
              <w:top w:val="nil"/>
              <w:left w:val="single" w:color="auto" w:sz="6" w:space="0"/>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p>
        </w:tc>
        <w:tc>
          <w:tcPr>
            <w:tcW w:w="1305" w:type="dxa"/>
            <w:vMerge w:val="continue"/>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p>
        </w:tc>
        <w:tc>
          <w:tcPr>
            <w:tcW w:w="2355"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5.属于三类内部事务信息</w:t>
            </w:r>
          </w:p>
        </w:tc>
        <w:tc>
          <w:tcPr>
            <w:tcW w:w="85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343"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418"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1123"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121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0" w:hRule="atLeast"/>
          <w:jc w:val="center"/>
        </w:trPr>
        <w:tc>
          <w:tcPr>
            <w:tcW w:w="629" w:type="dxa"/>
            <w:vMerge w:val="continue"/>
            <w:tcBorders>
              <w:top w:val="nil"/>
              <w:left w:val="single" w:color="auto" w:sz="6" w:space="0"/>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p>
        </w:tc>
        <w:tc>
          <w:tcPr>
            <w:tcW w:w="1305" w:type="dxa"/>
            <w:vMerge w:val="continue"/>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p>
        </w:tc>
        <w:tc>
          <w:tcPr>
            <w:tcW w:w="2355"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6.属于四类过程性信息</w:t>
            </w:r>
          </w:p>
        </w:tc>
        <w:tc>
          <w:tcPr>
            <w:tcW w:w="85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343"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418"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1123"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121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0" w:hRule="atLeast"/>
          <w:jc w:val="center"/>
        </w:trPr>
        <w:tc>
          <w:tcPr>
            <w:tcW w:w="629" w:type="dxa"/>
            <w:vMerge w:val="continue"/>
            <w:tcBorders>
              <w:top w:val="nil"/>
              <w:left w:val="single" w:color="auto" w:sz="6" w:space="0"/>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p>
        </w:tc>
        <w:tc>
          <w:tcPr>
            <w:tcW w:w="1305" w:type="dxa"/>
            <w:vMerge w:val="continue"/>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p>
        </w:tc>
        <w:tc>
          <w:tcPr>
            <w:tcW w:w="2355"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7.属于行政执法案卷</w:t>
            </w:r>
          </w:p>
        </w:tc>
        <w:tc>
          <w:tcPr>
            <w:tcW w:w="85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343"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418"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1123"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121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0" w:hRule="atLeast"/>
          <w:jc w:val="center"/>
        </w:trPr>
        <w:tc>
          <w:tcPr>
            <w:tcW w:w="629" w:type="dxa"/>
            <w:vMerge w:val="continue"/>
            <w:tcBorders>
              <w:top w:val="nil"/>
              <w:left w:val="single" w:color="auto" w:sz="6" w:space="0"/>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p>
        </w:tc>
        <w:tc>
          <w:tcPr>
            <w:tcW w:w="1305" w:type="dxa"/>
            <w:vMerge w:val="continue"/>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p>
        </w:tc>
        <w:tc>
          <w:tcPr>
            <w:tcW w:w="2355"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8.属于行政查询事项</w:t>
            </w:r>
          </w:p>
        </w:tc>
        <w:tc>
          <w:tcPr>
            <w:tcW w:w="85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343"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418"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1123"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121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0" w:hRule="atLeast"/>
          <w:jc w:val="center"/>
        </w:trPr>
        <w:tc>
          <w:tcPr>
            <w:tcW w:w="629" w:type="dxa"/>
            <w:vMerge w:val="continue"/>
            <w:tcBorders>
              <w:top w:val="nil"/>
              <w:left w:val="single" w:color="auto" w:sz="6" w:space="0"/>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p>
        </w:tc>
        <w:tc>
          <w:tcPr>
            <w:tcW w:w="1305" w:type="dxa"/>
            <w:vMerge w:val="restart"/>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（四）无法提供</w:t>
            </w:r>
          </w:p>
        </w:tc>
        <w:tc>
          <w:tcPr>
            <w:tcW w:w="2355"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1.本机关不掌握相关政府信息</w:t>
            </w:r>
          </w:p>
        </w:tc>
        <w:tc>
          <w:tcPr>
            <w:tcW w:w="85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128</w:t>
            </w:r>
          </w:p>
        </w:tc>
        <w:tc>
          <w:tcPr>
            <w:tcW w:w="343"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lang w:eastAsia="zh-CN"/>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18"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1123"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121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129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0" w:hRule="atLeast"/>
          <w:jc w:val="center"/>
        </w:trPr>
        <w:tc>
          <w:tcPr>
            <w:tcW w:w="629" w:type="dxa"/>
            <w:vMerge w:val="continue"/>
            <w:tcBorders>
              <w:top w:val="nil"/>
              <w:left w:val="single" w:color="auto" w:sz="6" w:space="0"/>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p>
        </w:tc>
        <w:tc>
          <w:tcPr>
            <w:tcW w:w="1305" w:type="dxa"/>
            <w:vMerge w:val="continue"/>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p>
        </w:tc>
        <w:tc>
          <w:tcPr>
            <w:tcW w:w="2355"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2.没有现成信息需要另行制作</w:t>
            </w:r>
          </w:p>
        </w:tc>
        <w:tc>
          <w:tcPr>
            <w:tcW w:w="85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343"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418"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1123"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121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0" w:hRule="atLeast"/>
          <w:jc w:val="center"/>
        </w:trPr>
        <w:tc>
          <w:tcPr>
            <w:tcW w:w="629" w:type="dxa"/>
            <w:vMerge w:val="continue"/>
            <w:tcBorders>
              <w:top w:val="nil"/>
              <w:left w:val="single" w:color="auto" w:sz="6" w:space="0"/>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p>
        </w:tc>
        <w:tc>
          <w:tcPr>
            <w:tcW w:w="1305" w:type="dxa"/>
            <w:vMerge w:val="continue"/>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p>
        </w:tc>
        <w:tc>
          <w:tcPr>
            <w:tcW w:w="2355"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3.补正后申请内容仍不明确</w:t>
            </w:r>
          </w:p>
        </w:tc>
        <w:tc>
          <w:tcPr>
            <w:tcW w:w="85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lang w:eastAsia="zh-CN"/>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343"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418"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1123"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121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lang w:eastAsia="zh-CN"/>
              </w:rPr>
            </w:pPr>
            <w:r>
              <w:rPr>
                <w:rFonts w:hint="default" w:ascii="Times New Roman" w:hAnsi="Times New Roman" w:eastAsia="宋体" w:cs="Times New Roman"/>
                <w:i w:val="0"/>
                <w:iCs w:val="0"/>
                <w:color w:val="000000"/>
                <w:kern w:val="0"/>
                <w:sz w:val="24"/>
                <w:szCs w:val="24"/>
                <w:u w:val="none"/>
                <w:lang w:val="en-US" w:eastAsia="zh-CN" w:bidi="ar"/>
              </w:rPr>
              <w:t>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0" w:hRule="atLeast"/>
          <w:jc w:val="center"/>
        </w:trPr>
        <w:tc>
          <w:tcPr>
            <w:tcW w:w="629" w:type="dxa"/>
            <w:vMerge w:val="continue"/>
            <w:tcBorders>
              <w:top w:val="nil"/>
              <w:left w:val="single" w:color="auto" w:sz="6" w:space="0"/>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p>
        </w:tc>
        <w:tc>
          <w:tcPr>
            <w:tcW w:w="1305" w:type="dxa"/>
            <w:vMerge w:val="restart"/>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（五）不予处理</w:t>
            </w:r>
          </w:p>
        </w:tc>
        <w:tc>
          <w:tcPr>
            <w:tcW w:w="2355"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1.信访举报投诉类申请</w:t>
            </w:r>
          </w:p>
        </w:tc>
        <w:tc>
          <w:tcPr>
            <w:tcW w:w="85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22</w:t>
            </w:r>
          </w:p>
        </w:tc>
        <w:tc>
          <w:tcPr>
            <w:tcW w:w="343"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418"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1123"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121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22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0" w:hRule="atLeast"/>
          <w:jc w:val="center"/>
        </w:trPr>
        <w:tc>
          <w:tcPr>
            <w:tcW w:w="629" w:type="dxa"/>
            <w:vMerge w:val="continue"/>
            <w:tcBorders>
              <w:top w:val="nil"/>
              <w:left w:val="single" w:color="auto" w:sz="6" w:space="0"/>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p>
        </w:tc>
        <w:tc>
          <w:tcPr>
            <w:tcW w:w="1305" w:type="dxa"/>
            <w:vMerge w:val="continue"/>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p>
        </w:tc>
        <w:tc>
          <w:tcPr>
            <w:tcW w:w="2355"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2.重复申请</w:t>
            </w:r>
          </w:p>
        </w:tc>
        <w:tc>
          <w:tcPr>
            <w:tcW w:w="85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343"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418"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1123"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121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0" w:hRule="atLeast"/>
          <w:jc w:val="center"/>
        </w:trPr>
        <w:tc>
          <w:tcPr>
            <w:tcW w:w="629" w:type="dxa"/>
            <w:vMerge w:val="continue"/>
            <w:tcBorders>
              <w:top w:val="nil"/>
              <w:left w:val="single" w:color="auto" w:sz="6" w:space="0"/>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p>
        </w:tc>
        <w:tc>
          <w:tcPr>
            <w:tcW w:w="1305" w:type="dxa"/>
            <w:vMerge w:val="continue"/>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p>
        </w:tc>
        <w:tc>
          <w:tcPr>
            <w:tcW w:w="2355"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3.要求提供公开出版物</w:t>
            </w:r>
          </w:p>
        </w:tc>
        <w:tc>
          <w:tcPr>
            <w:tcW w:w="85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343"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418"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1123"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121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0" w:hRule="atLeast"/>
          <w:jc w:val="center"/>
        </w:trPr>
        <w:tc>
          <w:tcPr>
            <w:tcW w:w="629" w:type="dxa"/>
            <w:vMerge w:val="continue"/>
            <w:tcBorders>
              <w:top w:val="nil"/>
              <w:left w:val="single" w:color="auto" w:sz="6" w:space="0"/>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p>
        </w:tc>
        <w:tc>
          <w:tcPr>
            <w:tcW w:w="1305" w:type="dxa"/>
            <w:vMerge w:val="continue"/>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p>
        </w:tc>
        <w:tc>
          <w:tcPr>
            <w:tcW w:w="2355"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4.无正当理由大量反复申请</w:t>
            </w:r>
          </w:p>
        </w:tc>
        <w:tc>
          <w:tcPr>
            <w:tcW w:w="85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343"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418"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1123"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121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29" w:type="dxa"/>
            <w:vMerge w:val="continue"/>
            <w:tcBorders>
              <w:top w:val="nil"/>
              <w:left w:val="single" w:color="auto" w:sz="6" w:space="0"/>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p>
        </w:tc>
        <w:tc>
          <w:tcPr>
            <w:tcW w:w="1305" w:type="dxa"/>
            <w:vMerge w:val="continue"/>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p>
        </w:tc>
        <w:tc>
          <w:tcPr>
            <w:tcW w:w="2355"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5.要求行政机关确认或重新出具已获取信息</w:t>
            </w:r>
          </w:p>
        </w:tc>
        <w:tc>
          <w:tcPr>
            <w:tcW w:w="85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343"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418"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1123"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121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0" w:hRule="atLeast"/>
          <w:jc w:val="center"/>
        </w:trPr>
        <w:tc>
          <w:tcPr>
            <w:tcW w:w="629" w:type="dxa"/>
            <w:vMerge w:val="continue"/>
            <w:tcBorders>
              <w:top w:val="nil"/>
              <w:left w:val="single" w:color="auto" w:sz="6" w:space="0"/>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p>
        </w:tc>
        <w:tc>
          <w:tcPr>
            <w:tcW w:w="3660" w:type="dxa"/>
            <w:gridSpan w:val="2"/>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（六）其他处理</w:t>
            </w:r>
          </w:p>
        </w:tc>
        <w:tc>
          <w:tcPr>
            <w:tcW w:w="85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343"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418"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1123"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121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0" w:hRule="atLeast"/>
          <w:jc w:val="center"/>
        </w:trPr>
        <w:tc>
          <w:tcPr>
            <w:tcW w:w="629" w:type="dxa"/>
            <w:vMerge w:val="continue"/>
            <w:tcBorders>
              <w:top w:val="nil"/>
              <w:left w:val="single" w:color="auto" w:sz="6" w:space="0"/>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p>
        </w:tc>
        <w:tc>
          <w:tcPr>
            <w:tcW w:w="3660" w:type="dxa"/>
            <w:gridSpan w:val="2"/>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（七）总计</w:t>
            </w:r>
          </w:p>
        </w:tc>
        <w:tc>
          <w:tcPr>
            <w:tcW w:w="85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286</w:t>
            </w:r>
          </w:p>
        </w:tc>
        <w:tc>
          <w:tcPr>
            <w:tcW w:w="343"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418"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123"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0</w:t>
            </w:r>
          </w:p>
        </w:tc>
        <w:tc>
          <w:tcPr>
            <w:tcW w:w="121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289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289" w:type="dxa"/>
            <w:gridSpan w:val="3"/>
            <w:tcBorders>
              <w:top w:val="nil"/>
              <w:left w:val="single" w:color="auto" w:sz="6" w:space="0"/>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四、结转下年度继续办理</w:t>
            </w:r>
          </w:p>
        </w:tc>
        <w:tc>
          <w:tcPr>
            <w:tcW w:w="85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343"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418"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419"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1123" w:type="dxa"/>
            <w:tcBorders>
              <w:top w:val="nil"/>
              <w:left w:val="nil"/>
              <w:bottom w:val="single" w:color="auto" w:sz="6" w:space="0"/>
              <w:right w:val="single" w:color="auto" w:sz="6" w:space="0"/>
            </w:tcBorders>
            <w:noWrap w:val="0"/>
            <w:tcMar>
              <w:left w:w="105" w:type="dxa"/>
              <w:right w:w="105" w:type="dxa"/>
            </w:tcMar>
            <w:vAlign w:val="center"/>
          </w:tcPr>
          <w:p>
            <w:pPr>
              <w:widowControl/>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0</w:t>
            </w:r>
          </w:p>
        </w:tc>
        <w:tc>
          <w:tcPr>
            <w:tcW w:w="1212" w:type="dxa"/>
            <w:tcBorders>
              <w:top w:val="nil"/>
              <w:left w:val="nil"/>
              <w:bottom w:val="single" w:color="auto" w:sz="6" w:space="0"/>
              <w:right w:val="single" w:color="auto" w:sz="6" w:space="0"/>
            </w:tcBorders>
            <w:noWrap w:val="0"/>
            <w:tcMar>
              <w:left w:w="105" w:type="dxa"/>
              <w:right w:w="10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8</w:t>
            </w:r>
          </w:p>
        </w:tc>
      </w:tr>
    </w:tbl>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90" w:lineRule="exact"/>
        <w:ind w:right="0" w:firstLine="636" w:firstLineChars="200"/>
        <w:jc w:val="both"/>
        <w:textAlignment w:val="auto"/>
        <w:rPr>
          <w:rFonts w:hint="default" w:ascii="Times New Roman" w:hAnsi="Times New Roman" w:eastAsia="黑体" w:cs="Times New Roman"/>
          <w:i w:val="0"/>
          <w:caps w:val="0"/>
          <w:color w:val="auto"/>
          <w:spacing w:val="0"/>
          <w:sz w:val="32"/>
          <w:szCs w:val="32"/>
        </w:rPr>
      </w:pPr>
      <w:r>
        <w:rPr>
          <w:rFonts w:hint="default" w:ascii="Times New Roman" w:hAnsi="Times New Roman" w:eastAsia="黑体" w:cs="Times New Roman"/>
          <w:i w:val="0"/>
          <w:caps w:val="0"/>
          <w:color w:val="auto"/>
          <w:spacing w:val="0"/>
          <w:sz w:val="32"/>
          <w:szCs w:val="32"/>
        </w:rPr>
        <w:t>四、政府信息公开行政复议、行政诉讼情况</w:t>
      </w:r>
    </w:p>
    <w:tbl>
      <w:tblPr>
        <w:tblStyle w:val="7"/>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97" w:hRule="atLeast"/>
          <w:jc w:val="center"/>
        </w:trPr>
        <w:tc>
          <w:tcPr>
            <w:tcW w:w="3074" w:type="dxa"/>
            <w:gridSpan w:val="5"/>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ind w:firstLine="0" w:firstLineChars="0"/>
              <w:jc w:val="center"/>
              <w:rPr>
                <w:rFonts w:hint="default" w:ascii="Times New Roman" w:hAnsi="Times New Roman" w:cs="Times New Roman"/>
                <w:color w:val="auto"/>
              </w:rPr>
            </w:pPr>
            <w:r>
              <w:rPr>
                <w:rFonts w:hint="default" w:ascii="Times New Roman" w:hAnsi="Times New Roman" w:eastAsia="宋体" w:cs="Times New Roman"/>
                <w:color w:val="auto"/>
                <w:kern w:val="0"/>
                <w:sz w:val="20"/>
                <w:szCs w:val="20"/>
              </w:rPr>
              <w:t>行政复议</w:t>
            </w:r>
          </w:p>
        </w:tc>
        <w:tc>
          <w:tcPr>
            <w:tcW w:w="5997" w:type="dxa"/>
            <w:gridSpan w:val="10"/>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firstLine="0" w:firstLineChars="0"/>
              <w:jc w:val="center"/>
              <w:rPr>
                <w:rFonts w:hint="default" w:ascii="Times New Roman" w:hAnsi="Times New Roman" w:cs="Times New Roman"/>
                <w:color w:val="auto"/>
              </w:rPr>
            </w:pPr>
            <w:r>
              <w:rPr>
                <w:rFonts w:hint="default" w:ascii="Times New Roman" w:hAnsi="Times New Roman" w:eastAsia="宋体" w:cs="Times New Roman"/>
                <w:color w:val="auto"/>
                <w:kern w:val="0"/>
                <w:sz w:val="20"/>
                <w:szCs w:val="20"/>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7" w:hRule="atLeast"/>
          <w:jc w:val="center"/>
        </w:trPr>
        <w:tc>
          <w:tcPr>
            <w:tcW w:w="604"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ind w:right="-168" w:rightChars="-81" w:firstLine="0" w:firstLineChars="0"/>
              <w:jc w:val="center"/>
              <w:rPr>
                <w:rFonts w:hint="default" w:ascii="Times New Roman" w:hAnsi="Times New Roman" w:eastAsia="宋体" w:cs="Times New Roman"/>
                <w:color w:val="auto"/>
                <w:kern w:val="0"/>
                <w:sz w:val="20"/>
                <w:szCs w:val="20"/>
              </w:rPr>
            </w:pPr>
            <w:r>
              <w:rPr>
                <w:rFonts w:hint="default" w:ascii="Times New Roman" w:hAnsi="Times New Roman" w:eastAsia="宋体" w:cs="Times New Roman"/>
                <w:color w:val="auto"/>
                <w:kern w:val="0"/>
                <w:sz w:val="20"/>
                <w:szCs w:val="20"/>
              </w:rPr>
              <w:t>结果</w:t>
            </w:r>
          </w:p>
          <w:p>
            <w:pPr>
              <w:widowControl/>
              <w:ind w:right="-168" w:rightChars="-81" w:firstLine="0" w:firstLineChars="0"/>
              <w:jc w:val="center"/>
              <w:rPr>
                <w:rFonts w:hint="default" w:ascii="Times New Roman" w:hAnsi="Times New Roman" w:cs="Times New Roman"/>
                <w:color w:val="auto"/>
              </w:rPr>
            </w:pPr>
            <w:r>
              <w:rPr>
                <w:rFonts w:hint="default" w:ascii="Times New Roman" w:hAnsi="Times New Roman" w:eastAsia="宋体" w:cs="Times New Roman"/>
                <w:color w:val="auto"/>
                <w:kern w:val="0"/>
                <w:sz w:val="20"/>
                <w:szCs w:val="20"/>
              </w:rPr>
              <w:t>维持</w:t>
            </w:r>
          </w:p>
        </w:tc>
        <w:tc>
          <w:tcPr>
            <w:tcW w:w="604"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ind w:right="-131" w:rightChars="-63" w:firstLine="0" w:firstLineChars="0"/>
              <w:jc w:val="center"/>
              <w:rPr>
                <w:rFonts w:hint="default" w:ascii="Times New Roman" w:hAnsi="Times New Roman" w:eastAsia="宋体" w:cs="Times New Roman"/>
                <w:color w:val="auto"/>
                <w:kern w:val="0"/>
                <w:sz w:val="20"/>
                <w:szCs w:val="20"/>
              </w:rPr>
            </w:pPr>
            <w:r>
              <w:rPr>
                <w:rFonts w:hint="default" w:ascii="Times New Roman" w:hAnsi="Times New Roman" w:eastAsia="宋体" w:cs="Times New Roman"/>
                <w:color w:val="auto"/>
                <w:kern w:val="0"/>
                <w:sz w:val="20"/>
                <w:szCs w:val="20"/>
              </w:rPr>
              <w:t>结果</w:t>
            </w:r>
          </w:p>
          <w:p>
            <w:pPr>
              <w:widowControl/>
              <w:ind w:right="-131" w:rightChars="-63" w:firstLine="0" w:firstLineChars="0"/>
              <w:jc w:val="center"/>
              <w:rPr>
                <w:rFonts w:hint="default" w:ascii="Times New Roman" w:hAnsi="Times New Roman" w:cs="Times New Roman"/>
                <w:color w:val="auto"/>
              </w:rPr>
            </w:pPr>
            <w:r>
              <w:rPr>
                <w:rFonts w:hint="default" w:ascii="Times New Roman" w:hAnsi="Times New Roman" w:eastAsia="宋体" w:cs="Times New Roman"/>
                <w:color w:val="auto"/>
                <w:kern w:val="0"/>
                <w:sz w:val="20"/>
                <w:szCs w:val="20"/>
              </w:rPr>
              <w:t>纠正</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right="-95" w:rightChars="-46" w:firstLine="0" w:firstLineChars="0"/>
              <w:jc w:val="center"/>
              <w:rPr>
                <w:rFonts w:hint="default" w:ascii="Times New Roman" w:hAnsi="Times New Roman" w:eastAsia="宋体" w:cs="Times New Roman"/>
                <w:color w:val="auto"/>
                <w:kern w:val="0"/>
                <w:sz w:val="20"/>
                <w:szCs w:val="20"/>
              </w:rPr>
            </w:pPr>
            <w:r>
              <w:rPr>
                <w:rFonts w:hint="default" w:ascii="Times New Roman" w:hAnsi="Times New Roman" w:eastAsia="宋体" w:cs="Times New Roman"/>
                <w:color w:val="auto"/>
                <w:kern w:val="0"/>
                <w:sz w:val="20"/>
                <w:szCs w:val="20"/>
              </w:rPr>
              <w:t>其他</w:t>
            </w:r>
          </w:p>
          <w:p>
            <w:pPr>
              <w:widowControl/>
              <w:ind w:right="-95" w:rightChars="-46" w:firstLine="0" w:firstLineChars="0"/>
              <w:jc w:val="center"/>
              <w:rPr>
                <w:rFonts w:hint="default" w:ascii="Times New Roman" w:hAnsi="Times New Roman" w:cs="Times New Roman"/>
                <w:color w:val="auto"/>
              </w:rPr>
            </w:pPr>
            <w:r>
              <w:rPr>
                <w:rFonts w:hint="default" w:ascii="Times New Roman" w:hAnsi="Times New Roman" w:eastAsia="宋体" w:cs="Times New Roman"/>
                <w:color w:val="auto"/>
                <w:kern w:val="0"/>
                <w:sz w:val="20"/>
                <w:szCs w:val="20"/>
              </w:rPr>
              <w:t>结果</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right="-116" w:rightChars="-56" w:firstLine="0" w:firstLineChars="0"/>
              <w:jc w:val="center"/>
              <w:rPr>
                <w:rFonts w:hint="default" w:ascii="Times New Roman" w:hAnsi="Times New Roman" w:eastAsia="宋体" w:cs="Times New Roman"/>
                <w:color w:val="auto"/>
                <w:kern w:val="0"/>
                <w:sz w:val="20"/>
                <w:szCs w:val="20"/>
              </w:rPr>
            </w:pPr>
            <w:r>
              <w:rPr>
                <w:rFonts w:hint="default" w:ascii="Times New Roman" w:hAnsi="Times New Roman" w:eastAsia="宋体" w:cs="Times New Roman"/>
                <w:color w:val="auto"/>
                <w:kern w:val="0"/>
                <w:sz w:val="20"/>
                <w:szCs w:val="20"/>
              </w:rPr>
              <w:t>尚未</w:t>
            </w:r>
          </w:p>
          <w:p>
            <w:pPr>
              <w:widowControl/>
              <w:ind w:right="-116" w:rightChars="-56" w:firstLine="0" w:firstLineChars="0"/>
              <w:jc w:val="center"/>
              <w:rPr>
                <w:rFonts w:hint="default" w:ascii="Times New Roman" w:hAnsi="Times New Roman" w:cs="Times New Roman"/>
                <w:color w:val="auto"/>
              </w:rPr>
            </w:pPr>
            <w:r>
              <w:rPr>
                <w:rFonts w:hint="default" w:ascii="Times New Roman" w:hAnsi="Times New Roman" w:eastAsia="宋体" w:cs="Times New Roman"/>
                <w:color w:val="auto"/>
                <w:kern w:val="0"/>
                <w:sz w:val="20"/>
                <w:szCs w:val="20"/>
              </w:rPr>
              <w:t>审结</w:t>
            </w:r>
          </w:p>
        </w:tc>
        <w:tc>
          <w:tcPr>
            <w:tcW w:w="658"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ind w:firstLine="0" w:firstLineChars="0"/>
              <w:jc w:val="center"/>
              <w:rPr>
                <w:rFonts w:hint="default" w:ascii="Times New Roman" w:hAnsi="Times New Roman" w:eastAsia="宋体" w:cs="Times New Roman"/>
                <w:color w:val="auto"/>
                <w:kern w:val="0"/>
                <w:sz w:val="20"/>
                <w:szCs w:val="20"/>
              </w:rPr>
            </w:pPr>
            <w:r>
              <w:rPr>
                <w:rFonts w:hint="default" w:ascii="Times New Roman" w:hAnsi="Times New Roman" w:eastAsia="宋体" w:cs="Times New Roman"/>
                <w:color w:val="auto"/>
                <w:kern w:val="0"/>
                <w:sz w:val="20"/>
                <w:szCs w:val="20"/>
              </w:rPr>
              <w:t>总</w:t>
            </w:r>
          </w:p>
          <w:p>
            <w:pPr>
              <w:widowControl/>
              <w:spacing w:line="320" w:lineRule="exact"/>
              <w:ind w:firstLine="0" w:firstLineChars="0"/>
              <w:jc w:val="center"/>
              <w:rPr>
                <w:rFonts w:hint="default" w:ascii="Times New Roman" w:hAnsi="Times New Roman" w:cs="Times New Roman"/>
                <w:color w:val="auto"/>
              </w:rPr>
            </w:pPr>
            <w:r>
              <w:rPr>
                <w:rFonts w:hint="default" w:ascii="Times New Roman" w:hAnsi="Times New Roman" w:eastAsia="宋体" w:cs="Times New Roman"/>
                <w:color w:val="auto"/>
                <w:kern w:val="0"/>
                <w:sz w:val="20"/>
                <w:szCs w:val="20"/>
              </w:rPr>
              <w:t>计</w:t>
            </w:r>
          </w:p>
        </w:tc>
        <w:tc>
          <w:tcPr>
            <w:tcW w:w="2970"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firstLine="0" w:firstLineChars="0"/>
              <w:jc w:val="center"/>
              <w:rPr>
                <w:rFonts w:hint="default" w:ascii="Times New Roman" w:hAnsi="Times New Roman" w:cs="Times New Roman"/>
                <w:color w:val="auto"/>
              </w:rPr>
            </w:pPr>
            <w:r>
              <w:rPr>
                <w:rFonts w:hint="default" w:ascii="Times New Roman" w:hAnsi="Times New Roman" w:eastAsia="宋体" w:cs="Times New Roman"/>
                <w:color w:val="auto"/>
                <w:kern w:val="0"/>
                <w:sz w:val="20"/>
                <w:szCs w:val="20"/>
              </w:rPr>
              <w:t>未经复议直接起诉</w:t>
            </w:r>
          </w:p>
        </w:tc>
        <w:tc>
          <w:tcPr>
            <w:tcW w:w="3027"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firstLine="0" w:firstLineChars="0"/>
              <w:jc w:val="center"/>
              <w:rPr>
                <w:rFonts w:hint="default" w:ascii="Times New Roman" w:hAnsi="Times New Roman" w:cs="Times New Roman"/>
                <w:color w:val="auto"/>
              </w:rPr>
            </w:pPr>
            <w:r>
              <w:rPr>
                <w:rFonts w:hint="default" w:ascii="Times New Roman" w:hAnsi="Times New Roman" w:eastAsia="宋体" w:cs="Times New Roman"/>
                <w:color w:val="auto"/>
                <w:kern w:val="0"/>
                <w:sz w:val="20"/>
                <w:szCs w:val="20"/>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6" w:hRule="atLeast"/>
          <w:jc w:val="center"/>
        </w:trPr>
        <w:tc>
          <w:tcPr>
            <w:tcW w:w="60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ind w:firstLine="480"/>
              <w:jc w:val="center"/>
              <w:rPr>
                <w:rFonts w:hint="default" w:ascii="Times New Roman" w:hAnsi="Times New Roman" w:cs="Times New Roman"/>
                <w:color w:val="auto"/>
                <w:sz w:val="24"/>
              </w:rPr>
            </w:pPr>
          </w:p>
        </w:tc>
        <w:tc>
          <w:tcPr>
            <w:tcW w:w="604"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ind w:firstLine="480"/>
              <w:jc w:val="center"/>
              <w:rPr>
                <w:rFonts w:hint="default" w:ascii="Times New Roman" w:hAnsi="Times New Roman" w:cs="Times New Roman"/>
                <w:color w:val="auto"/>
                <w:sz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ind w:firstLine="480"/>
              <w:jc w:val="center"/>
              <w:rPr>
                <w:rFonts w:hint="default" w:ascii="Times New Roman" w:hAnsi="Times New Roman" w:cs="Times New Roman"/>
                <w:color w:val="auto"/>
                <w:sz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ind w:firstLine="480"/>
              <w:jc w:val="center"/>
              <w:rPr>
                <w:rFonts w:hint="default" w:ascii="Times New Roman" w:hAnsi="Times New Roman" w:cs="Times New Roman"/>
                <w:color w:val="auto"/>
                <w:sz w:val="24"/>
              </w:rPr>
            </w:pPr>
          </w:p>
        </w:tc>
        <w:tc>
          <w:tcPr>
            <w:tcW w:w="658"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ind w:firstLine="480"/>
              <w:jc w:val="center"/>
              <w:rPr>
                <w:rFonts w:hint="default" w:ascii="Times New Roman" w:hAnsi="Times New Roman" w:cs="Times New Roman"/>
                <w:color w:val="auto"/>
                <w:sz w:val="24"/>
              </w:rPr>
            </w:pP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ind w:right="-124" w:rightChars="-60" w:firstLine="0" w:firstLineChars="0"/>
              <w:jc w:val="center"/>
              <w:rPr>
                <w:rFonts w:hint="default" w:ascii="Times New Roman" w:hAnsi="Times New Roman" w:eastAsia="宋体" w:cs="Times New Roman"/>
                <w:color w:val="auto"/>
                <w:kern w:val="0"/>
                <w:sz w:val="20"/>
                <w:szCs w:val="20"/>
              </w:rPr>
            </w:pPr>
            <w:r>
              <w:rPr>
                <w:rFonts w:hint="default" w:ascii="Times New Roman" w:hAnsi="Times New Roman" w:eastAsia="宋体" w:cs="Times New Roman"/>
                <w:color w:val="auto"/>
                <w:kern w:val="0"/>
                <w:sz w:val="20"/>
                <w:szCs w:val="20"/>
              </w:rPr>
              <w:t>结果</w:t>
            </w:r>
          </w:p>
          <w:p>
            <w:pPr>
              <w:widowControl/>
              <w:ind w:right="-124" w:rightChars="-60" w:firstLine="0" w:firstLineChars="0"/>
              <w:jc w:val="center"/>
              <w:rPr>
                <w:rFonts w:hint="default" w:ascii="Times New Roman" w:hAnsi="Times New Roman" w:cs="Times New Roman"/>
                <w:color w:val="auto"/>
              </w:rPr>
            </w:pPr>
            <w:r>
              <w:rPr>
                <w:rFonts w:hint="default" w:ascii="Times New Roman" w:hAnsi="Times New Roman" w:eastAsia="宋体" w:cs="Times New Roman"/>
                <w:color w:val="auto"/>
                <w:kern w:val="0"/>
                <w:sz w:val="20"/>
                <w:szCs w:val="20"/>
              </w:rPr>
              <w:t>维持</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ind w:right="-87" w:rightChars="-42" w:firstLine="0" w:firstLineChars="0"/>
              <w:jc w:val="center"/>
              <w:rPr>
                <w:rFonts w:hint="default" w:ascii="Times New Roman" w:hAnsi="Times New Roman" w:eastAsia="宋体" w:cs="Times New Roman"/>
                <w:color w:val="auto"/>
                <w:kern w:val="0"/>
                <w:sz w:val="20"/>
                <w:szCs w:val="20"/>
              </w:rPr>
            </w:pPr>
            <w:r>
              <w:rPr>
                <w:rFonts w:hint="default" w:ascii="Times New Roman" w:hAnsi="Times New Roman" w:eastAsia="宋体" w:cs="Times New Roman"/>
                <w:color w:val="auto"/>
                <w:kern w:val="0"/>
                <w:sz w:val="20"/>
                <w:szCs w:val="20"/>
              </w:rPr>
              <w:t>结果</w:t>
            </w:r>
          </w:p>
          <w:p>
            <w:pPr>
              <w:widowControl/>
              <w:ind w:right="-87" w:rightChars="-42" w:firstLine="0" w:firstLineChars="0"/>
              <w:jc w:val="center"/>
              <w:rPr>
                <w:rFonts w:hint="default" w:ascii="Times New Roman" w:hAnsi="Times New Roman" w:cs="Times New Roman"/>
                <w:color w:val="auto"/>
              </w:rPr>
            </w:pPr>
            <w:r>
              <w:rPr>
                <w:rFonts w:hint="default" w:ascii="Times New Roman" w:hAnsi="Times New Roman" w:eastAsia="宋体" w:cs="Times New Roman"/>
                <w:color w:val="auto"/>
                <w:kern w:val="0"/>
                <w:sz w:val="20"/>
                <w:szCs w:val="20"/>
              </w:rPr>
              <w:t>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right="-135" w:rightChars="-65" w:firstLine="0" w:firstLineChars="0"/>
              <w:jc w:val="center"/>
              <w:rPr>
                <w:rFonts w:hint="default" w:ascii="Times New Roman" w:hAnsi="Times New Roman" w:eastAsia="宋体" w:cs="Times New Roman"/>
                <w:color w:val="auto"/>
                <w:kern w:val="0"/>
                <w:sz w:val="20"/>
                <w:szCs w:val="20"/>
              </w:rPr>
            </w:pPr>
            <w:r>
              <w:rPr>
                <w:rFonts w:hint="default" w:ascii="Times New Roman" w:hAnsi="Times New Roman" w:eastAsia="宋体" w:cs="Times New Roman"/>
                <w:color w:val="auto"/>
                <w:kern w:val="0"/>
                <w:sz w:val="20"/>
                <w:szCs w:val="20"/>
              </w:rPr>
              <w:t>其他</w:t>
            </w:r>
          </w:p>
          <w:p>
            <w:pPr>
              <w:widowControl/>
              <w:ind w:right="-135" w:rightChars="-65" w:firstLine="0" w:firstLineChars="0"/>
              <w:jc w:val="center"/>
              <w:rPr>
                <w:rFonts w:hint="default" w:ascii="Times New Roman" w:hAnsi="Times New Roman" w:cs="Times New Roman"/>
                <w:color w:val="auto"/>
              </w:rPr>
            </w:pPr>
            <w:r>
              <w:rPr>
                <w:rFonts w:hint="default" w:ascii="Times New Roman" w:hAnsi="Times New Roman" w:eastAsia="宋体" w:cs="Times New Roman"/>
                <w:color w:val="auto"/>
                <w:kern w:val="0"/>
                <w:sz w:val="20"/>
                <w:szCs w:val="20"/>
              </w:rPr>
              <w:t>结果</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right="-151" w:rightChars="-73" w:firstLine="0" w:firstLineChars="0"/>
              <w:jc w:val="center"/>
              <w:rPr>
                <w:rFonts w:hint="default" w:ascii="Times New Roman" w:hAnsi="Times New Roman" w:eastAsia="宋体" w:cs="Times New Roman"/>
                <w:color w:val="auto"/>
                <w:kern w:val="0"/>
                <w:sz w:val="20"/>
                <w:szCs w:val="20"/>
              </w:rPr>
            </w:pPr>
            <w:r>
              <w:rPr>
                <w:rFonts w:hint="default" w:ascii="Times New Roman" w:hAnsi="Times New Roman" w:eastAsia="宋体" w:cs="Times New Roman"/>
                <w:color w:val="auto"/>
                <w:kern w:val="0"/>
                <w:sz w:val="20"/>
                <w:szCs w:val="20"/>
              </w:rPr>
              <w:t>尚未</w:t>
            </w:r>
          </w:p>
          <w:p>
            <w:pPr>
              <w:widowControl/>
              <w:ind w:right="-151" w:rightChars="-73" w:firstLine="0" w:firstLineChars="0"/>
              <w:jc w:val="center"/>
              <w:rPr>
                <w:rFonts w:hint="default" w:ascii="Times New Roman" w:hAnsi="Times New Roman" w:cs="Times New Roman"/>
                <w:color w:val="auto"/>
              </w:rPr>
            </w:pPr>
            <w:r>
              <w:rPr>
                <w:rFonts w:hint="default" w:ascii="Times New Roman" w:hAnsi="Times New Roman" w:eastAsia="宋体" w:cs="Times New Roman"/>
                <w:color w:val="auto"/>
                <w:kern w:val="0"/>
                <w:sz w:val="20"/>
                <w:szCs w:val="20"/>
              </w:rPr>
              <w:t>审结</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firstLine="0" w:firstLineChars="0"/>
              <w:jc w:val="center"/>
              <w:rPr>
                <w:rFonts w:hint="default" w:ascii="Times New Roman" w:hAnsi="Times New Roman" w:cs="Times New Roman"/>
                <w:color w:val="auto"/>
              </w:rPr>
            </w:pPr>
            <w:r>
              <w:rPr>
                <w:rFonts w:hint="default" w:ascii="Times New Roman" w:hAnsi="Times New Roman" w:eastAsia="宋体" w:cs="Times New Roman"/>
                <w:color w:val="auto"/>
                <w:kern w:val="0"/>
                <w:sz w:val="20"/>
                <w:szCs w:val="20"/>
              </w:rPr>
              <w:t>总计</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right="-76" w:rightChars="-37" w:firstLine="0" w:firstLineChars="0"/>
              <w:jc w:val="center"/>
              <w:rPr>
                <w:rFonts w:hint="default" w:ascii="Times New Roman" w:hAnsi="Times New Roman" w:eastAsia="宋体" w:cs="Times New Roman"/>
                <w:color w:val="auto"/>
                <w:kern w:val="0"/>
                <w:sz w:val="20"/>
                <w:szCs w:val="20"/>
              </w:rPr>
            </w:pPr>
            <w:r>
              <w:rPr>
                <w:rFonts w:hint="default" w:ascii="Times New Roman" w:hAnsi="Times New Roman" w:eastAsia="宋体" w:cs="Times New Roman"/>
                <w:color w:val="auto"/>
                <w:kern w:val="0"/>
                <w:sz w:val="20"/>
                <w:szCs w:val="20"/>
              </w:rPr>
              <w:t>结果</w:t>
            </w:r>
          </w:p>
          <w:p>
            <w:pPr>
              <w:widowControl/>
              <w:ind w:right="-76" w:rightChars="-37" w:firstLine="0" w:firstLineChars="0"/>
              <w:jc w:val="center"/>
              <w:rPr>
                <w:rFonts w:hint="default" w:ascii="Times New Roman" w:hAnsi="Times New Roman" w:cs="Times New Roman"/>
                <w:color w:val="auto"/>
              </w:rPr>
            </w:pPr>
            <w:r>
              <w:rPr>
                <w:rFonts w:hint="default" w:ascii="Times New Roman" w:hAnsi="Times New Roman" w:eastAsia="宋体" w:cs="Times New Roman"/>
                <w:color w:val="auto"/>
                <w:kern w:val="0"/>
                <w:sz w:val="20"/>
                <w:szCs w:val="20"/>
              </w:rPr>
              <w:t>维持</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right="-122" w:rightChars="-59" w:firstLine="0" w:firstLineChars="0"/>
              <w:jc w:val="center"/>
              <w:rPr>
                <w:rFonts w:hint="default" w:ascii="Times New Roman" w:hAnsi="Times New Roman" w:eastAsia="宋体" w:cs="Times New Roman"/>
                <w:color w:val="auto"/>
                <w:kern w:val="0"/>
                <w:sz w:val="20"/>
                <w:szCs w:val="20"/>
              </w:rPr>
            </w:pPr>
            <w:r>
              <w:rPr>
                <w:rFonts w:hint="default" w:ascii="Times New Roman" w:hAnsi="Times New Roman" w:eastAsia="宋体" w:cs="Times New Roman"/>
                <w:color w:val="auto"/>
                <w:kern w:val="0"/>
                <w:sz w:val="20"/>
                <w:szCs w:val="20"/>
              </w:rPr>
              <w:t>结果</w:t>
            </w:r>
          </w:p>
          <w:p>
            <w:pPr>
              <w:widowControl/>
              <w:ind w:right="-122" w:rightChars="-59" w:firstLine="0" w:firstLineChars="0"/>
              <w:jc w:val="center"/>
              <w:rPr>
                <w:rFonts w:hint="default" w:ascii="Times New Roman" w:hAnsi="Times New Roman" w:cs="Times New Roman"/>
                <w:color w:val="auto"/>
              </w:rPr>
            </w:pPr>
            <w:r>
              <w:rPr>
                <w:rFonts w:hint="default" w:ascii="Times New Roman" w:hAnsi="Times New Roman" w:eastAsia="宋体" w:cs="Times New Roman"/>
                <w:color w:val="auto"/>
                <w:kern w:val="0"/>
                <w:sz w:val="20"/>
                <w:szCs w:val="20"/>
              </w:rPr>
              <w:t>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right="-133" w:rightChars="-64" w:firstLine="0" w:firstLineChars="0"/>
              <w:jc w:val="center"/>
              <w:rPr>
                <w:rFonts w:hint="default" w:ascii="Times New Roman" w:hAnsi="Times New Roman" w:eastAsia="宋体" w:cs="Times New Roman"/>
                <w:color w:val="auto"/>
                <w:kern w:val="0"/>
                <w:sz w:val="20"/>
                <w:szCs w:val="20"/>
              </w:rPr>
            </w:pPr>
            <w:r>
              <w:rPr>
                <w:rFonts w:hint="default" w:ascii="Times New Roman" w:hAnsi="Times New Roman" w:eastAsia="宋体" w:cs="Times New Roman"/>
                <w:color w:val="auto"/>
                <w:kern w:val="0"/>
                <w:sz w:val="20"/>
                <w:szCs w:val="20"/>
              </w:rPr>
              <w:t>其他</w:t>
            </w:r>
          </w:p>
          <w:p>
            <w:pPr>
              <w:widowControl/>
              <w:ind w:right="-133" w:rightChars="-64" w:firstLine="0" w:firstLineChars="0"/>
              <w:jc w:val="center"/>
              <w:rPr>
                <w:rFonts w:hint="default" w:ascii="Times New Roman" w:hAnsi="Times New Roman" w:cs="Times New Roman"/>
                <w:color w:val="auto"/>
              </w:rPr>
            </w:pPr>
            <w:r>
              <w:rPr>
                <w:rFonts w:hint="default" w:ascii="Times New Roman" w:hAnsi="Times New Roman" w:eastAsia="宋体" w:cs="Times New Roman"/>
                <w:color w:val="auto"/>
                <w:kern w:val="0"/>
                <w:sz w:val="20"/>
                <w:szCs w:val="20"/>
              </w:rPr>
              <w:t>结果</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66" w:leftChars="-33" w:right="-104" w:rightChars="-50" w:hanging="2" w:hangingChars="1"/>
              <w:jc w:val="center"/>
              <w:rPr>
                <w:rFonts w:hint="default" w:ascii="Times New Roman" w:hAnsi="Times New Roman" w:eastAsia="宋体" w:cs="Times New Roman"/>
                <w:color w:val="auto"/>
                <w:kern w:val="0"/>
                <w:sz w:val="20"/>
                <w:szCs w:val="20"/>
              </w:rPr>
            </w:pPr>
            <w:r>
              <w:rPr>
                <w:rFonts w:hint="default" w:ascii="Times New Roman" w:hAnsi="Times New Roman" w:eastAsia="宋体" w:cs="Times New Roman"/>
                <w:color w:val="auto"/>
                <w:kern w:val="0"/>
                <w:sz w:val="20"/>
                <w:szCs w:val="20"/>
              </w:rPr>
              <w:t>尚未</w:t>
            </w:r>
          </w:p>
          <w:p>
            <w:pPr>
              <w:widowControl/>
              <w:ind w:left="-66" w:leftChars="-33" w:right="-104" w:rightChars="-50" w:hanging="2" w:hangingChars="1"/>
              <w:jc w:val="center"/>
              <w:rPr>
                <w:rFonts w:hint="default" w:ascii="Times New Roman" w:hAnsi="Times New Roman" w:cs="Times New Roman"/>
                <w:color w:val="auto"/>
              </w:rPr>
            </w:pPr>
            <w:r>
              <w:rPr>
                <w:rFonts w:hint="default" w:ascii="Times New Roman" w:hAnsi="Times New Roman" w:eastAsia="宋体" w:cs="Times New Roman"/>
                <w:color w:val="auto"/>
                <w:kern w:val="0"/>
                <w:sz w:val="20"/>
                <w:szCs w:val="20"/>
              </w:rPr>
              <w:t>审结</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firstLine="0" w:firstLineChars="0"/>
              <w:jc w:val="center"/>
              <w:rPr>
                <w:rFonts w:hint="default" w:ascii="Times New Roman" w:hAnsi="Times New Roman" w:cs="Times New Roman"/>
                <w:color w:val="auto"/>
              </w:rPr>
            </w:pPr>
            <w:r>
              <w:rPr>
                <w:rFonts w:hint="default" w:ascii="Times New Roman" w:hAnsi="Times New Roman" w:eastAsia="宋体" w:cs="Times New Roman"/>
                <w:color w:val="auto"/>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31</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24</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65</w:t>
            </w: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38</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58</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jc w:val="center"/>
              <w:textAlignment w:val="center"/>
              <w:rPr>
                <w:rFonts w:hint="default" w:ascii="Times New Roman" w:hAnsi="Times New Roman" w:cs="Times New Roman"/>
                <w:color w:val="auto"/>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32</w:t>
            </w:r>
          </w:p>
        </w:tc>
      </w:tr>
    </w:tbl>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90" w:lineRule="exact"/>
        <w:ind w:right="0" w:firstLine="636" w:firstLineChars="200"/>
        <w:jc w:val="both"/>
        <w:textAlignment w:val="auto"/>
        <w:rPr>
          <w:rFonts w:hint="default" w:ascii="Times New Roman" w:hAnsi="Times New Roman" w:eastAsia="黑体" w:cs="Times New Roman"/>
          <w:i w:val="0"/>
          <w:caps w:val="0"/>
          <w:color w:val="auto"/>
          <w:spacing w:val="0"/>
          <w:sz w:val="32"/>
          <w:szCs w:val="32"/>
        </w:rPr>
      </w:pPr>
      <w:r>
        <w:rPr>
          <w:rFonts w:hint="default" w:ascii="Times New Roman" w:hAnsi="Times New Roman" w:eastAsia="黑体" w:cs="Times New Roman"/>
          <w:i w:val="0"/>
          <w:caps w:val="0"/>
          <w:color w:val="auto"/>
          <w:spacing w:val="0"/>
          <w:sz w:val="32"/>
          <w:szCs w:val="32"/>
        </w:rPr>
        <w:t>五、存在的主要问题及改进情况</w:t>
      </w:r>
    </w:p>
    <w:p>
      <w:pPr>
        <w:keepNext w:val="0"/>
        <w:keepLines w:val="0"/>
        <w:pageBreakBefore w:val="0"/>
        <w:widowControl w:val="0"/>
        <w:kinsoku/>
        <w:wordWrap/>
        <w:overflowPunct/>
        <w:topLinePunct w:val="0"/>
        <w:autoSpaceDE/>
        <w:autoSpaceDN/>
        <w:bidi w:val="0"/>
        <w:adjustRightInd/>
        <w:snapToGrid/>
        <w:spacing w:line="590" w:lineRule="exact"/>
        <w:ind w:firstLine="636"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2020年，天桥区进一步规范工作流程，完善政策解读，提升信息内容实用性及政策解读实用性，提高人员队伍专业性，政府信息公开工作取得了新的成效，但仍然存在着几个方面的问题：一是政策解读多样性有待加强，解读形式单一，创新能力需要提升。二是信息公开队伍力量不足，个别部门无专职工作人员，业务能力有待提升。2021年，将按照国家及省、市政府信息公开工作有关部署，继续对标整改、强化落实。</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36"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楷体_GB2312" w:cs="Times New Roman"/>
          <w:color w:val="auto"/>
          <w:sz w:val="32"/>
          <w:szCs w:val="40"/>
          <w:lang w:eastAsia="zh-CN"/>
        </w:rPr>
        <w:t>（一）进一步加大业务培训力度。</w:t>
      </w:r>
      <w:r>
        <w:rPr>
          <w:rFonts w:hint="default" w:ascii="Times New Roman" w:hAnsi="Times New Roman" w:eastAsia="仿宋_GB2312" w:cs="Times New Roman"/>
          <w:color w:val="auto"/>
          <w:sz w:val="32"/>
          <w:szCs w:val="32"/>
          <w:lang w:val="en-US" w:eastAsia="zh-CN"/>
        </w:rPr>
        <w:t>及时整理分析全区政府信息工作推进过程中的难点、堵点，强化组织领导，加强人员管理，有的放矢地制定培训计划，拓展培训方式，</w:t>
      </w:r>
      <w:r>
        <w:rPr>
          <w:rFonts w:hint="default" w:ascii="Times New Roman" w:hAnsi="Times New Roman" w:eastAsia="仿宋_GB2312" w:cs="Times New Roman"/>
          <w:color w:val="auto"/>
          <w:sz w:val="32"/>
          <w:szCs w:val="40"/>
          <w:lang w:eastAsia="zh-CN"/>
        </w:rPr>
        <w:t>注重培训效率，</w:t>
      </w:r>
      <w:r>
        <w:rPr>
          <w:rFonts w:hint="default" w:ascii="Times New Roman" w:hAnsi="Times New Roman" w:eastAsia="仿宋_GB2312" w:cs="Times New Roman"/>
          <w:color w:val="auto"/>
          <w:sz w:val="32"/>
          <w:szCs w:val="32"/>
          <w:lang w:val="en-US" w:eastAsia="zh-CN"/>
        </w:rPr>
        <w:t>保证培训质量，不断提高政务公开队伍工作水平。</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rightChars="0" w:firstLine="636" w:firstLineChars="200"/>
        <w:jc w:val="both"/>
        <w:textAlignment w:val="auto"/>
        <w:rPr>
          <w:rFonts w:hint="default" w:ascii="Times New Roman" w:hAnsi="Times New Roman" w:eastAsia="仿宋_GB2312" w:cs="Times New Roman"/>
          <w:color w:val="auto"/>
          <w:kern w:val="2"/>
          <w:sz w:val="32"/>
          <w:szCs w:val="40"/>
          <w:lang w:val="en-US" w:eastAsia="zh-CN" w:bidi="ar-SA"/>
        </w:rPr>
      </w:pPr>
      <w:r>
        <w:rPr>
          <w:rFonts w:hint="default" w:ascii="Times New Roman" w:hAnsi="Times New Roman" w:eastAsia="楷体_GB2312" w:cs="Times New Roman"/>
          <w:color w:val="auto"/>
          <w:kern w:val="2"/>
          <w:sz w:val="32"/>
          <w:szCs w:val="40"/>
          <w:lang w:val="en-US" w:eastAsia="zh-CN" w:bidi="ar-SA"/>
        </w:rPr>
        <w:t>（二）进一步丰富政策解读形式。</w:t>
      </w:r>
      <w:r>
        <w:rPr>
          <w:rFonts w:hint="default" w:ascii="Times New Roman" w:hAnsi="Times New Roman" w:eastAsia="仿宋_GB2312" w:cs="Times New Roman"/>
          <w:color w:val="auto"/>
          <w:kern w:val="2"/>
          <w:sz w:val="32"/>
          <w:szCs w:val="40"/>
          <w:lang w:val="en-US" w:eastAsia="zh-CN" w:bidi="ar-SA"/>
        </w:rPr>
        <w:t>按照“谁起草、谁解读”的原则，落实解读责任主体，注重人民群众获得感和满意度，通过图文图标、音频视频、动画等百姓喜闻乐见的形式，解读政策文件及会议精神，更为形象直观地让群众了解惠民政策，并主动解疑释惑，准确传递政策意图，引导正向舆论。</w:t>
      </w:r>
    </w:p>
    <w:p>
      <w:pPr>
        <w:keepNext w:val="0"/>
        <w:keepLines w:val="0"/>
        <w:pageBreakBefore w:val="0"/>
        <w:widowControl w:val="0"/>
        <w:kinsoku/>
        <w:wordWrap/>
        <w:overflowPunct/>
        <w:topLinePunct w:val="0"/>
        <w:autoSpaceDE/>
        <w:autoSpaceDN/>
        <w:bidi w:val="0"/>
        <w:adjustRightInd/>
        <w:snapToGrid/>
        <w:spacing w:line="560" w:lineRule="exact"/>
        <w:ind w:firstLine="636"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楷体_GB2312" w:cs="Times New Roman"/>
          <w:color w:val="auto"/>
          <w:kern w:val="2"/>
          <w:sz w:val="32"/>
          <w:szCs w:val="40"/>
          <w:lang w:val="en-US" w:eastAsia="zh-CN" w:bidi="ar-SA"/>
        </w:rPr>
        <w:t>（三）进一步提升为民服务意识。</w:t>
      </w:r>
      <w:r>
        <w:rPr>
          <w:rFonts w:hint="default" w:ascii="Times New Roman" w:hAnsi="Times New Roman" w:eastAsia="仿宋_GB2312" w:cs="Times New Roman"/>
          <w:color w:val="auto"/>
          <w:sz w:val="32"/>
          <w:szCs w:val="40"/>
          <w:lang w:eastAsia="zh-CN"/>
        </w:rPr>
        <w:t>坚决抓好网络意识形态及网络安全工作，通过业务培训、提醒督导等形式，狠抓业务</w:t>
      </w:r>
      <w:r>
        <w:rPr>
          <w:rFonts w:hint="default" w:ascii="Times New Roman" w:hAnsi="Times New Roman" w:eastAsia="仿宋_GB2312" w:cs="Times New Roman"/>
          <w:color w:val="auto"/>
          <w:sz w:val="32"/>
          <w:szCs w:val="32"/>
          <w:lang w:val="en-US" w:eastAsia="zh-CN"/>
        </w:rPr>
        <w:t>人员法律意识、责任意识及服务意识，提升履职自觉性和主动性，全力打造人民满意的服务政府、责任政府、法治政府和阳光政府。</w:t>
      </w:r>
    </w:p>
    <w:p>
      <w:pPr>
        <w:keepNext w:val="0"/>
        <w:keepLines w:val="0"/>
        <w:pageBreakBefore w:val="0"/>
        <w:widowControl w:val="0"/>
        <w:kinsoku/>
        <w:wordWrap/>
        <w:overflowPunct/>
        <w:topLinePunct w:val="0"/>
        <w:autoSpaceDE/>
        <w:autoSpaceDN/>
        <w:bidi w:val="0"/>
        <w:adjustRightInd/>
        <w:snapToGrid/>
        <w:spacing w:line="560" w:lineRule="exact"/>
        <w:ind w:firstLine="636" w:firstLineChars="200"/>
        <w:textAlignment w:val="auto"/>
        <w:rPr>
          <w:rFonts w:hint="default" w:ascii="Times New Roman" w:hAnsi="Times New Roman" w:eastAsia="黑体" w:cs="Times New Roman"/>
          <w:i w:val="0"/>
          <w:caps w:val="0"/>
          <w:color w:val="auto"/>
          <w:spacing w:val="0"/>
          <w:sz w:val="32"/>
          <w:szCs w:val="32"/>
        </w:rPr>
      </w:pPr>
      <w:r>
        <w:rPr>
          <w:rFonts w:hint="default" w:ascii="Times New Roman" w:hAnsi="Times New Roman" w:eastAsia="黑体" w:cs="Times New Roman"/>
          <w:color w:val="auto"/>
          <w:sz w:val="32"/>
          <w:szCs w:val="32"/>
          <w:lang w:val="en-US" w:eastAsia="zh-CN"/>
        </w:rPr>
        <w:t>六、</w:t>
      </w:r>
      <w:r>
        <w:rPr>
          <w:rFonts w:hint="default" w:ascii="Times New Roman" w:hAnsi="Times New Roman" w:eastAsia="黑体" w:cs="Times New Roman"/>
          <w:i w:val="0"/>
          <w:caps w:val="0"/>
          <w:color w:val="auto"/>
          <w:spacing w:val="0"/>
          <w:sz w:val="32"/>
          <w:szCs w:val="32"/>
        </w:rPr>
        <w:t>其他需要报告的事项</w:t>
      </w:r>
    </w:p>
    <w:p>
      <w:pPr>
        <w:keepNext w:val="0"/>
        <w:keepLines w:val="0"/>
        <w:pageBreakBefore w:val="0"/>
        <w:widowControl w:val="0"/>
        <w:kinsoku/>
        <w:wordWrap/>
        <w:overflowPunct/>
        <w:topLinePunct w:val="0"/>
        <w:autoSpaceDE/>
        <w:autoSpaceDN/>
        <w:bidi w:val="0"/>
        <w:adjustRightInd/>
        <w:snapToGrid/>
        <w:spacing w:line="590" w:lineRule="exact"/>
        <w:ind w:firstLine="636" w:firstLineChars="200"/>
        <w:textAlignment w:val="auto"/>
        <w:rPr>
          <w:rFonts w:hint="eastAsia" w:ascii="楷体_GB2312" w:hAnsi="楷体_GB2312" w:eastAsia="楷体_GB2312" w:cs="楷体_GB2312"/>
          <w:i w:val="0"/>
          <w:caps w:val="0"/>
          <w:color w:val="000000"/>
          <w:spacing w:val="0"/>
          <w:sz w:val="32"/>
          <w:szCs w:val="32"/>
          <w:lang w:val="en-US" w:eastAsia="zh-CN"/>
        </w:rPr>
      </w:pPr>
      <w:r>
        <w:rPr>
          <w:rFonts w:hint="eastAsia" w:ascii="楷体_GB2312" w:hAnsi="楷体_GB2312" w:eastAsia="楷体_GB2312" w:cs="楷体_GB2312"/>
          <w:i w:val="0"/>
          <w:caps w:val="0"/>
          <w:color w:val="000000"/>
          <w:spacing w:val="0"/>
          <w:sz w:val="32"/>
          <w:szCs w:val="32"/>
          <w:lang w:val="en-US" w:eastAsia="zh-CN"/>
        </w:rPr>
        <w:t>（一）人大建议办理情况</w:t>
      </w:r>
    </w:p>
    <w:p>
      <w:pPr>
        <w:keepNext w:val="0"/>
        <w:keepLines w:val="0"/>
        <w:pageBreakBefore w:val="0"/>
        <w:widowControl w:val="0"/>
        <w:kinsoku/>
        <w:wordWrap/>
        <w:overflowPunct/>
        <w:topLinePunct w:val="0"/>
        <w:autoSpaceDE/>
        <w:autoSpaceDN/>
        <w:bidi w:val="0"/>
        <w:adjustRightInd/>
        <w:snapToGrid/>
        <w:spacing w:line="590" w:lineRule="exact"/>
        <w:ind w:firstLine="616" w:firstLineChars="200"/>
        <w:textAlignment w:val="auto"/>
        <w:rPr>
          <w:rFonts w:hint="eastAsia" w:ascii="仿宋_GB2312" w:hAnsi="Times New Roman" w:eastAsia="仿宋_GB2312" w:cs="仿宋_GB2312"/>
          <w:i w:val="0"/>
          <w:caps w:val="0"/>
          <w:color w:val="000000"/>
          <w:spacing w:val="0"/>
          <w:sz w:val="31"/>
          <w:szCs w:val="31"/>
        </w:rPr>
      </w:pPr>
      <w:r>
        <w:rPr>
          <w:rFonts w:ascii="仿宋_GB2312" w:hAnsi="Times New Roman" w:eastAsia="仿宋_GB2312" w:cs="仿宋_GB2312"/>
          <w:i w:val="0"/>
          <w:caps w:val="0"/>
          <w:color w:val="000000"/>
          <w:spacing w:val="0"/>
          <w:sz w:val="31"/>
          <w:szCs w:val="31"/>
        </w:rPr>
        <w:t>今年，区政府共承办人大代表建议</w:t>
      </w:r>
      <w:r>
        <w:rPr>
          <w:rFonts w:hint="default" w:ascii="Times New Roman" w:hAnsi="Times New Roman" w:eastAsia="宋体" w:cs="Times New Roman"/>
          <w:i w:val="0"/>
          <w:caps w:val="0"/>
          <w:color w:val="000000"/>
          <w:spacing w:val="0"/>
          <w:sz w:val="31"/>
          <w:szCs w:val="31"/>
        </w:rPr>
        <w:t>103</w:t>
      </w:r>
      <w:r>
        <w:rPr>
          <w:rFonts w:hint="eastAsia" w:ascii="仿宋_GB2312" w:hAnsi="Times New Roman" w:eastAsia="仿宋_GB2312" w:cs="仿宋_GB2312"/>
          <w:i w:val="0"/>
          <w:caps w:val="0"/>
          <w:color w:val="000000"/>
          <w:spacing w:val="0"/>
          <w:sz w:val="31"/>
          <w:szCs w:val="31"/>
        </w:rPr>
        <w:t>件，涉及城市建设管理</w:t>
      </w:r>
      <w:r>
        <w:rPr>
          <w:rFonts w:hint="default" w:ascii="Times New Roman" w:hAnsi="Times New Roman" w:eastAsia="宋体" w:cs="Times New Roman"/>
          <w:i w:val="0"/>
          <w:caps w:val="0"/>
          <w:color w:val="000000"/>
          <w:spacing w:val="0"/>
          <w:sz w:val="31"/>
          <w:szCs w:val="31"/>
        </w:rPr>
        <w:t>35</w:t>
      </w:r>
      <w:r>
        <w:rPr>
          <w:rFonts w:hint="eastAsia" w:ascii="仿宋_GB2312" w:hAnsi="Times New Roman" w:eastAsia="仿宋_GB2312" w:cs="仿宋_GB2312"/>
          <w:i w:val="0"/>
          <w:caps w:val="0"/>
          <w:color w:val="000000"/>
          <w:spacing w:val="0"/>
          <w:sz w:val="31"/>
          <w:szCs w:val="31"/>
        </w:rPr>
        <w:t>件，经济发展</w:t>
      </w:r>
      <w:r>
        <w:rPr>
          <w:rFonts w:hint="default" w:ascii="Times New Roman" w:hAnsi="Times New Roman" w:eastAsia="宋体" w:cs="Times New Roman"/>
          <w:i w:val="0"/>
          <w:caps w:val="0"/>
          <w:color w:val="000000"/>
          <w:spacing w:val="0"/>
          <w:sz w:val="31"/>
          <w:szCs w:val="31"/>
        </w:rPr>
        <w:t>26</w:t>
      </w:r>
      <w:r>
        <w:rPr>
          <w:rFonts w:hint="eastAsia" w:ascii="仿宋_GB2312" w:hAnsi="Times New Roman" w:eastAsia="仿宋_GB2312" w:cs="仿宋_GB2312"/>
          <w:i w:val="0"/>
          <w:caps w:val="0"/>
          <w:color w:val="000000"/>
          <w:spacing w:val="0"/>
          <w:sz w:val="31"/>
          <w:szCs w:val="31"/>
        </w:rPr>
        <w:t>件，科教文卫</w:t>
      </w:r>
      <w:r>
        <w:rPr>
          <w:rFonts w:hint="default" w:ascii="Times New Roman" w:hAnsi="Times New Roman" w:eastAsia="宋体" w:cs="Times New Roman"/>
          <w:i w:val="0"/>
          <w:caps w:val="0"/>
          <w:color w:val="000000"/>
          <w:spacing w:val="0"/>
          <w:sz w:val="31"/>
          <w:szCs w:val="31"/>
        </w:rPr>
        <w:t>17</w:t>
      </w:r>
      <w:r>
        <w:rPr>
          <w:rFonts w:hint="eastAsia" w:ascii="仿宋_GB2312" w:hAnsi="Times New Roman" w:eastAsia="仿宋_GB2312" w:cs="仿宋_GB2312"/>
          <w:i w:val="0"/>
          <w:caps w:val="0"/>
          <w:color w:val="000000"/>
          <w:spacing w:val="0"/>
          <w:sz w:val="31"/>
          <w:szCs w:val="31"/>
        </w:rPr>
        <w:t>件，社保民政</w:t>
      </w:r>
      <w:r>
        <w:rPr>
          <w:rFonts w:hint="default" w:ascii="Times New Roman" w:hAnsi="Times New Roman" w:eastAsia="宋体" w:cs="Times New Roman"/>
          <w:i w:val="0"/>
          <w:caps w:val="0"/>
          <w:color w:val="000000"/>
          <w:spacing w:val="0"/>
          <w:sz w:val="31"/>
          <w:szCs w:val="31"/>
        </w:rPr>
        <w:t>15</w:t>
      </w:r>
      <w:r>
        <w:rPr>
          <w:rFonts w:hint="eastAsia" w:ascii="仿宋_GB2312" w:hAnsi="Times New Roman" w:eastAsia="仿宋_GB2312" w:cs="仿宋_GB2312"/>
          <w:i w:val="0"/>
          <w:caps w:val="0"/>
          <w:color w:val="000000"/>
          <w:spacing w:val="0"/>
          <w:sz w:val="31"/>
          <w:szCs w:val="31"/>
        </w:rPr>
        <w:t>件，交通管理</w:t>
      </w:r>
      <w:r>
        <w:rPr>
          <w:rFonts w:hint="default" w:ascii="Times New Roman" w:hAnsi="Times New Roman" w:eastAsia="宋体" w:cs="Times New Roman"/>
          <w:i w:val="0"/>
          <w:caps w:val="0"/>
          <w:color w:val="000000"/>
          <w:spacing w:val="0"/>
          <w:sz w:val="31"/>
          <w:szCs w:val="31"/>
        </w:rPr>
        <w:t>10</w:t>
      </w:r>
      <w:r>
        <w:rPr>
          <w:rFonts w:hint="eastAsia" w:ascii="仿宋_GB2312" w:hAnsi="Times New Roman" w:eastAsia="仿宋_GB2312" w:cs="仿宋_GB2312"/>
          <w:i w:val="0"/>
          <w:caps w:val="0"/>
          <w:color w:val="000000"/>
          <w:spacing w:val="0"/>
          <w:sz w:val="31"/>
          <w:szCs w:val="31"/>
        </w:rPr>
        <w:t>件，分别由</w:t>
      </w:r>
      <w:r>
        <w:rPr>
          <w:rFonts w:hint="default" w:ascii="Times New Roman" w:hAnsi="Times New Roman" w:eastAsia="宋体" w:cs="Times New Roman"/>
          <w:i w:val="0"/>
          <w:caps w:val="0"/>
          <w:color w:val="000000"/>
          <w:spacing w:val="0"/>
          <w:sz w:val="31"/>
          <w:szCs w:val="31"/>
        </w:rPr>
        <w:t>32</w:t>
      </w:r>
      <w:r>
        <w:rPr>
          <w:rFonts w:hint="eastAsia" w:ascii="仿宋_GB2312" w:hAnsi="Times New Roman" w:eastAsia="仿宋_GB2312" w:cs="仿宋_GB2312"/>
          <w:i w:val="0"/>
          <w:caps w:val="0"/>
          <w:color w:val="000000"/>
          <w:spacing w:val="0"/>
          <w:sz w:val="31"/>
          <w:szCs w:val="31"/>
        </w:rPr>
        <w:t>个单位研究办理。在区人大、区政府各承办单位的共同努力下，上述建议在法定时限内全部办理完毕，办复率、满意率均</w:t>
      </w:r>
      <w:r>
        <w:rPr>
          <w:rFonts w:hint="default" w:ascii="Times New Roman" w:hAnsi="Times New Roman" w:eastAsia="宋体" w:cs="Times New Roman"/>
          <w:i w:val="0"/>
          <w:caps w:val="0"/>
          <w:color w:val="000000"/>
          <w:spacing w:val="0"/>
          <w:sz w:val="31"/>
          <w:szCs w:val="31"/>
        </w:rPr>
        <w:t>100%</w:t>
      </w:r>
      <w:r>
        <w:rPr>
          <w:rFonts w:hint="eastAsia" w:ascii="仿宋_GB2312" w:hAnsi="Times New Roman" w:eastAsia="仿宋_GB2312" w:cs="仿宋_GB2312"/>
          <w:i w:val="0"/>
          <w:caps w:val="0"/>
          <w:color w:val="000000"/>
          <w:spacing w:val="0"/>
          <w:sz w:val="31"/>
          <w:szCs w:val="31"/>
        </w:rPr>
        <w:t>。</w:t>
      </w:r>
    </w:p>
    <w:p>
      <w:pPr>
        <w:keepNext w:val="0"/>
        <w:keepLines w:val="0"/>
        <w:pageBreakBefore w:val="0"/>
        <w:widowControl w:val="0"/>
        <w:kinsoku/>
        <w:wordWrap/>
        <w:overflowPunct/>
        <w:topLinePunct w:val="0"/>
        <w:autoSpaceDE/>
        <w:autoSpaceDN/>
        <w:bidi w:val="0"/>
        <w:adjustRightInd/>
        <w:snapToGrid/>
        <w:spacing w:line="590" w:lineRule="exact"/>
        <w:ind w:firstLine="636" w:firstLineChars="200"/>
        <w:textAlignment w:val="auto"/>
        <w:rPr>
          <w:rFonts w:hint="eastAsia" w:ascii="楷体_GB2312" w:hAnsi="楷体_GB2312" w:eastAsia="楷体_GB2312" w:cs="楷体_GB2312"/>
          <w:i w:val="0"/>
          <w:caps w:val="0"/>
          <w:color w:val="000000"/>
          <w:spacing w:val="0"/>
          <w:sz w:val="32"/>
          <w:szCs w:val="32"/>
          <w:lang w:val="en-US" w:eastAsia="zh-CN"/>
        </w:rPr>
      </w:pPr>
      <w:r>
        <w:rPr>
          <w:rFonts w:hint="eastAsia" w:ascii="楷体_GB2312" w:hAnsi="楷体_GB2312" w:eastAsia="楷体_GB2312" w:cs="楷体_GB2312"/>
          <w:i w:val="0"/>
          <w:caps w:val="0"/>
          <w:color w:val="000000"/>
          <w:spacing w:val="0"/>
          <w:sz w:val="32"/>
          <w:szCs w:val="32"/>
          <w:lang w:val="en-US" w:eastAsia="zh-CN"/>
        </w:rPr>
        <w:t>（二）政协建议办理情况</w:t>
      </w:r>
    </w:p>
    <w:p>
      <w:pPr>
        <w:keepNext w:val="0"/>
        <w:keepLines w:val="0"/>
        <w:pageBreakBefore w:val="0"/>
        <w:widowControl w:val="0"/>
        <w:kinsoku/>
        <w:wordWrap/>
        <w:overflowPunct/>
        <w:topLinePunct w:val="0"/>
        <w:autoSpaceDE/>
        <w:autoSpaceDN/>
        <w:bidi w:val="0"/>
        <w:adjustRightInd/>
        <w:snapToGrid/>
        <w:spacing w:line="590" w:lineRule="exact"/>
        <w:ind w:firstLine="636" w:firstLineChars="200"/>
        <w:textAlignment w:val="auto"/>
        <w:rPr>
          <w:rFonts w:hint="default" w:ascii="Times New Roman" w:hAnsi="Times New Roman" w:eastAsia="仿宋_GB2312" w:cs="Times New Roman"/>
          <w:b w:val="0"/>
          <w:color w:val="auto"/>
          <w:kern w:val="2"/>
          <w:sz w:val="32"/>
          <w:szCs w:val="40"/>
          <w:lang w:val="en-US" w:eastAsia="zh-CN" w:bidi="ar-SA"/>
        </w:rPr>
      </w:pPr>
      <w:r>
        <w:rPr>
          <w:rFonts w:hint="default" w:ascii="Times New Roman" w:hAnsi="Times New Roman" w:eastAsia="仿宋_GB2312" w:cs="Times New Roman"/>
          <w:b w:val="0"/>
          <w:color w:val="auto"/>
          <w:kern w:val="2"/>
          <w:sz w:val="32"/>
          <w:szCs w:val="40"/>
          <w:lang w:val="en-US" w:eastAsia="zh-CN" w:bidi="ar-SA"/>
        </w:rPr>
        <w:t>区政协九届四次会议以来，我区共收到政协提案162件，立案149件，未立案14件。其中，党群部门承办22件，政府部门承办127件，分别由45个部门、单位承办，目前所有提案均已办理完毕，面复率及委员满意率、基本满意率均100%。在所承办的提案中，涉及经济科技类51件，城市建设管理类43件，教科文卫类27件，社会民生类20件，其他方面8件。</w:t>
      </w:r>
    </w:p>
    <w:p>
      <w:pPr>
        <w:keepNext w:val="0"/>
        <w:keepLines w:val="0"/>
        <w:pageBreakBefore w:val="0"/>
        <w:widowControl w:val="0"/>
        <w:kinsoku/>
        <w:wordWrap/>
        <w:overflowPunct/>
        <w:topLinePunct w:val="0"/>
        <w:autoSpaceDE/>
        <w:autoSpaceDN/>
        <w:bidi w:val="0"/>
        <w:adjustRightInd/>
        <w:snapToGrid/>
        <w:spacing w:line="590" w:lineRule="exact"/>
        <w:ind w:firstLine="636" w:firstLineChars="200"/>
        <w:textAlignment w:val="auto"/>
        <w:rPr>
          <w:rFonts w:hint="default" w:ascii="Times New Roman" w:hAnsi="Times New Roman" w:eastAsia="仿宋_GB2312" w:cs="Times New Roman"/>
          <w:b w:val="0"/>
          <w:color w:val="auto"/>
          <w:kern w:val="2"/>
          <w:sz w:val="32"/>
          <w:szCs w:val="40"/>
          <w:lang w:val="en-US" w:eastAsia="zh-CN" w:bidi="ar-SA"/>
        </w:rPr>
      </w:pPr>
    </w:p>
    <w:p>
      <w:pPr>
        <w:spacing w:line="560" w:lineRule="exact"/>
        <w:ind w:firstLine="636" w:firstLineChars="200"/>
        <w:rPr>
          <w:rFonts w:hint="default" w:ascii="Times New Roman" w:hAnsi="Times New Roman" w:eastAsia="仿宋_GB2312" w:cs="Times New Roman"/>
          <w:b w:val="0"/>
          <w:color w:val="auto"/>
          <w:kern w:val="2"/>
          <w:sz w:val="32"/>
          <w:szCs w:val="40"/>
          <w:lang w:val="en-US" w:eastAsia="zh-CN" w:bidi="ar-SA"/>
        </w:rPr>
      </w:pPr>
      <w:r>
        <w:rPr>
          <w:rFonts w:hint="default" w:ascii="Times New Roman" w:hAnsi="Times New Roman" w:eastAsia="仿宋_GB2312" w:cs="Times New Roman"/>
          <w:b w:val="0"/>
          <w:color w:val="auto"/>
          <w:kern w:val="2"/>
          <w:sz w:val="32"/>
          <w:szCs w:val="40"/>
          <w:lang w:val="en-US" w:eastAsia="zh-CN" w:bidi="ar-SA"/>
        </w:rPr>
        <w:t xml:space="preserve"> </w:t>
      </w:r>
    </w:p>
    <w:p>
      <w:pPr>
        <w:spacing w:line="560" w:lineRule="exact"/>
        <w:ind w:firstLine="636" w:firstLineChars="200"/>
        <w:jc w:val="center"/>
        <w:rPr>
          <w:rFonts w:hint="default" w:ascii="Times New Roman" w:hAnsi="Times New Roman" w:eastAsia="仿宋_GB2312" w:cs="Times New Roman"/>
          <w:b w:val="0"/>
          <w:color w:val="auto"/>
          <w:kern w:val="2"/>
          <w:sz w:val="32"/>
          <w:szCs w:val="40"/>
          <w:lang w:val="en-US" w:eastAsia="zh-CN" w:bidi="ar-SA"/>
        </w:rPr>
      </w:pPr>
      <w:r>
        <w:rPr>
          <w:rFonts w:hint="default" w:ascii="Times New Roman" w:hAnsi="Times New Roman" w:eastAsia="仿宋_GB2312" w:cs="Times New Roman"/>
          <w:b w:val="0"/>
          <w:color w:val="auto"/>
          <w:kern w:val="2"/>
          <w:sz w:val="32"/>
          <w:szCs w:val="40"/>
          <w:lang w:val="en-US" w:eastAsia="zh-CN" w:bidi="ar-SA"/>
        </w:rPr>
        <w:t xml:space="preserve">                       天桥区政府办公室</w:t>
      </w:r>
    </w:p>
    <w:p>
      <w:pPr>
        <w:spacing w:line="560" w:lineRule="exact"/>
        <w:ind w:firstLine="636" w:firstLineChars="200"/>
        <w:jc w:val="center"/>
        <w:rPr>
          <w:rFonts w:hint="default" w:ascii="Times New Roman" w:hAnsi="Times New Roman" w:eastAsia="仿宋_GB2312" w:cs="Times New Roman"/>
          <w:b w:val="0"/>
          <w:color w:val="auto"/>
          <w:kern w:val="2"/>
          <w:sz w:val="32"/>
          <w:szCs w:val="40"/>
          <w:lang w:val="en-US" w:eastAsia="zh-CN" w:bidi="ar-SA"/>
        </w:rPr>
      </w:pPr>
      <w:r>
        <w:rPr>
          <w:rFonts w:hint="default" w:ascii="Times New Roman" w:hAnsi="Times New Roman" w:eastAsia="仿宋_GB2312" w:cs="Times New Roman"/>
          <w:b w:val="0"/>
          <w:color w:val="auto"/>
          <w:kern w:val="2"/>
          <w:sz w:val="32"/>
          <w:szCs w:val="40"/>
          <w:lang w:val="en-US" w:eastAsia="zh-CN" w:bidi="ar-SA"/>
        </w:rPr>
        <w:t xml:space="preserve">                       202</w:t>
      </w:r>
      <w:r>
        <w:rPr>
          <w:rFonts w:hint="eastAsia" w:ascii="Times New Roman" w:hAnsi="Times New Roman" w:eastAsia="仿宋_GB2312" w:cs="Times New Roman"/>
          <w:b w:val="0"/>
          <w:color w:val="auto"/>
          <w:kern w:val="2"/>
          <w:sz w:val="32"/>
          <w:szCs w:val="40"/>
          <w:lang w:val="en-US" w:eastAsia="zh-CN" w:bidi="ar-SA"/>
        </w:rPr>
        <w:t>1</w:t>
      </w:r>
      <w:r>
        <w:rPr>
          <w:rFonts w:hint="default" w:ascii="Times New Roman" w:hAnsi="Times New Roman" w:eastAsia="仿宋_GB2312" w:cs="Times New Roman"/>
          <w:b w:val="0"/>
          <w:color w:val="auto"/>
          <w:kern w:val="2"/>
          <w:sz w:val="32"/>
          <w:szCs w:val="40"/>
          <w:lang w:val="en-US" w:eastAsia="zh-CN" w:bidi="ar-SA"/>
        </w:rPr>
        <w:t>年2月10日</w:t>
      </w:r>
    </w:p>
    <w:sectPr>
      <w:footerReference r:id="rId3" w:type="default"/>
      <w:pgSz w:w="11906" w:h="16838"/>
      <w:pgMar w:top="1984" w:right="1502" w:bottom="1814" w:left="1502" w:header="851" w:footer="992" w:gutter="0"/>
      <w:pgNumType w:fmt="numberInDash"/>
      <w:cols w:space="0" w:num="1"/>
      <w:docGrid w:type="linesAndChars" w:linePitch="312" w:charSpace="-48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华文中宋">
    <w:panose1 w:val="02010600040101010101"/>
    <w:charset w:val="86"/>
    <w:family w:val="auto"/>
    <w:pitch w:val="default"/>
    <w:sig w:usb0="00000287" w:usb1="080F0000" w:usb2="00000000" w:usb3="00000000" w:csb0="0004009F" w:csb1="DFD70000"/>
  </w:font>
  <w:font w:name="等线">
    <w:altName w:val="Arial Unicode MS"/>
    <w:panose1 w:val="00000000000000000000"/>
    <w:charset w:val="86"/>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_x0000_s2049" o:spid="_x0000_s2049"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O5poOAgAAB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&#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k7mmg4CAAAHBAAADgAAAAAAAAABACAAAAAf&#10;AQAAZHJzL2Uyb0RvYy54bWxQSwUGAAAAAAYABgBZAQAAnwUAAAAA&#10;">
          <v:path/>
          <v:fill on="f" focussize="0,0"/>
          <v:stroke on="f" weight="0.5pt" joinstyle="miter"/>
          <v:imagedata o:title=""/>
          <o:lock v:ext="edit"/>
          <v:textbox inset="0mm,0mm,0mm,0mm" style="mso-fit-shape-to-text:t;">
            <w:txbxContent>
              <w:p>
                <w:pPr>
                  <w:pStyle w:val="3"/>
                  <w:rPr>
                    <w:rFonts w:hint="default" w:ascii="Times New Roman" w:hAnsi="Times New Roman" w:cs="Times New Roman"/>
                    <w:sz w:val="28"/>
                    <w:szCs w:val="44"/>
                  </w:rPr>
                </w:pPr>
                <w:r>
                  <w:rPr>
                    <w:rFonts w:hint="default" w:ascii="Times New Roman" w:hAnsi="Times New Roman" w:cs="Times New Roman"/>
                    <w:sz w:val="28"/>
                    <w:szCs w:val="44"/>
                  </w:rPr>
                  <w:fldChar w:fldCharType="begin"/>
                </w:r>
                <w:r>
                  <w:rPr>
                    <w:rFonts w:hint="default" w:ascii="Times New Roman" w:hAnsi="Times New Roman" w:cs="Times New Roman"/>
                    <w:sz w:val="28"/>
                    <w:szCs w:val="44"/>
                  </w:rPr>
                  <w:instrText xml:space="preserve"> PAGE  \* MERGEFORMAT </w:instrText>
                </w:r>
                <w:r>
                  <w:rPr>
                    <w:rFonts w:hint="default" w:ascii="Times New Roman" w:hAnsi="Times New Roman" w:cs="Times New Roman"/>
                    <w:sz w:val="28"/>
                    <w:szCs w:val="44"/>
                  </w:rPr>
                  <w:fldChar w:fldCharType="separate"/>
                </w:r>
                <w:r>
                  <w:rPr>
                    <w:rFonts w:hint="default" w:ascii="Times New Roman" w:hAnsi="Times New Roman" w:cs="Times New Roman"/>
                    <w:sz w:val="28"/>
                    <w:szCs w:val="44"/>
                  </w:rPr>
                  <w:t>5</w:t>
                </w:r>
                <w:r>
                  <w:rPr>
                    <w:rFonts w:hint="default" w:ascii="Times New Roman" w:hAnsi="Times New Roman" w:cs="Times New Roman"/>
                    <w:sz w:val="28"/>
                    <w:szCs w:val="44"/>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0B727E"/>
    <w:multiLevelType w:val="singleLevel"/>
    <w:tmpl w:val="590B727E"/>
    <w:lvl w:ilvl="0" w:tentative="0">
      <w:start w:val="1"/>
      <w:numFmt w:val="decimal"/>
      <w:suff w:val="nothing"/>
      <w:lvlText w:val="%1、"/>
      <w:lvlJc w:val="left"/>
    </w:lvl>
  </w:abstractNum>
  <w:abstractNum w:abstractNumId="1">
    <w:nsid w:val="671C70D6"/>
    <w:multiLevelType w:val="singleLevel"/>
    <w:tmpl w:val="671C70D6"/>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4"/>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63260"/>
    <w:rsid w:val="0008591A"/>
    <w:rsid w:val="0009400E"/>
    <w:rsid w:val="000D1159"/>
    <w:rsid w:val="000D3596"/>
    <w:rsid w:val="00162491"/>
    <w:rsid w:val="001A61EA"/>
    <w:rsid w:val="00204C22"/>
    <w:rsid w:val="002C5B52"/>
    <w:rsid w:val="00364F41"/>
    <w:rsid w:val="00376344"/>
    <w:rsid w:val="003A05CE"/>
    <w:rsid w:val="003F475E"/>
    <w:rsid w:val="00476ACF"/>
    <w:rsid w:val="004E68BC"/>
    <w:rsid w:val="0058457D"/>
    <w:rsid w:val="0059549C"/>
    <w:rsid w:val="006649D5"/>
    <w:rsid w:val="006F599B"/>
    <w:rsid w:val="007613EB"/>
    <w:rsid w:val="00790A67"/>
    <w:rsid w:val="00790E35"/>
    <w:rsid w:val="00901FD7"/>
    <w:rsid w:val="0095535C"/>
    <w:rsid w:val="009844C0"/>
    <w:rsid w:val="00A7761B"/>
    <w:rsid w:val="00AA20FB"/>
    <w:rsid w:val="00AD3CA8"/>
    <w:rsid w:val="00B121CD"/>
    <w:rsid w:val="00BE18AC"/>
    <w:rsid w:val="00C1411D"/>
    <w:rsid w:val="00C26EFC"/>
    <w:rsid w:val="00C67F73"/>
    <w:rsid w:val="00C73B47"/>
    <w:rsid w:val="00D76B94"/>
    <w:rsid w:val="00E05C3B"/>
    <w:rsid w:val="00E777C8"/>
    <w:rsid w:val="00F5582E"/>
    <w:rsid w:val="00F84A36"/>
    <w:rsid w:val="00FA50B2"/>
    <w:rsid w:val="00FE3490"/>
    <w:rsid w:val="00FF3CC4"/>
    <w:rsid w:val="00FF6350"/>
    <w:rsid w:val="011252D6"/>
    <w:rsid w:val="011A3891"/>
    <w:rsid w:val="011F5581"/>
    <w:rsid w:val="01213E97"/>
    <w:rsid w:val="01296E17"/>
    <w:rsid w:val="013E6409"/>
    <w:rsid w:val="014750B3"/>
    <w:rsid w:val="01476E3B"/>
    <w:rsid w:val="01494EB8"/>
    <w:rsid w:val="015805C5"/>
    <w:rsid w:val="016D578F"/>
    <w:rsid w:val="01731372"/>
    <w:rsid w:val="0177385D"/>
    <w:rsid w:val="017C4895"/>
    <w:rsid w:val="019970DB"/>
    <w:rsid w:val="01AE6144"/>
    <w:rsid w:val="01B3788E"/>
    <w:rsid w:val="01C54508"/>
    <w:rsid w:val="01C63C76"/>
    <w:rsid w:val="01D56E07"/>
    <w:rsid w:val="01E479EB"/>
    <w:rsid w:val="01F31F15"/>
    <w:rsid w:val="01F3509C"/>
    <w:rsid w:val="01F932F8"/>
    <w:rsid w:val="02086286"/>
    <w:rsid w:val="022406D9"/>
    <w:rsid w:val="02305BC5"/>
    <w:rsid w:val="024012AB"/>
    <w:rsid w:val="02434A73"/>
    <w:rsid w:val="0253317F"/>
    <w:rsid w:val="0262581C"/>
    <w:rsid w:val="026C7E96"/>
    <w:rsid w:val="02763BAE"/>
    <w:rsid w:val="028C508A"/>
    <w:rsid w:val="029962AE"/>
    <w:rsid w:val="029B620C"/>
    <w:rsid w:val="02A42CDE"/>
    <w:rsid w:val="02AB6A4A"/>
    <w:rsid w:val="02AC3472"/>
    <w:rsid w:val="02BE6152"/>
    <w:rsid w:val="02C205F4"/>
    <w:rsid w:val="02CD746E"/>
    <w:rsid w:val="02CF5618"/>
    <w:rsid w:val="02DC26ED"/>
    <w:rsid w:val="02DE5EF0"/>
    <w:rsid w:val="02F540A7"/>
    <w:rsid w:val="02F60062"/>
    <w:rsid w:val="03050DD0"/>
    <w:rsid w:val="03114469"/>
    <w:rsid w:val="031149F2"/>
    <w:rsid w:val="031861C2"/>
    <w:rsid w:val="0323010C"/>
    <w:rsid w:val="03244025"/>
    <w:rsid w:val="032C7958"/>
    <w:rsid w:val="032E05D4"/>
    <w:rsid w:val="03321C06"/>
    <w:rsid w:val="033577E3"/>
    <w:rsid w:val="034D28A4"/>
    <w:rsid w:val="03582259"/>
    <w:rsid w:val="035954A9"/>
    <w:rsid w:val="036E1137"/>
    <w:rsid w:val="037B2820"/>
    <w:rsid w:val="038664AF"/>
    <w:rsid w:val="038A6D50"/>
    <w:rsid w:val="03995C58"/>
    <w:rsid w:val="039F3794"/>
    <w:rsid w:val="03A53CAF"/>
    <w:rsid w:val="03DA0DCD"/>
    <w:rsid w:val="03DC3CF1"/>
    <w:rsid w:val="03DE3DA9"/>
    <w:rsid w:val="03FB4C37"/>
    <w:rsid w:val="04020FC4"/>
    <w:rsid w:val="040B21BB"/>
    <w:rsid w:val="040F7B84"/>
    <w:rsid w:val="04112CB6"/>
    <w:rsid w:val="04212193"/>
    <w:rsid w:val="044349FA"/>
    <w:rsid w:val="0447587C"/>
    <w:rsid w:val="045E7AC1"/>
    <w:rsid w:val="04626860"/>
    <w:rsid w:val="046411A5"/>
    <w:rsid w:val="04675F48"/>
    <w:rsid w:val="0486724D"/>
    <w:rsid w:val="0494662B"/>
    <w:rsid w:val="049C3D56"/>
    <w:rsid w:val="04A1518A"/>
    <w:rsid w:val="04AA46F1"/>
    <w:rsid w:val="04C415FF"/>
    <w:rsid w:val="04CA1D1F"/>
    <w:rsid w:val="04CE74C8"/>
    <w:rsid w:val="04D25DF4"/>
    <w:rsid w:val="04D5347E"/>
    <w:rsid w:val="04DC1A85"/>
    <w:rsid w:val="05196ECC"/>
    <w:rsid w:val="05242837"/>
    <w:rsid w:val="05277DC2"/>
    <w:rsid w:val="054105AF"/>
    <w:rsid w:val="0550681E"/>
    <w:rsid w:val="055262F5"/>
    <w:rsid w:val="05590D86"/>
    <w:rsid w:val="0559452D"/>
    <w:rsid w:val="055E4E49"/>
    <w:rsid w:val="05626849"/>
    <w:rsid w:val="05664397"/>
    <w:rsid w:val="05696814"/>
    <w:rsid w:val="05730A94"/>
    <w:rsid w:val="05994BD4"/>
    <w:rsid w:val="05CF4415"/>
    <w:rsid w:val="05E93AF1"/>
    <w:rsid w:val="05F13018"/>
    <w:rsid w:val="05FD6448"/>
    <w:rsid w:val="05FE41F9"/>
    <w:rsid w:val="05FF0486"/>
    <w:rsid w:val="05FF7CA7"/>
    <w:rsid w:val="060F06A8"/>
    <w:rsid w:val="0612771B"/>
    <w:rsid w:val="0616327C"/>
    <w:rsid w:val="06203076"/>
    <w:rsid w:val="062E2FA3"/>
    <w:rsid w:val="0631068A"/>
    <w:rsid w:val="063B6440"/>
    <w:rsid w:val="063E324D"/>
    <w:rsid w:val="063E4E72"/>
    <w:rsid w:val="06414E8D"/>
    <w:rsid w:val="06561E4D"/>
    <w:rsid w:val="066B03EF"/>
    <w:rsid w:val="067B56B6"/>
    <w:rsid w:val="06800735"/>
    <w:rsid w:val="06850111"/>
    <w:rsid w:val="06967EA9"/>
    <w:rsid w:val="069D73E0"/>
    <w:rsid w:val="06A22907"/>
    <w:rsid w:val="06A72869"/>
    <w:rsid w:val="06A73C01"/>
    <w:rsid w:val="06AD0B9B"/>
    <w:rsid w:val="06AE172F"/>
    <w:rsid w:val="06C90695"/>
    <w:rsid w:val="06D0427E"/>
    <w:rsid w:val="06D53E3C"/>
    <w:rsid w:val="06EB2284"/>
    <w:rsid w:val="06EE2201"/>
    <w:rsid w:val="06F6173C"/>
    <w:rsid w:val="070B3EDF"/>
    <w:rsid w:val="070B6F23"/>
    <w:rsid w:val="07294A2B"/>
    <w:rsid w:val="07295FAE"/>
    <w:rsid w:val="072F30C5"/>
    <w:rsid w:val="076554FC"/>
    <w:rsid w:val="076E4F9C"/>
    <w:rsid w:val="07760AB2"/>
    <w:rsid w:val="078E50DF"/>
    <w:rsid w:val="079F485B"/>
    <w:rsid w:val="07A03927"/>
    <w:rsid w:val="07AC4353"/>
    <w:rsid w:val="07B67829"/>
    <w:rsid w:val="07B95F1F"/>
    <w:rsid w:val="07C74424"/>
    <w:rsid w:val="07CF4B89"/>
    <w:rsid w:val="07D071D9"/>
    <w:rsid w:val="07F567A6"/>
    <w:rsid w:val="07F90DE4"/>
    <w:rsid w:val="08051115"/>
    <w:rsid w:val="08052442"/>
    <w:rsid w:val="0811534D"/>
    <w:rsid w:val="08274075"/>
    <w:rsid w:val="08300C9B"/>
    <w:rsid w:val="084B6304"/>
    <w:rsid w:val="08623593"/>
    <w:rsid w:val="08696F6B"/>
    <w:rsid w:val="08993FC0"/>
    <w:rsid w:val="089B4880"/>
    <w:rsid w:val="089E6A30"/>
    <w:rsid w:val="08A710CD"/>
    <w:rsid w:val="08AE10B4"/>
    <w:rsid w:val="08AE2D01"/>
    <w:rsid w:val="08AF3A63"/>
    <w:rsid w:val="08B9553C"/>
    <w:rsid w:val="08BF6174"/>
    <w:rsid w:val="08C521BD"/>
    <w:rsid w:val="08D273B0"/>
    <w:rsid w:val="08DC6793"/>
    <w:rsid w:val="08ED72E5"/>
    <w:rsid w:val="08F0074D"/>
    <w:rsid w:val="08F57F61"/>
    <w:rsid w:val="08F60DDC"/>
    <w:rsid w:val="09127D97"/>
    <w:rsid w:val="09142DC8"/>
    <w:rsid w:val="0921585C"/>
    <w:rsid w:val="09383E25"/>
    <w:rsid w:val="094248D2"/>
    <w:rsid w:val="09442E68"/>
    <w:rsid w:val="094663DB"/>
    <w:rsid w:val="094800D0"/>
    <w:rsid w:val="095606F4"/>
    <w:rsid w:val="097564E0"/>
    <w:rsid w:val="09785B63"/>
    <w:rsid w:val="097A12A9"/>
    <w:rsid w:val="09816908"/>
    <w:rsid w:val="0983172D"/>
    <w:rsid w:val="099900F3"/>
    <w:rsid w:val="09A714DE"/>
    <w:rsid w:val="09B77277"/>
    <w:rsid w:val="09D31F33"/>
    <w:rsid w:val="09E5438C"/>
    <w:rsid w:val="0A083977"/>
    <w:rsid w:val="0A1A5C46"/>
    <w:rsid w:val="0A3063B2"/>
    <w:rsid w:val="0A3B54D8"/>
    <w:rsid w:val="0A441274"/>
    <w:rsid w:val="0A5931C5"/>
    <w:rsid w:val="0A6A14D2"/>
    <w:rsid w:val="0A8756EB"/>
    <w:rsid w:val="0AA1306B"/>
    <w:rsid w:val="0AB328A8"/>
    <w:rsid w:val="0AB62BE8"/>
    <w:rsid w:val="0AC15D98"/>
    <w:rsid w:val="0AC70394"/>
    <w:rsid w:val="0AC8606D"/>
    <w:rsid w:val="0AC91B5E"/>
    <w:rsid w:val="0ACD6CB8"/>
    <w:rsid w:val="0AD20AEE"/>
    <w:rsid w:val="0AD776FA"/>
    <w:rsid w:val="0ADF0990"/>
    <w:rsid w:val="0AE23787"/>
    <w:rsid w:val="0AF32877"/>
    <w:rsid w:val="0AF452CB"/>
    <w:rsid w:val="0AF9094A"/>
    <w:rsid w:val="0AFD53F2"/>
    <w:rsid w:val="0B114201"/>
    <w:rsid w:val="0B160C37"/>
    <w:rsid w:val="0B1F4C15"/>
    <w:rsid w:val="0B23778B"/>
    <w:rsid w:val="0B2B7CD6"/>
    <w:rsid w:val="0B311D25"/>
    <w:rsid w:val="0B3225D6"/>
    <w:rsid w:val="0B3251C4"/>
    <w:rsid w:val="0B4475C1"/>
    <w:rsid w:val="0B621385"/>
    <w:rsid w:val="0B65035D"/>
    <w:rsid w:val="0B6C7268"/>
    <w:rsid w:val="0B6E2576"/>
    <w:rsid w:val="0B727955"/>
    <w:rsid w:val="0B781408"/>
    <w:rsid w:val="0B7C179E"/>
    <w:rsid w:val="0B88674C"/>
    <w:rsid w:val="0B8A3AFF"/>
    <w:rsid w:val="0B8F6DE6"/>
    <w:rsid w:val="0B977168"/>
    <w:rsid w:val="0BBB1B2A"/>
    <w:rsid w:val="0BCA3D09"/>
    <w:rsid w:val="0BCC4DDA"/>
    <w:rsid w:val="0BDE0240"/>
    <w:rsid w:val="0BDF09B3"/>
    <w:rsid w:val="0BE16915"/>
    <w:rsid w:val="0BE467E5"/>
    <w:rsid w:val="0C04477A"/>
    <w:rsid w:val="0C0D46B3"/>
    <w:rsid w:val="0C185645"/>
    <w:rsid w:val="0C1A16F5"/>
    <w:rsid w:val="0C2D6B9D"/>
    <w:rsid w:val="0C313A14"/>
    <w:rsid w:val="0C360652"/>
    <w:rsid w:val="0C366B5D"/>
    <w:rsid w:val="0C372AA9"/>
    <w:rsid w:val="0C4624F8"/>
    <w:rsid w:val="0C5355B4"/>
    <w:rsid w:val="0C5E473C"/>
    <w:rsid w:val="0C5E6267"/>
    <w:rsid w:val="0C5F50E3"/>
    <w:rsid w:val="0C6B5791"/>
    <w:rsid w:val="0C700DF1"/>
    <w:rsid w:val="0C780FF3"/>
    <w:rsid w:val="0C8546D4"/>
    <w:rsid w:val="0C9C0BBD"/>
    <w:rsid w:val="0CC75759"/>
    <w:rsid w:val="0CCA70BA"/>
    <w:rsid w:val="0CCE2A55"/>
    <w:rsid w:val="0CD72B05"/>
    <w:rsid w:val="0CE06607"/>
    <w:rsid w:val="0CEA5A6F"/>
    <w:rsid w:val="0CEF0204"/>
    <w:rsid w:val="0CF31789"/>
    <w:rsid w:val="0CFE6FCD"/>
    <w:rsid w:val="0D0B7595"/>
    <w:rsid w:val="0D110869"/>
    <w:rsid w:val="0D16392A"/>
    <w:rsid w:val="0D163F63"/>
    <w:rsid w:val="0D246075"/>
    <w:rsid w:val="0D306F90"/>
    <w:rsid w:val="0D41086D"/>
    <w:rsid w:val="0D44540A"/>
    <w:rsid w:val="0D454324"/>
    <w:rsid w:val="0D4A2D98"/>
    <w:rsid w:val="0D4C7F5F"/>
    <w:rsid w:val="0D5222BE"/>
    <w:rsid w:val="0D540CA2"/>
    <w:rsid w:val="0D723727"/>
    <w:rsid w:val="0D7F0BD1"/>
    <w:rsid w:val="0D7F34E4"/>
    <w:rsid w:val="0D8661C5"/>
    <w:rsid w:val="0D8C5E5B"/>
    <w:rsid w:val="0D8F280B"/>
    <w:rsid w:val="0D980D30"/>
    <w:rsid w:val="0DB11FE0"/>
    <w:rsid w:val="0DB73CEC"/>
    <w:rsid w:val="0DBC0B97"/>
    <w:rsid w:val="0DC074E8"/>
    <w:rsid w:val="0DC16523"/>
    <w:rsid w:val="0DD4521A"/>
    <w:rsid w:val="0DFA34D3"/>
    <w:rsid w:val="0DFF247C"/>
    <w:rsid w:val="0E0C5E01"/>
    <w:rsid w:val="0E146E19"/>
    <w:rsid w:val="0E197A78"/>
    <w:rsid w:val="0E1B1C2A"/>
    <w:rsid w:val="0E1D41BF"/>
    <w:rsid w:val="0E2102D2"/>
    <w:rsid w:val="0E276BB2"/>
    <w:rsid w:val="0E2A2740"/>
    <w:rsid w:val="0E312186"/>
    <w:rsid w:val="0E41050E"/>
    <w:rsid w:val="0E526E7E"/>
    <w:rsid w:val="0E540198"/>
    <w:rsid w:val="0E553A2A"/>
    <w:rsid w:val="0E6D5AEE"/>
    <w:rsid w:val="0E705938"/>
    <w:rsid w:val="0E721BBB"/>
    <w:rsid w:val="0E756709"/>
    <w:rsid w:val="0E7D10C7"/>
    <w:rsid w:val="0E8C6C6A"/>
    <w:rsid w:val="0E9A2044"/>
    <w:rsid w:val="0EA55F51"/>
    <w:rsid w:val="0ED820E4"/>
    <w:rsid w:val="0EEC3908"/>
    <w:rsid w:val="0EF87579"/>
    <w:rsid w:val="0EFD6F04"/>
    <w:rsid w:val="0EFF47B3"/>
    <w:rsid w:val="0F04311F"/>
    <w:rsid w:val="0F0A7D50"/>
    <w:rsid w:val="0F0F4D84"/>
    <w:rsid w:val="0F125423"/>
    <w:rsid w:val="0F383A6D"/>
    <w:rsid w:val="0F4E153F"/>
    <w:rsid w:val="0F670E4E"/>
    <w:rsid w:val="0F6A78F0"/>
    <w:rsid w:val="0F7B5EE3"/>
    <w:rsid w:val="0F893FBE"/>
    <w:rsid w:val="0F8A524D"/>
    <w:rsid w:val="0F911B14"/>
    <w:rsid w:val="0FB23986"/>
    <w:rsid w:val="0FB55114"/>
    <w:rsid w:val="0FB76818"/>
    <w:rsid w:val="0FBC247C"/>
    <w:rsid w:val="0FCE1FEF"/>
    <w:rsid w:val="0FE022F9"/>
    <w:rsid w:val="10052D8F"/>
    <w:rsid w:val="10120222"/>
    <w:rsid w:val="101404AC"/>
    <w:rsid w:val="102351B2"/>
    <w:rsid w:val="1034418C"/>
    <w:rsid w:val="103B0A51"/>
    <w:rsid w:val="103E11BC"/>
    <w:rsid w:val="10433D43"/>
    <w:rsid w:val="104E5B43"/>
    <w:rsid w:val="105F14D9"/>
    <w:rsid w:val="1063645A"/>
    <w:rsid w:val="106366D1"/>
    <w:rsid w:val="10643D96"/>
    <w:rsid w:val="107572B6"/>
    <w:rsid w:val="108624A6"/>
    <w:rsid w:val="10876984"/>
    <w:rsid w:val="108779DC"/>
    <w:rsid w:val="10950698"/>
    <w:rsid w:val="109E16E7"/>
    <w:rsid w:val="10AF32A9"/>
    <w:rsid w:val="10B43558"/>
    <w:rsid w:val="10C03CC6"/>
    <w:rsid w:val="10C55564"/>
    <w:rsid w:val="10C73ACB"/>
    <w:rsid w:val="10CF38D1"/>
    <w:rsid w:val="10D47D4B"/>
    <w:rsid w:val="10DE758E"/>
    <w:rsid w:val="10E04DDC"/>
    <w:rsid w:val="10E33771"/>
    <w:rsid w:val="11042FE1"/>
    <w:rsid w:val="110C3856"/>
    <w:rsid w:val="110E33AA"/>
    <w:rsid w:val="11130894"/>
    <w:rsid w:val="113731E8"/>
    <w:rsid w:val="113F7E09"/>
    <w:rsid w:val="11413B84"/>
    <w:rsid w:val="11486646"/>
    <w:rsid w:val="1150017F"/>
    <w:rsid w:val="11654C6C"/>
    <w:rsid w:val="116B7978"/>
    <w:rsid w:val="11727F51"/>
    <w:rsid w:val="11906601"/>
    <w:rsid w:val="11A16654"/>
    <w:rsid w:val="11B22E0C"/>
    <w:rsid w:val="11C744D3"/>
    <w:rsid w:val="11C846A5"/>
    <w:rsid w:val="11CB7E8D"/>
    <w:rsid w:val="11EE1EE7"/>
    <w:rsid w:val="11F862B7"/>
    <w:rsid w:val="11FC31CD"/>
    <w:rsid w:val="11FC36A7"/>
    <w:rsid w:val="120A4B48"/>
    <w:rsid w:val="120C3F0C"/>
    <w:rsid w:val="120C4DE4"/>
    <w:rsid w:val="12172367"/>
    <w:rsid w:val="123A46FF"/>
    <w:rsid w:val="124339DA"/>
    <w:rsid w:val="12442044"/>
    <w:rsid w:val="12455158"/>
    <w:rsid w:val="12500A40"/>
    <w:rsid w:val="1251495D"/>
    <w:rsid w:val="1256228C"/>
    <w:rsid w:val="125A0E3F"/>
    <w:rsid w:val="125C5FD3"/>
    <w:rsid w:val="125E521D"/>
    <w:rsid w:val="1260153B"/>
    <w:rsid w:val="12692FF8"/>
    <w:rsid w:val="12717A3D"/>
    <w:rsid w:val="12724943"/>
    <w:rsid w:val="1277676E"/>
    <w:rsid w:val="127B17C7"/>
    <w:rsid w:val="12897539"/>
    <w:rsid w:val="128F0259"/>
    <w:rsid w:val="1290490E"/>
    <w:rsid w:val="129601DF"/>
    <w:rsid w:val="129A331C"/>
    <w:rsid w:val="129A574F"/>
    <w:rsid w:val="129B7BE6"/>
    <w:rsid w:val="12A764D5"/>
    <w:rsid w:val="12B332E2"/>
    <w:rsid w:val="12B36703"/>
    <w:rsid w:val="12C26B77"/>
    <w:rsid w:val="12CB26E5"/>
    <w:rsid w:val="12E50713"/>
    <w:rsid w:val="12E755C2"/>
    <w:rsid w:val="12F5553B"/>
    <w:rsid w:val="13123DAF"/>
    <w:rsid w:val="131B2DDC"/>
    <w:rsid w:val="132153AC"/>
    <w:rsid w:val="13302B65"/>
    <w:rsid w:val="13364256"/>
    <w:rsid w:val="133809B2"/>
    <w:rsid w:val="133E61D6"/>
    <w:rsid w:val="1341168E"/>
    <w:rsid w:val="13451455"/>
    <w:rsid w:val="13563BAC"/>
    <w:rsid w:val="13643F5C"/>
    <w:rsid w:val="136A37A9"/>
    <w:rsid w:val="137F125F"/>
    <w:rsid w:val="138F46C0"/>
    <w:rsid w:val="13980269"/>
    <w:rsid w:val="13A27543"/>
    <w:rsid w:val="13A33202"/>
    <w:rsid w:val="13A94625"/>
    <w:rsid w:val="13AB5014"/>
    <w:rsid w:val="13CE73A4"/>
    <w:rsid w:val="13D16DED"/>
    <w:rsid w:val="13E17E67"/>
    <w:rsid w:val="141E7B64"/>
    <w:rsid w:val="14210698"/>
    <w:rsid w:val="14266A5C"/>
    <w:rsid w:val="14383C3B"/>
    <w:rsid w:val="143A7749"/>
    <w:rsid w:val="143E5DC7"/>
    <w:rsid w:val="14435DE7"/>
    <w:rsid w:val="144656D2"/>
    <w:rsid w:val="14471EBF"/>
    <w:rsid w:val="144D6873"/>
    <w:rsid w:val="145D10F2"/>
    <w:rsid w:val="14606275"/>
    <w:rsid w:val="14661B87"/>
    <w:rsid w:val="1469491E"/>
    <w:rsid w:val="149666D6"/>
    <w:rsid w:val="14967E46"/>
    <w:rsid w:val="14A42BCC"/>
    <w:rsid w:val="14AA5CB9"/>
    <w:rsid w:val="14BA41B6"/>
    <w:rsid w:val="14BA7E66"/>
    <w:rsid w:val="14BD27E8"/>
    <w:rsid w:val="14C03645"/>
    <w:rsid w:val="14D0454D"/>
    <w:rsid w:val="14D56FB6"/>
    <w:rsid w:val="15065F58"/>
    <w:rsid w:val="15110561"/>
    <w:rsid w:val="15115BF4"/>
    <w:rsid w:val="15223F22"/>
    <w:rsid w:val="154D62E6"/>
    <w:rsid w:val="155058AE"/>
    <w:rsid w:val="15592FD9"/>
    <w:rsid w:val="155A187F"/>
    <w:rsid w:val="155F168E"/>
    <w:rsid w:val="15660F0D"/>
    <w:rsid w:val="15691883"/>
    <w:rsid w:val="156D0F1F"/>
    <w:rsid w:val="157512DF"/>
    <w:rsid w:val="15751781"/>
    <w:rsid w:val="15833CE5"/>
    <w:rsid w:val="158535F2"/>
    <w:rsid w:val="158D3EEC"/>
    <w:rsid w:val="159F6AF3"/>
    <w:rsid w:val="15A17FE6"/>
    <w:rsid w:val="15AC23C9"/>
    <w:rsid w:val="15C34CDB"/>
    <w:rsid w:val="15C63329"/>
    <w:rsid w:val="15EB3172"/>
    <w:rsid w:val="15F26A1F"/>
    <w:rsid w:val="16060536"/>
    <w:rsid w:val="16153368"/>
    <w:rsid w:val="161C768F"/>
    <w:rsid w:val="161E15B1"/>
    <w:rsid w:val="1629554D"/>
    <w:rsid w:val="163A3E43"/>
    <w:rsid w:val="163F73BC"/>
    <w:rsid w:val="16441CF6"/>
    <w:rsid w:val="165D4492"/>
    <w:rsid w:val="16622AEB"/>
    <w:rsid w:val="1663264B"/>
    <w:rsid w:val="166D5085"/>
    <w:rsid w:val="1671314D"/>
    <w:rsid w:val="1679220F"/>
    <w:rsid w:val="167F5713"/>
    <w:rsid w:val="16805A66"/>
    <w:rsid w:val="168E3AE2"/>
    <w:rsid w:val="16914813"/>
    <w:rsid w:val="16983300"/>
    <w:rsid w:val="16A229AA"/>
    <w:rsid w:val="16B959E9"/>
    <w:rsid w:val="16CA10AE"/>
    <w:rsid w:val="16F201EA"/>
    <w:rsid w:val="1704783A"/>
    <w:rsid w:val="170557B1"/>
    <w:rsid w:val="170D55AF"/>
    <w:rsid w:val="171B5ACC"/>
    <w:rsid w:val="17410848"/>
    <w:rsid w:val="17411FC0"/>
    <w:rsid w:val="174A6293"/>
    <w:rsid w:val="174A6DED"/>
    <w:rsid w:val="174B7633"/>
    <w:rsid w:val="1753599F"/>
    <w:rsid w:val="17596029"/>
    <w:rsid w:val="175D0D30"/>
    <w:rsid w:val="17700003"/>
    <w:rsid w:val="17740F17"/>
    <w:rsid w:val="177E6ED3"/>
    <w:rsid w:val="178128EC"/>
    <w:rsid w:val="1784097C"/>
    <w:rsid w:val="179B3300"/>
    <w:rsid w:val="179E243C"/>
    <w:rsid w:val="17A13B8C"/>
    <w:rsid w:val="17A366D7"/>
    <w:rsid w:val="17AE2071"/>
    <w:rsid w:val="17BC6716"/>
    <w:rsid w:val="17CD3EAB"/>
    <w:rsid w:val="17E045A3"/>
    <w:rsid w:val="17E724D4"/>
    <w:rsid w:val="17F85698"/>
    <w:rsid w:val="18044450"/>
    <w:rsid w:val="180E3AA2"/>
    <w:rsid w:val="18157EBA"/>
    <w:rsid w:val="181662A5"/>
    <w:rsid w:val="1819265A"/>
    <w:rsid w:val="181F4EF7"/>
    <w:rsid w:val="1822148E"/>
    <w:rsid w:val="18233991"/>
    <w:rsid w:val="18237451"/>
    <w:rsid w:val="18253C32"/>
    <w:rsid w:val="182C12B5"/>
    <w:rsid w:val="184D4351"/>
    <w:rsid w:val="1856497E"/>
    <w:rsid w:val="185B6BC7"/>
    <w:rsid w:val="186001F0"/>
    <w:rsid w:val="186D737E"/>
    <w:rsid w:val="186E4A21"/>
    <w:rsid w:val="187108E6"/>
    <w:rsid w:val="187863C8"/>
    <w:rsid w:val="187A6E1C"/>
    <w:rsid w:val="18874B82"/>
    <w:rsid w:val="188C7176"/>
    <w:rsid w:val="18903771"/>
    <w:rsid w:val="18B14BD3"/>
    <w:rsid w:val="18B33641"/>
    <w:rsid w:val="18B36499"/>
    <w:rsid w:val="18C377E3"/>
    <w:rsid w:val="18DA179F"/>
    <w:rsid w:val="18E52D5A"/>
    <w:rsid w:val="18E70BF4"/>
    <w:rsid w:val="18E72E7B"/>
    <w:rsid w:val="18FE6DE6"/>
    <w:rsid w:val="190054C5"/>
    <w:rsid w:val="190B2B05"/>
    <w:rsid w:val="19231417"/>
    <w:rsid w:val="1924173F"/>
    <w:rsid w:val="193649C0"/>
    <w:rsid w:val="1942238C"/>
    <w:rsid w:val="19466632"/>
    <w:rsid w:val="19475607"/>
    <w:rsid w:val="195A0E7F"/>
    <w:rsid w:val="196B35FE"/>
    <w:rsid w:val="196D48C6"/>
    <w:rsid w:val="1976601B"/>
    <w:rsid w:val="197A4F34"/>
    <w:rsid w:val="1981099B"/>
    <w:rsid w:val="199376F0"/>
    <w:rsid w:val="199766AC"/>
    <w:rsid w:val="19AE7353"/>
    <w:rsid w:val="19B12173"/>
    <w:rsid w:val="19D57438"/>
    <w:rsid w:val="19D91FD8"/>
    <w:rsid w:val="19DE74E5"/>
    <w:rsid w:val="19DF5722"/>
    <w:rsid w:val="19F911F7"/>
    <w:rsid w:val="19FD5B20"/>
    <w:rsid w:val="1A082056"/>
    <w:rsid w:val="1A286C7D"/>
    <w:rsid w:val="1A330A5D"/>
    <w:rsid w:val="1A4572B6"/>
    <w:rsid w:val="1A492756"/>
    <w:rsid w:val="1A4B280A"/>
    <w:rsid w:val="1A4D79D8"/>
    <w:rsid w:val="1A5F226D"/>
    <w:rsid w:val="1A6219EB"/>
    <w:rsid w:val="1A826A88"/>
    <w:rsid w:val="1A8A1437"/>
    <w:rsid w:val="1AA10EF1"/>
    <w:rsid w:val="1AA51A04"/>
    <w:rsid w:val="1AB171DE"/>
    <w:rsid w:val="1AD62EF3"/>
    <w:rsid w:val="1AD82873"/>
    <w:rsid w:val="1AE145E7"/>
    <w:rsid w:val="1AEC41DA"/>
    <w:rsid w:val="1B0D33D9"/>
    <w:rsid w:val="1B0F28A2"/>
    <w:rsid w:val="1B13258C"/>
    <w:rsid w:val="1B1F229B"/>
    <w:rsid w:val="1B244CCA"/>
    <w:rsid w:val="1B274608"/>
    <w:rsid w:val="1B290519"/>
    <w:rsid w:val="1B317A68"/>
    <w:rsid w:val="1B327597"/>
    <w:rsid w:val="1B36499F"/>
    <w:rsid w:val="1B4E49F9"/>
    <w:rsid w:val="1B5172A9"/>
    <w:rsid w:val="1B63155C"/>
    <w:rsid w:val="1B781EFC"/>
    <w:rsid w:val="1B7E0F57"/>
    <w:rsid w:val="1B877F41"/>
    <w:rsid w:val="1B8861B8"/>
    <w:rsid w:val="1B8B5F8D"/>
    <w:rsid w:val="1B9C4150"/>
    <w:rsid w:val="1BA138CB"/>
    <w:rsid w:val="1BA53226"/>
    <w:rsid w:val="1BA86AC3"/>
    <w:rsid w:val="1BAC4136"/>
    <w:rsid w:val="1BDC4858"/>
    <w:rsid w:val="1BFC27B2"/>
    <w:rsid w:val="1BFF0417"/>
    <w:rsid w:val="1C007846"/>
    <w:rsid w:val="1C202D8D"/>
    <w:rsid w:val="1C227D62"/>
    <w:rsid w:val="1C330D09"/>
    <w:rsid w:val="1C3B1CF5"/>
    <w:rsid w:val="1C3E49D8"/>
    <w:rsid w:val="1C3F2775"/>
    <w:rsid w:val="1C4A34D8"/>
    <w:rsid w:val="1C5A7F47"/>
    <w:rsid w:val="1C6B1283"/>
    <w:rsid w:val="1C6E2EDF"/>
    <w:rsid w:val="1C7B7167"/>
    <w:rsid w:val="1C9655FE"/>
    <w:rsid w:val="1C986ABF"/>
    <w:rsid w:val="1C9D3582"/>
    <w:rsid w:val="1CBE028B"/>
    <w:rsid w:val="1CC522BF"/>
    <w:rsid w:val="1CD618CF"/>
    <w:rsid w:val="1CDB294A"/>
    <w:rsid w:val="1CDE4021"/>
    <w:rsid w:val="1CE077D8"/>
    <w:rsid w:val="1CEE550C"/>
    <w:rsid w:val="1CF568C0"/>
    <w:rsid w:val="1D0234AE"/>
    <w:rsid w:val="1D046172"/>
    <w:rsid w:val="1D0C5168"/>
    <w:rsid w:val="1D0F5E06"/>
    <w:rsid w:val="1D273905"/>
    <w:rsid w:val="1D2913F2"/>
    <w:rsid w:val="1D4125EF"/>
    <w:rsid w:val="1D445267"/>
    <w:rsid w:val="1D453C5D"/>
    <w:rsid w:val="1D4D2DB5"/>
    <w:rsid w:val="1D5031D5"/>
    <w:rsid w:val="1D570F31"/>
    <w:rsid w:val="1D590AAA"/>
    <w:rsid w:val="1D5E2397"/>
    <w:rsid w:val="1D6C5C82"/>
    <w:rsid w:val="1D82026C"/>
    <w:rsid w:val="1D8C6303"/>
    <w:rsid w:val="1D8E090D"/>
    <w:rsid w:val="1D9B3B17"/>
    <w:rsid w:val="1DA271CB"/>
    <w:rsid w:val="1DA33511"/>
    <w:rsid w:val="1DA41E3A"/>
    <w:rsid w:val="1DAB505F"/>
    <w:rsid w:val="1DAB5480"/>
    <w:rsid w:val="1DAE42B1"/>
    <w:rsid w:val="1DB072B9"/>
    <w:rsid w:val="1DB95B6B"/>
    <w:rsid w:val="1DE34CF0"/>
    <w:rsid w:val="1DE73EF7"/>
    <w:rsid w:val="1DF126E4"/>
    <w:rsid w:val="1E1D7F1A"/>
    <w:rsid w:val="1E23476B"/>
    <w:rsid w:val="1E254DFC"/>
    <w:rsid w:val="1E4266DB"/>
    <w:rsid w:val="1E454A22"/>
    <w:rsid w:val="1E460FEB"/>
    <w:rsid w:val="1E4A3E06"/>
    <w:rsid w:val="1E4A64D0"/>
    <w:rsid w:val="1E505834"/>
    <w:rsid w:val="1E5959EC"/>
    <w:rsid w:val="1E5B5EC0"/>
    <w:rsid w:val="1E631D5B"/>
    <w:rsid w:val="1E972115"/>
    <w:rsid w:val="1E972BA1"/>
    <w:rsid w:val="1EAD35CA"/>
    <w:rsid w:val="1EB91D6B"/>
    <w:rsid w:val="1EBA4C27"/>
    <w:rsid w:val="1EBD1C5E"/>
    <w:rsid w:val="1ED25678"/>
    <w:rsid w:val="1EF32D45"/>
    <w:rsid w:val="1EFD296C"/>
    <w:rsid w:val="1F065C8C"/>
    <w:rsid w:val="1F2348CD"/>
    <w:rsid w:val="1F2667FD"/>
    <w:rsid w:val="1F3F39FB"/>
    <w:rsid w:val="1F42138E"/>
    <w:rsid w:val="1F436315"/>
    <w:rsid w:val="1F490225"/>
    <w:rsid w:val="1F58688F"/>
    <w:rsid w:val="1F770A0A"/>
    <w:rsid w:val="1F7D3AD4"/>
    <w:rsid w:val="1F886D58"/>
    <w:rsid w:val="1F8E0646"/>
    <w:rsid w:val="1F9B3C5B"/>
    <w:rsid w:val="1FC924E4"/>
    <w:rsid w:val="1FCB3CBD"/>
    <w:rsid w:val="1FEA6949"/>
    <w:rsid w:val="1FFC3174"/>
    <w:rsid w:val="1FFE5876"/>
    <w:rsid w:val="20063DCF"/>
    <w:rsid w:val="200818D9"/>
    <w:rsid w:val="200927D5"/>
    <w:rsid w:val="200C2BE3"/>
    <w:rsid w:val="202A05FE"/>
    <w:rsid w:val="202D50BD"/>
    <w:rsid w:val="20333FC1"/>
    <w:rsid w:val="20377A3B"/>
    <w:rsid w:val="203B7C21"/>
    <w:rsid w:val="20410766"/>
    <w:rsid w:val="206079A2"/>
    <w:rsid w:val="206A22D4"/>
    <w:rsid w:val="2074625F"/>
    <w:rsid w:val="207776F9"/>
    <w:rsid w:val="208C4A14"/>
    <w:rsid w:val="208D01F5"/>
    <w:rsid w:val="209429F8"/>
    <w:rsid w:val="2096621B"/>
    <w:rsid w:val="20B303F1"/>
    <w:rsid w:val="20D21E79"/>
    <w:rsid w:val="20D354D4"/>
    <w:rsid w:val="20EF12AA"/>
    <w:rsid w:val="20FE0563"/>
    <w:rsid w:val="210021E7"/>
    <w:rsid w:val="21022B46"/>
    <w:rsid w:val="21060BF6"/>
    <w:rsid w:val="21102ED7"/>
    <w:rsid w:val="211E0C47"/>
    <w:rsid w:val="21222DB2"/>
    <w:rsid w:val="212B320C"/>
    <w:rsid w:val="213B3900"/>
    <w:rsid w:val="21404779"/>
    <w:rsid w:val="214915F8"/>
    <w:rsid w:val="215E06AA"/>
    <w:rsid w:val="216F3250"/>
    <w:rsid w:val="217C5A8A"/>
    <w:rsid w:val="21816DD1"/>
    <w:rsid w:val="21896F1F"/>
    <w:rsid w:val="218D2774"/>
    <w:rsid w:val="218E2F62"/>
    <w:rsid w:val="218F7586"/>
    <w:rsid w:val="2194730C"/>
    <w:rsid w:val="21963AA4"/>
    <w:rsid w:val="21997BB0"/>
    <w:rsid w:val="21A55188"/>
    <w:rsid w:val="21B1714A"/>
    <w:rsid w:val="21E01E17"/>
    <w:rsid w:val="21FE112D"/>
    <w:rsid w:val="21FE522B"/>
    <w:rsid w:val="22092E73"/>
    <w:rsid w:val="22096E4C"/>
    <w:rsid w:val="221F21D9"/>
    <w:rsid w:val="22287844"/>
    <w:rsid w:val="223146DC"/>
    <w:rsid w:val="223D4E32"/>
    <w:rsid w:val="22497C24"/>
    <w:rsid w:val="224A7A0F"/>
    <w:rsid w:val="226F7FC4"/>
    <w:rsid w:val="22746AEA"/>
    <w:rsid w:val="227F1B71"/>
    <w:rsid w:val="229161AC"/>
    <w:rsid w:val="22974F48"/>
    <w:rsid w:val="229D143B"/>
    <w:rsid w:val="22A35BB2"/>
    <w:rsid w:val="22AD57F8"/>
    <w:rsid w:val="22C044DA"/>
    <w:rsid w:val="22C64266"/>
    <w:rsid w:val="22C83A55"/>
    <w:rsid w:val="22CB488A"/>
    <w:rsid w:val="230223BB"/>
    <w:rsid w:val="230528C5"/>
    <w:rsid w:val="23083FD8"/>
    <w:rsid w:val="230953B1"/>
    <w:rsid w:val="2328205E"/>
    <w:rsid w:val="233071F4"/>
    <w:rsid w:val="23312CF8"/>
    <w:rsid w:val="23461CA0"/>
    <w:rsid w:val="234E3B98"/>
    <w:rsid w:val="2373194A"/>
    <w:rsid w:val="237B72FA"/>
    <w:rsid w:val="23935516"/>
    <w:rsid w:val="23946044"/>
    <w:rsid w:val="23951240"/>
    <w:rsid w:val="2398433D"/>
    <w:rsid w:val="23A549B0"/>
    <w:rsid w:val="23C4747C"/>
    <w:rsid w:val="23CC77D1"/>
    <w:rsid w:val="23DC6671"/>
    <w:rsid w:val="23E5793F"/>
    <w:rsid w:val="23FB7BD0"/>
    <w:rsid w:val="24015041"/>
    <w:rsid w:val="24073DC9"/>
    <w:rsid w:val="240D3D6E"/>
    <w:rsid w:val="240F0E72"/>
    <w:rsid w:val="241858F3"/>
    <w:rsid w:val="24200CCA"/>
    <w:rsid w:val="24221DA3"/>
    <w:rsid w:val="2426585E"/>
    <w:rsid w:val="242A45BC"/>
    <w:rsid w:val="243F7BFB"/>
    <w:rsid w:val="244600CD"/>
    <w:rsid w:val="244C50B0"/>
    <w:rsid w:val="245040CC"/>
    <w:rsid w:val="245210F2"/>
    <w:rsid w:val="24527076"/>
    <w:rsid w:val="246C0E74"/>
    <w:rsid w:val="24780B5B"/>
    <w:rsid w:val="24925082"/>
    <w:rsid w:val="249B30D6"/>
    <w:rsid w:val="249D66A2"/>
    <w:rsid w:val="24D359AF"/>
    <w:rsid w:val="24D42D0B"/>
    <w:rsid w:val="24DC58E8"/>
    <w:rsid w:val="24E943D9"/>
    <w:rsid w:val="24EF593D"/>
    <w:rsid w:val="24F90990"/>
    <w:rsid w:val="24FD6CEE"/>
    <w:rsid w:val="25033768"/>
    <w:rsid w:val="25045BDB"/>
    <w:rsid w:val="25060FF0"/>
    <w:rsid w:val="250D3329"/>
    <w:rsid w:val="251705D1"/>
    <w:rsid w:val="25277220"/>
    <w:rsid w:val="255026B3"/>
    <w:rsid w:val="255742F3"/>
    <w:rsid w:val="2572580E"/>
    <w:rsid w:val="25796821"/>
    <w:rsid w:val="258B6ADA"/>
    <w:rsid w:val="258C0699"/>
    <w:rsid w:val="25904F20"/>
    <w:rsid w:val="25A16A42"/>
    <w:rsid w:val="25A574C0"/>
    <w:rsid w:val="25B2731E"/>
    <w:rsid w:val="25C2497B"/>
    <w:rsid w:val="25D77536"/>
    <w:rsid w:val="25DC5EF3"/>
    <w:rsid w:val="25E07AAD"/>
    <w:rsid w:val="25F61F37"/>
    <w:rsid w:val="25F74F5D"/>
    <w:rsid w:val="25F93FD7"/>
    <w:rsid w:val="260E6A1A"/>
    <w:rsid w:val="261C724C"/>
    <w:rsid w:val="262C73CE"/>
    <w:rsid w:val="262E77AB"/>
    <w:rsid w:val="2634137F"/>
    <w:rsid w:val="26345390"/>
    <w:rsid w:val="26383E0A"/>
    <w:rsid w:val="2639257F"/>
    <w:rsid w:val="26421F32"/>
    <w:rsid w:val="26581CFA"/>
    <w:rsid w:val="265C7454"/>
    <w:rsid w:val="269A677D"/>
    <w:rsid w:val="269F78D1"/>
    <w:rsid w:val="26AC01A0"/>
    <w:rsid w:val="26BE500D"/>
    <w:rsid w:val="26C85363"/>
    <w:rsid w:val="27023146"/>
    <w:rsid w:val="27043A11"/>
    <w:rsid w:val="272934EC"/>
    <w:rsid w:val="272E3F03"/>
    <w:rsid w:val="2739168B"/>
    <w:rsid w:val="2740652E"/>
    <w:rsid w:val="2743654C"/>
    <w:rsid w:val="27475C63"/>
    <w:rsid w:val="27476221"/>
    <w:rsid w:val="274F67DA"/>
    <w:rsid w:val="2752430C"/>
    <w:rsid w:val="276B002A"/>
    <w:rsid w:val="279439EA"/>
    <w:rsid w:val="27AC6201"/>
    <w:rsid w:val="27C16D0C"/>
    <w:rsid w:val="27C86464"/>
    <w:rsid w:val="27C978A9"/>
    <w:rsid w:val="27E87F77"/>
    <w:rsid w:val="27ED03B8"/>
    <w:rsid w:val="27ED1FFE"/>
    <w:rsid w:val="27F75959"/>
    <w:rsid w:val="27FD0DB5"/>
    <w:rsid w:val="28240B6C"/>
    <w:rsid w:val="282D091B"/>
    <w:rsid w:val="28313E77"/>
    <w:rsid w:val="28330CCE"/>
    <w:rsid w:val="28336FF5"/>
    <w:rsid w:val="283D3197"/>
    <w:rsid w:val="28411344"/>
    <w:rsid w:val="284321B3"/>
    <w:rsid w:val="28480A09"/>
    <w:rsid w:val="28576F42"/>
    <w:rsid w:val="285E601B"/>
    <w:rsid w:val="285F0B5B"/>
    <w:rsid w:val="286901F7"/>
    <w:rsid w:val="28807BCA"/>
    <w:rsid w:val="288534D3"/>
    <w:rsid w:val="28931916"/>
    <w:rsid w:val="289517AC"/>
    <w:rsid w:val="28994AE2"/>
    <w:rsid w:val="28A374E1"/>
    <w:rsid w:val="28AB539F"/>
    <w:rsid w:val="28AE4096"/>
    <w:rsid w:val="28B80A83"/>
    <w:rsid w:val="28B91B0B"/>
    <w:rsid w:val="28BB2CCF"/>
    <w:rsid w:val="28C874B9"/>
    <w:rsid w:val="28CC084F"/>
    <w:rsid w:val="28D0550A"/>
    <w:rsid w:val="28EB6652"/>
    <w:rsid w:val="28F33496"/>
    <w:rsid w:val="28F86647"/>
    <w:rsid w:val="290127A6"/>
    <w:rsid w:val="29027F4B"/>
    <w:rsid w:val="29053F49"/>
    <w:rsid w:val="29166D96"/>
    <w:rsid w:val="29172535"/>
    <w:rsid w:val="291B560C"/>
    <w:rsid w:val="291E39C3"/>
    <w:rsid w:val="2928136D"/>
    <w:rsid w:val="292A4D71"/>
    <w:rsid w:val="2939290E"/>
    <w:rsid w:val="294A5B74"/>
    <w:rsid w:val="294F221C"/>
    <w:rsid w:val="29526A4D"/>
    <w:rsid w:val="29586C67"/>
    <w:rsid w:val="297F1753"/>
    <w:rsid w:val="297F3918"/>
    <w:rsid w:val="29A41E06"/>
    <w:rsid w:val="29B56EA6"/>
    <w:rsid w:val="29D045BA"/>
    <w:rsid w:val="29D82CE9"/>
    <w:rsid w:val="2A055D4F"/>
    <w:rsid w:val="2A0D3D5E"/>
    <w:rsid w:val="2A0E098D"/>
    <w:rsid w:val="2A2F3C54"/>
    <w:rsid w:val="2A385F86"/>
    <w:rsid w:val="2A3A1CE7"/>
    <w:rsid w:val="2A5663E5"/>
    <w:rsid w:val="2A7E4A35"/>
    <w:rsid w:val="2A7F5CD2"/>
    <w:rsid w:val="2A892694"/>
    <w:rsid w:val="2A921CDE"/>
    <w:rsid w:val="2AA35633"/>
    <w:rsid w:val="2AAE7F7B"/>
    <w:rsid w:val="2ABA6EEF"/>
    <w:rsid w:val="2ABF68F1"/>
    <w:rsid w:val="2AD07C7C"/>
    <w:rsid w:val="2AD62032"/>
    <w:rsid w:val="2AD86828"/>
    <w:rsid w:val="2ADC04FD"/>
    <w:rsid w:val="2AF50C92"/>
    <w:rsid w:val="2AF83264"/>
    <w:rsid w:val="2AFC40B3"/>
    <w:rsid w:val="2B0276DE"/>
    <w:rsid w:val="2B03662A"/>
    <w:rsid w:val="2B081C3F"/>
    <w:rsid w:val="2B0E5385"/>
    <w:rsid w:val="2B1B67C7"/>
    <w:rsid w:val="2B1C3F92"/>
    <w:rsid w:val="2B201034"/>
    <w:rsid w:val="2B314EF3"/>
    <w:rsid w:val="2B33461C"/>
    <w:rsid w:val="2B412721"/>
    <w:rsid w:val="2B4F0A75"/>
    <w:rsid w:val="2B5B6C8B"/>
    <w:rsid w:val="2B6156E6"/>
    <w:rsid w:val="2B68235C"/>
    <w:rsid w:val="2B697A8F"/>
    <w:rsid w:val="2B6C717D"/>
    <w:rsid w:val="2B713E24"/>
    <w:rsid w:val="2B844705"/>
    <w:rsid w:val="2B8A790F"/>
    <w:rsid w:val="2B8D3FB3"/>
    <w:rsid w:val="2B960AFE"/>
    <w:rsid w:val="2B984C20"/>
    <w:rsid w:val="2BA60BBC"/>
    <w:rsid w:val="2BB139A6"/>
    <w:rsid w:val="2BD8618C"/>
    <w:rsid w:val="2BD9124C"/>
    <w:rsid w:val="2BF32F41"/>
    <w:rsid w:val="2BF74D27"/>
    <w:rsid w:val="2C0E4167"/>
    <w:rsid w:val="2C0F1A7B"/>
    <w:rsid w:val="2C5A44BB"/>
    <w:rsid w:val="2C5C4962"/>
    <w:rsid w:val="2C6144CB"/>
    <w:rsid w:val="2C705AE8"/>
    <w:rsid w:val="2C804899"/>
    <w:rsid w:val="2C877825"/>
    <w:rsid w:val="2CA02EB9"/>
    <w:rsid w:val="2CA616A1"/>
    <w:rsid w:val="2CB66047"/>
    <w:rsid w:val="2CDA7E7C"/>
    <w:rsid w:val="2CE31526"/>
    <w:rsid w:val="2CE50F86"/>
    <w:rsid w:val="2CEB2A1A"/>
    <w:rsid w:val="2CEE05D8"/>
    <w:rsid w:val="2CFA2CAA"/>
    <w:rsid w:val="2D0044C8"/>
    <w:rsid w:val="2D205BE0"/>
    <w:rsid w:val="2D336953"/>
    <w:rsid w:val="2D360842"/>
    <w:rsid w:val="2D522E11"/>
    <w:rsid w:val="2D531464"/>
    <w:rsid w:val="2D5910DA"/>
    <w:rsid w:val="2D593713"/>
    <w:rsid w:val="2D6049ED"/>
    <w:rsid w:val="2D615713"/>
    <w:rsid w:val="2D625EB4"/>
    <w:rsid w:val="2D72199C"/>
    <w:rsid w:val="2D7319DE"/>
    <w:rsid w:val="2D7649BC"/>
    <w:rsid w:val="2D7D403F"/>
    <w:rsid w:val="2D81033B"/>
    <w:rsid w:val="2D961FA0"/>
    <w:rsid w:val="2DAE61EC"/>
    <w:rsid w:val="2DC03EC1"/>
    <w:rsid w:val="2DC220C2"/>
    <w:rsid w:val="2DC252B2"/>
    <w:rsid w:val="2DC77CF5"/>
    <w:rsid w:val="2DD12128"/>
    <w:rsid w:val="2DD562CA"/>
    <w:rsid w:val="2DF12742"/>
    <w:rsid w:val="2E002278"/>
    <w:rsid w:val="2E191738"/>
    <w:rsid w:val="2E1B4C5B"/>
    <w:rsid w:val="2E20408C"/>
    <w:rsid w:val="2E222078"/>
    <w:rsid w:val="2E223195"/>
    <w:rsid w:val="2E36460C"/>
    <w:rsid w:val="2E425A86"/>
    <w:rsid w:val="2E534127"/>
    <w:rsid w:val="2E570044"/>
    <w:rsid w:val="2E5831D1"/>
    <w:rsid w:val="2E5C7D10"/>
    <w:rsid w:val="2E661E55"/>
    <w:rsid w:val="2E685D97"/>
    <w:rsid w:val="2E7349CF"/>
    <w:rsid w:val="2E754189"/>
    <w:rsid w:val="2E76382F"/>
    <w:rsid w:val="2E7E3F95"/>
    <w:rsid w:val="2E88748C"/>
    <w:rsid w:val="2E8C18E3"/>
    <w:rsid w:val="2E925111"/>
    <w:rsid w:val="2E954661"/>
    <w:rsid w:val="2E973265"/>
    <w:rsid w:val="2EA722FC"/>
    <w:rsid w:val="2EA975E7"/>
    <w:rsid w:val="2EB2264A"/>
    <w:rsid w:val="2EB229D8"/>
    <w:rsid w:val="2EB50E6A"/>
    <w:rsid w:val="2EB8566F"/>
    <w:rsid w:val="2EBA213E"/>
    <w:rsid w:val="2EBE0F91"/>
    <w:rsid w:val="2ECB08EB"/>
    <w:rsid w:val="2ED06EF7"/>
    <w:rsid w:val="2ED54A5B"/>
    <w:rsid w:val="2EDA7E22"/>
    <w:rsid w:val="2EE72547"/>
    <w:rsid w:val="2EE93ADC"/>
    <w:rsid w:val="2EF92328"/>
    <w:rsid w:val="2F0B08A5"/>
    <w:rsid w:val="2F1413A1"/>
    <w:rsid w:val="2F224ED1"/>
    <w:rsid w:val="2F2C7ED5"/>
    <w:rsid w:val="2F2D5F30"/>
    <w:rsid w:val="2F332320"/>
    <w:rsid w:val="2F425F66"/>
    <w:rsid w:val="2F474803"/>
    <w:rsid w:val="2F492309"/>
    <w:rsid w:val="2F4E1626"/>
    <w:rsid w:val="2F622B1A"/>
    <w:rsid w:val="2F6366ED"/>
    <w:rsid w:val="2F671E43"/>
    <w:rsid w:val="2F746B7E"/>
    <w:rsid w:val="2F771E75"/>
    <w:rsid w:val="2F800F79"/>
    <w:rsid w:val="2F844241"/>
    <w:rsid w:val="2F900B07"/>
    <w:rsid w:val="2F97543E"/>
    <w:rsid w:val="2FA50185"/>
    <w:rsid w:val="2FA955A4"/>
    <w:rsid w:val="2FAF15A5"/>
    <w:rsid w:val="2FB7221D"/>
    <w:rsid w:val="2FB86D8F"/>
    <w:rsid w:val="2FC13F7D"/>
    <w:rsid w:val="2FCB4184"/>
    <w:rsid w:val="2FCC4775"/>
    <w:rsid w:val="2FDF609E"/>
    <w:rsid w:val="2FE468B6"/>
    <w:rsid w:val="2FE63A9D"/>
    <w:rsid w:val="2FE67DBF"/>
    <w:rsid w:val="2FE77D56"/>
    <w:rsid w:val="2FEC340E"/>
    <w:rsid w:val="300876A3"/>
    <w:rsid w:val="30293BA0"/>
    <w:rsid w:val="30422CE0"/>
    <w:rsid w:val="304C788D"/>
    <w:rsid w:val="30585341"/>
    <w:rsid w:val="306315CB"/>
    <w:rsid w:val="30684C28"/>
    <w:rsid w:val="307D32E4"/>
    <w:rsid w:val="30801E59"/>
    <w:rsid w:val="30895E7B"/>
    <w:rsid w:val="308C0B3B"/>
    <w:rsid w:val="309C1870"/>
    <w:rsid w:val="30B12DEB"/>
    <w:rsid w:val="30B43971"/>
    <w:rsid w:val="30B87C7D"/>
    <w:rsid w:val="30C76E30"/>
    <w:rsid w:val="30CD148B"/>
    <w:rsid w:val="30D67D69"/>
    <w:rsid w:val="30D76926"/>
    <w:rsid w:val="30D9077F"/>
    <w:rsid w:val="30DA76B9"/>
    <w:rsid w:val="30EA59C4"/>
    <w:rsid w:val="3102240B"/>
    <w:rsid w:val="31077518"/>
    <w:rsid w:val="31207ABD"/>
    <w:rsid w:val="312E0A61"/>
    <w:rsid w:val="312F5367"/>
    <w:rsid w:val="313523C6"/>
    <w:rsid w:val="313B40E2"/>
    <w:rsid w:val="314D4FBB"/>
    <w:rsid w:val="31540BEC"/>
    <w:rsid w:val="31637A8D"/>
    <w:rsid w:val="31785B89"/>
    <w:rsid w:val="3182425D"/>
    <w:rsid w:val="318422ED"/>
    <w:rsid w:val="318727A8"/>
    <w:rsid w:val="318C726A"/>
    <w:rsid w:val="318F355B"/>
    <w:rsid w:val="31942713"/>
    <w:rsid w:val="319466BB"/>
    <w:rsid w:val="319931F2"/>
    <w:rsid w:val="319F4445"/>
    <w:rsid w:val="319F644D"/>
    <w:rsid w:val="31A021F3"/>
    <w:rsid w:val="31A16AE3"/>
    <w:rsid w:val="31A30493"/>
    <w:rsid w:val="31A53B0F"/>
    <w:rsid w:val="31A71C5D"/>
    <w:rsid w:val="31AF209F"/>
    <w:rsid w:val="31B12E66"/>
    <w:rsid w:val="31B30990"/>
    <w:rsid w:val="31BC0638"/>
    <w:rsid w:val="31C230EA"/>
    <w:rsid w:val="31C846FC"/>
    <w:rsid w:val="31CE2C4F"/>
    <w:rsid w:val="31D310FD"/>
    <w:rsid w:val="31DD6488"/>
    <w:rsid w:val="31E87B3C"/>
    <w:rsid w:val="31FB469D"/>
    <w:rsid w:val="31FE1BAF"/>
    <w:rsid w:val="32034A66"/>
    <w:rsid w:val="320815C0"/>
    <w:rsid w:val="32106A3C"/>
    <w:rsid w:val="32106A7E"/>
    <w:rsid w:val="32243C64"/>
    <w:rsid w:val="324F70B8"/>
    <w:rsid w:val="325E5A2A"/>
    <w:rsid w:val="327C23AB"/>
    <w:rsid w:val="32846008"/>
    <w:rsid w:val="32A301D3"/>
    <w:rsid w:val="32A64194"/>
    <w:rsid w:val="32B225EE"/>
    <w:rsid w:val="32B92E44"/>
    <w:rsid w:val="32CF6DCD"/>
    <w:rsid w:val="32DA534E"/>
    <w:rsid w:val="32DB55AD"/>
    <w:rsid w:val="32DB5813"/>
    <w:rsid w:val="32E85FBD"/>
    <w:rsid w:val="32EA2B1E"/>
    <w:rsid w:val="32F040C6"/>
    <w:rsid w:val="32F42D2A"/>
    <w:rsid w:val="33053F2F"/>
    <w:rsid w:val="330A7E33"/>
    <w:rsid w:val="3324647A"/>
    <w:rsid w:val="334122CB"/>
    <w:rsid w:val="334A6F56"/>
    <w:rsid w:val="33544C00"/>
    <w:rsid w:val="33687077"/>
    <w:rsid w:val="336E0296"/>
    <w:rsid w:val="336F0A2D"/>
    <w:rsid w:val="33744C66"/>
    <w:rsid w:val="337857D5"/>
    <w:rsid w:val="337F75F9"/>
    <w:rsid w:val="339737C5"/>
    <w:rsid w:val="3397531C"/>
    <w:rsid w:val="339B3F43"/>
    <w:rsid w:val="339B4A92"/>
    <w:rsid w:val="339C3203"/>
    <w:rsid w:val="339D1B1D"/>
    <w:rsid w:val="339E6ED8"/>
    <w:rsid w:val="33A67E05"/>
    <w:rsid w:val="33AC1AE7"/>
    <w:rsid w:val="33AE1803"/>
    <w:rsid w:val="33AE452F"/>
    <w:rsid w:val="33D024D3"/>
    <w:rsid w:val="33DC3658"/>
    <w:rsid w:val="33F41DF7"/>
    <w:rsid w:val="33F9146B"/>
    <w:rsid w:val="340444BD"/>
    <w:rsid w:val="340827C0"/>
    <w:rsid w:val="341156CC"/>
    <w:rsid w:val="3416086A"/>
    <w:rsid w:val="341E2B7A"/>
    <w:rsid w:val="34211F18"/>
    <w:rsid w:val="3424458A"/>
    <w:rsid w:val="34393B28"/>
    <w:rsid w:val="34590E93"/>
    <w:rsid w:val="3470081E"/>
    <w:rsid w:val="347216DF"/>
    <w:rsid w:val="34867842"/>
    <w:rsid w:val="34923475"/>
    <w:rsid w:val="349A1366"/>
    <w:rsid w:val="349D51D6"/>
    <w:rsid w:val="34B80B17"/>
    <w:rsid w:val="34B8791F"/>
    <w:rsid w:val="34BB5D36"/>
    <w:rsid w:val="34C82E9D"/>
    <w:rsid w:val="34C84666"/>
    <w:rsid w:val="34CE51D2"/>
    <w:rsid w:val="34CE6868"/>
    <w:rsid w:val="34CE6A23"/>
    <w:rsid w:val="34D05C53"/>
    <w:rsid w:val="34DA403C"/>
    <w:rsid w:val="34E1286C"/>
    <w:rsid w:val="34E87D26"/>
    <w:rsid w:val="34FB29D6"/>
    <w:rsid w:val="350525A3"/>
    <w:rsid w:val="35082E67"/>
    <w:rsid w:val="350C46D5"/>
    <w:rsid w:val="35124866"/>
    <w:rsid w:val="35144AA5"/>
    <w:rsid w:val="35193ABE"/>
    <w:rsid w:val="351E4020"/>
    <w:rsid w:val="351E526C"/>
    <w:rsid w:val="35247A26"/>
    <w:rsid w:val="354A4ABE"/>
    <w:rsid w:val="35585E0B"/>
    <w:rsid w:val="355C509C"/>
    <w:rsid w:val="355F615D"/>
    <w:rsid w:val="3574708B"/>
    <w:rsid w:val="35755F8D"/>
    <w:rsid w:val="35771C97"/>
    <w:rsid w:val="35794E50"/>
    <w:rsid w:val="35824AF3"/>
    <w:rsid w:val="35997A9A"/>
    <w:rsid w:val="35C125E1"/>
    <w:rsid w:val="35E13CC7"/>
    <w:rsid w:val="35E253C2"/>
    <w:rsid w:val="35E85D55"/>
    <w:rsid w:val="35EA2335"/>
    <w:rsid w:val="35FD643D"/>
    <w:rsid w:val="360D54CD"/>
    <w:rsid w:val="36140F07"/>
    <w:rsid w:val="361E2B9E"/>
    <w:rsid w:val="361E2FC5"/>
    <w:rsid w:val="362B2325"/>
    <w:rsid w:val="3632399C"/>
    <w:rsid w:val="363E1C4E"/>
    <w:rsid w:val="363E5511"/>
    <w:rsid w:val="365B6075"/>
    <w:rsid w:val="365D401C"/>
    <w:rsid w:val="366F14BB"/>
    <w:rsid w:val="366F1D28"/>
    <w:rsid w:val="36847753"/>
    <w:rsid w:val="368F6459"/>
    <w:rsid w:val="36944090"/>
    <w:rsid w:val="36A0325E"/>
    <w:rsid w:val="36A064F7"/>
    <w:rsid w:val="36A2242F"/>
    <w:rsid w:val="36B5642D"/>
    <w:rsid w:val="36C67DF9"/>
    <w:rsid w:val="36C9709A"/>
    <w:rsid w:val="36CD6A99"/>
    <w:rsid w:val="36D009B9"/>
    <w:rsid w:val="36EF6C28"/>
    <w:rsid w:val="37001D70"/>
    <w:rsid w:val="370219CE"/>
    <w:rsid w:val="372219B1"/>
    <w:rsid w:val="37251842"/>
    <w:rsid w:val="37265DF1"/>
    <w:rsid w:val="37317E6B"/>
    <w:rsid w:val="373437B0"/>
    <w:rsid w:val="37464714"/>
    <w:rsid w:val="374C2662"/>
    <w:rsid w:val="374F28A1"/>
    <w:rsid w:val="375F2369"/>
    <w:rsid w:val="37715B59"/>
    <w:rsid w:val="377D5A81"/>
    <w:rsid w:val="37802E6A"/>
    <w:rsid w:val="37881655"/>
    <w:rsid w:val="378D2D2C"/>
    <w:rsid w:val="37A16A7D"/>
    <w:rsid w:val="37AE1BB4"/>
    <w:rsid w:val="37AE4C1C"/>
    <w:rsid w:val="37B47CB6"/>
    <w:rsid w:val="37C05DFD"/>
    <w:rsid w:val="37DB734C"/>
    <w:rsid w:val="37EB020F"/>
    <w:rsid w:val="37F229E7"/>
    <w:rsid w:val="37F709A0"/>
    <w:rsid w:val="37FC19EF"/>
    <w:rsid w:val="38254250"/>
    <w:rsid w:val="382D1059"/>
    <w:rsid w:val="38314D7D"/>
    <w:rsid w:val="383660F9"/>
    <w:rsid w:val="383B755F"/>
    <w:rsid w:val="38614775"/>
    <w:rsid w:val="38686BF1"/>
    <w:rsid w:val="3872689E"/>
    <w:rsid w:val="38730A13"/>
    <w:rsid w:val="38795F4A"/>
    <w:rsid w:val="387A6E57"/>
    <w:rsid w:val="387B05A7"/>
    <w:rsid w:val="388A446F"/>
    <w:rsid w:val="38A34F69"/>
    <w:rsid w:val="38B147FA"/>
    <w:rsid w:val="38CC514A"/>
    <w:rsid w:val="38D230BA"/>
    <w:rsid w:val="390463B9"/>
    <w:rsid w:val="39223BDF"/>
    <w:rsid w:val="392576FC"/>
    <w:rsid w:val="392A107D"/>
    <w:rsid w:val="392B4C5A"/>
    <w:rsid w:val="395C1E01"/>
    <w:rsid w:val="395D6461"/>
    <w:rsid w:val="3961273D"/>
    <w:rsid w:val="39680F90"/>
    <w:rsid w:val="397932FF"/>
    <w:rsid w:val="3981370B"/>
    <w:rsid w:val="39871245"/>
    <w:rsid w:val="398D0061"/>
    <w:rsid w:val="39AD204C"/>
    <w:rsid w:val="39B75830"/>
    <w:rsid w:val="39CA257A"/>
    <w:rsid w:val="39CA5FC5"/>
    <w:rsid w:val="39CB317C"/>
    <w:rsid w:val="39D041E1"/>
    <w:rsid w:val="39D618BD"/>
    <w:rsid w:val="39D96CCB"/>
    <w:rsid w:val="39DB7DC2"/>
    <w:rsid w:val="39E15EF1"/>
    <w:rsid w:val="39E215E0"/>
    <w:rsid w:val="39E36487"/>
    <w:rsid w:val="3A0D3ABC"/>
    <w:rsid w:val="3A142F56"/>
    <w:rsid w:val="3A2057E6"/>
    <w:rsid w:val="3A3A3AA1"/>
    <w:rsid w:val="3A3A4361"/>
    <w:rsid w:val="3A6F31BC"/>
    <w:rsid w:val="3A833846"/>
    <w:rsid w:val="3A8C0B2D"/>
    <w:rsid w:val="3A90271F"/>
    <w:rsid w:val="3A9A57DC"/>
    <w:rsid w:val="3AB542B9"/>
    <w:rsid w:val="3ACF155D"/>
    <w:rsid w:val="3ADD718F"/>
    <w:rsid w:val="3B0460AC"/>
    <w:rsid w:val="3B0F6793"/>
    <w:rsid w:val="3B197856"/>
    <w:rsid w:val="3B28712C"/>
    <w:rsid w:val="3B361C46"/>
    <w:rsid w:val="3B37794A"/>
    <w:rsid w:val="3B3E6CC6"/>
    <w:rsid w:val="3B434A55"/>
    <w:rsid w:val="3B487C30"/>
    <w:rsid w:val="3B5031B1"/>
    <w:rsid w:val="3B5941A1"/>
    <w:rsid w:val="3B634056"/>
    <w:rsid w:val="3B6441CF"/>
    <w:rsid w:val="3B666267"/>
    <w:rsid w:val="3B730E70"/>
    <w:rsid w:val="3B787924"/>
    <w:rsid w:val="3B856C25"/>
    <w:rsid w:val="3B883087"/>
    <w:rsid w:val="3B8B54B5"/>
    <w:rsid w:val="3B8D55B7"/>
    <w:rsid w:val="3BA90098"/>
    <w:rsid w:val="3BA930C1"/>
    <w:rsid w:val="3BA960B7"/>
    <w:rsid w:val="3BB17B57"/>
    <w:rsid w:val="3BE815E0"/>
    <w:rsid w:val="3BF90A61"/>
    <w:rsid w:val="3BFF4B58"/>
    <w:rsid w:val="3C006538"/>
    <w:rsid w:val="3C036298"/>
    <w:rsid w:val="3C0E1887"/>
    <w:rsid w:val="3C0F6569"/>
    <w:rsid w:val="3C1E76DD"/>
    <w:rsid w:val="3C42529D"/>
    <w:rsid w:val="3C463CBB"/>
    <w:rsid w:val="3C4D484A"/>
    <w:rsid w:val="3C4E3DFE"/>
    <w:rsid w:val="3C4E698F"/>
    <w:rsid w:val="3C5066D7"/>
    <w:rsid w:val="3C5C5AE2"/>
    <w:rsid w:val="3C5F77D7"/>
    <w:rsid w:val="3C6537C0"/>
    <w:rsid w:val="3C6D6E2A"/>
    <w:rsid w:val="3C867833"/>
    <w:rsid w:val="3C8D56A1"/>
    <w:rsid w:val="3C8F74CC"/>
    <w:rsid w:val="3C9C77E3"/>
    <w:rsid w:val="3C9E3A39"/>
    <w:rsid w:val="3CB029CF"/>
    <w:rsid w:val="3CB8735D"/>
    <w:rsid w:val="3CBB3869"/>
    <w:rsid w:val="3CDE1948"/>
    <w:rsid w:val="3CE25CDB"/>
    <w:rsid w:val="3CE27DF4"/>
    <w:rsid w:val="3CE45789"/>
    <w:rsid w:val="3CE91412"/>
    <w:rsid w:val="3CFE7E04"/>
    <w:rsid w:val="3D072FB4"/>
    <w:rsid w:val="3D0A0D1F"/>
    <w:rsid w:val="3D16094A"/>
    <w:rsid w:val="3D27673B"/>
    <w:rsid w:val="3D2A1914"/>
    <w:rsid w:val="3D2F7004"/>
    <w:rsid w:val="3D4C1111"/>
    <w:rsid w:val="3D7F21A8"/>
    <w:rsid w:val="3D7F5AFC"/>
    <w:rsid w:val="3D8A71EE"/>
    <w:rsid w:val="3D9D0A3D"/>
    <w:rsid w:val="3DA71071"/>
    <w:rsid w:val="3DB05D28"/>
    <w:rsid w:val="3DC32F86"/>
    <w:rsid w:val="3DD108DE"/>
    <w:rsid w:val="3DD86F96"/>
    <w:rsid w:val="3DE94D4C"/>
    <w:rsid w:val="3DEF22F6"/>
    <w:rsid w:val="3DF978E9"/>
    <w:rsid w:val="3DFC46D1"/>
    <w:rsid w:val="3E005490"/>
    <w:rsid w:val="3E0B0B2D"/>
    <w:rsid w:val="3E0C4D65"/>
    <w:rsid w:val="3E0D2FF1"/>
    <w:rsid w:val="3E163308"/>
    <w:rsid w:val="3E265663"/>
    <w:rsid w:val="3E3737A1"/>
    <w:rsid w:val="3E394562"/>
    <w:rsid w:val="3E6564B5"/>
    <w:rsid w:val="3E6B5037"/>
    <w:rsid w:val="3E727DBA"/>
    <w:rsid w:val="3E73503A"/>
    <w:rsid w:val="3E736ED8"/>
    <w:rsid w:val="3E796D21"/>
    <w:rsid w:val="3E842725"/>
    <w:rsid w:val="3E8B2609"/>
    <w:rsid w:val="3E8F0AFF"/>
    <w:rsid w:val="3E9F0197"/>
    <w:rsid w:val="3E9F2F79"/>
    <w:rsid w:val="3E9F6749"/>
    <w:rsid w:val="3EA618B5"/>
    <w:rsid w:val="3EC413E1"/>
    <w:rsid w:val="3EC51DF3"/>
    <w:rsid w:val="3EC52D26"/>
    <w:rsid w:val="3ECF3905"/>
    <w:rsid w:val="3EE671E2"/>
    <w:rsid w:val="3EF21959"/>
    <w:rsid w:val="3EFD48EF"/>
    <w:rsid w:val="3F035456"/>
    <w:rsid w:val="3F052CBA"/>
    <w:rsid w:val="3F14265E"/>
    <w:rsid w:val="3F17215A"/>
    <w:rsid w:val="3F1B3B5B"/>
    <w:rsid w:val="3F272FC4"/>
    <w:rsid w:val="3F2E3082"/>
    <w:rsid w:val="3F317B0E"/>
    <w:rsid w:val="3F4E7096"/>
    <w:rsid w:val="3F5C5628"/>
    <w:rsid w:val="3F6A46BF"/>
    <w:rsid w:val="3F7438C7"/>
    <w:rsid w:val="3F7530E1"/>
    <w:rsid w:val="3F7A304B"/>
    <w:rsid w:val="3F7F3C76"/>
    <w:rsid w:val="3F8068AA"/>
    <w:rsid w:val="3F940824"/>
    <w:rsid w:val="3F994560"/>
    <w:rsid w:val="3F9B6E6A"/>
    <w:rsid w:val="3F9E176D"/>
    <w:rsid w:val="3FA11632"/>
    <w:rsid w:val="3FA1446A"/>
    <w:rsid w:val="3FAF2D3A"/>
    <w:rsid w:val="3FB867E3"/>
    <w:rsid w:val="3FBB4D8D"/>
    <w:rsid w:val="3FBD4C9C"/>
    <w:rsid w:val="3FC07304"/>
    <w:rsid w:val="3FCE52C0"/>
    <w:rsid w:val="3FD05F37"/>
    <w:rsid w:val="3FD66A2E"/>
    <w:rsid w:val="3FDE274E"/>
    <w:rsid w:val="3FDE3F08"/>
    <w:rsid w:val="3FDF1215"/>
    <w:rsid w:val="3FE215B8"/>
    <w:rsid w:val="3FE7522B"/>
    <w:rsid w:val="3FE866B4"/>
    <w:rsid w:val="3FE87E86"/>
    <w:rsid w:val="3FF1020A"/>
    <w:rsid w:val="40066E40"/>
    <w:rsid w:val="40111006"/>
    <w:rsid w:val="4012364C"/>
    <w:rsid w:val="40137B0D"/>
    <w:rsid w:val="40171513"/>
    <w:rsid w:val="402D61AE"/>
    <w:rsid w:val="4033042E"/>
    <w:rsid w:val="40464068"/>
    <w:rsid w:val="405F7A91"/>
    <w:rsid w:val="40651DC0"/>
    <w:rsid w:val="406F5ABA"/>
    <w:rsid w:val="40721CFC"/>
    <w:rsid w:val="4073121F"/>
    <w:rsid w:val="408C0FD5"/>
    <w:rsid w:val="40917D0F"/>
    <w:rsid w:val="40980915"/>
    <w:rsid w:val="409A7872"/>
    <w:rsid w:val="40AC1751"/>
    <w:rsid w:val="40AD5AD8"/>
    <w:rsid w:val="40B835E3"/>
    <w:rsid w:val="40BD56C6"/>
    <w:rsid w:val="40D54FA6"/>
    <w:rsid w:val="40E50C72"/>
    <w:rsid w:val="40E842D5"/>
    <w:rsid w:val="40E8450C"/>
    <w:rsid w:val="40EA5DC7"/>
    <w:rsid w:val="40EE60CB"/>
    <w:rsid w:val="40FC57B3"/>
    <w:rsid w:val="41063FDD"/>
    <w:rsid w:val="410C5908"/>
    <w:rsid w:val="4123534A"/>
    <w:rsid w:val="412F7BF8"/>
    <w:rsid w:val="41385B5D"/>
    <w:rsid w:val="414556D0"/>
    <w:rsid w:val="415223EE"/>
    <w:rsid w:val="41554776"/>
    <w:rsid w:val="41716755"/>
    <w:rsid w:val="41782873"/>
    <w:rsid w:val="418E7305"/>
    <w:rsid w:val="419103FA"/>
    <w:rsid w:val="41A14DCB"/>
    <w:rsid w:val="41A160E0"/>
    <w:rsid w:val="41A22B3A"/>
    <w:rsid w:val="41A533D8"/>
    <w:rsid w:val="41BC73CC"/>
    <w:rsid w:val="41E630D7"/>
    <w:rsid w:val="4226339F"/>
    <w:rsid w:val="42337ED1"/>
    <w:rsid w:val="42462290"/>
    <w:rsid w:val="424C2E49"/>
    <w:rsid w:val="42526A1E"/>
    <w:rsid w:val="425A64FC"/>
    <w:rsid w:val="425F1758"/>
    <w:rsid w:val="426E40AF"/>
    <w:rsid w:val="427361D8"/>
    <w:rsid w:val="4279601A"/>
    <w:rsid w:val="427B5A69"/>
    <w:rsid w:val="427C6959"/>
    <w:rsid w:val="427F49E9"/>
    <w:rsid w:val="42800B3F"/>
    <w:rsid w:val="42812FE9"/>
    <w:rsid w:val="429056B1"/>
    <w:rsid w:val="42B26509"/>
    <w:rsid w:val="42B45B8D"/>
    <w:rsid w:val="42C86B98"/>
    <w:rsid w:val="42CB6DFD"/>
    <w:rsid w:val="42D26C46"/>
    <w:rsid w:val="42D738E7"/>
    <w:rsid w:val="42D75299"/>
    <w:rsid w:val="42E06431"/>
    <w:rsid w:val="42EE79AD"/>
    <w:rsid w:val="42F010B7"/>
    <w:rsid w:val="42FD2C65"/>
    <w:rsid w:val="43087676"/>
    <w:rsid w:val="430C3E21"/>
    <w:rsid w:val="43121A52"/>
    <w:rsid w:val="4314275B"/>
    <w:rsid w:val="432A0C66"/>
    <w:rsid w:val="432E1EE1"/>
    <w:rsid w:val="4338601E"/>
    <w:rsid w:val="434855A8"/>
    <w:rsid w:val="434A5B68"/>
    <w:rsid w:val="434C0094"/>
    <w:rsid w:val="434D1A33"/>
    <w:rsid w:val="435B6A3B"/>
    <w:rsid w:val="435F21B2"/>
    <w:rsid w:val="436D66ED"/>
    <w:rsid w:val="438E2688"/>
    <w:rsid w:val="4394082F"/>
    <w:rsid w:val="43B66FEA"/>
    <w:rsid w:val="43B91219"/>
    <w:rsid w:val="43C47054"/>
    <w:rsid w:val="43D15A8B"/>
    <w:rsid w:val="43EF568F"/>
    <w:rsid w:val="43EF7A00"/>
    <w:rsid w:val="440423C5"/>
    <w:rsid w:val="440D2F54"/>
    <w:rsid w:val="440D5A61"/>
    <w:rsid w:val="441C676F"/>
    <w:rsid w:val="441D7752"/>
    <w:rsid w:val="441F4A55"/>
    <w:rsid w:val="44234C51"/>
    <w:rsid w:val="44236822"/>
    <w:rsid w:val="44267847"/>
    <w:rsid w:val="442D5C4B"/>
    <w:rsid w:val="44433898"/>
    <w:rsid w:val="444B54DD"/>
    <w:rsid w:val="444F3A7B"/>
    <w:rsid w:val="44795C94"/>
    <w:rsid w:val="44812498"/>
    <w:rsid w:val="44891E1A"/>
    <w:rsid w:val="449A1C87"/>
    <w:rsid w:val="44A22641"/>
    <w:rsid w:val="44A943F9"/>
    <w:rsid w:val="44AD76A1"/>
    <w:rsid w:val="44B2303E"/>
    <w:rsid w:val="44B3109C"/>
    <w:rsid w:val="44BC14EC"/>
    <w:rsid w:val="44C923A5"/>
    <w:rsid w:val="44DE545F"/>
    <w:rsid w:val="44E72C7F"/>
    <w:rsid w:val="44E757E8"/>
    <w:rsid w:val="44E84624"/>
    <w:rsid w:val="44EC49A4"/>
    <w:rsid w:val="44EF38FF"/>
    <w:rsid w:val="44FE36E8"/>
    <w:rsid w:val="4502410C"/>
    <w:rsid w:val="450537ED"/>
    <w:rsid w:val="4513364B"/>
    <w:rsid w:val="4520674D"/>
    <w:rsid w:val="45223C95"/>
    <w:rsid w:val="45282AD4"/>
    <w:rsid w:val="452E3926"/>
    <w:rsid w:val="45343AE5"/>
    <w:rsid w:val="453555A0"/>
    <w:rsid w:val="453C0B63"/>
    <w:rsid w:val="453D2B10"/>
    <w:rsid w:val="45561E6F"/>
    <w:rsid w:val="456703CB"/>
    <w:rsid w:val="45724338"/>
    <w:rsid w:val="45871887"/>
    <w:rsid w:val="458B36A2"/>
    <w:rsid w:val="459F477F"/>
    <w:rsid w:val="45A000B3"/>
    <w:rsid w:val="45A93183"/>
    <w:rsid w:val="45AF7264"/>
    <w:rsid w:val="45B45080"/>
    <w:rsid w:val="45D17685"/>
    <w:rsid w:val="45F671CB"/>
    <w:rsid w:val="45FA64CB"/>
    <w:rsid w:val="45FF4337"/>
    <w:rsid w:val="4623419B"/>
    <w:rsid w:val="46257046"/>
    <w:rsid w:val="464A5B0A"/>
    <w:rsid w:val="464E2ABF"/>
    <w:rsid w:val="4653131E"/>
    <w:rsid w:val="46674F6C"/>
    <w:rsid w:val="466B0894"/>
    <w:rsid w:val="46722500"/>
    <w:rsid w:val="46734F4A"/>
    <w:rsid w:val="4679476C"/>
    <w:rsid w:val="467F392A"/>
    <w:rsid w:val="468C156A"/>
    <w:rsid w:val="468E3842"/>
    <w:rsid w:val="46B453CA"/>
    <w:rsid w:val="46CA2D61"/>
    <w:rsid w:val="46CA74AB"/>
    <w:rsid w:val="46CF774A"/>
    <w:rsid w:val="46D332AF"/>
    <w:rsid w:val="46D33D00"/>
    <w:rsid w:val="46DE5FA9"/>
    <w:rsid w:val="46E17600"/>
    <w:rsid w:val="46E37241"/>
    <w:rsid w:val="46E43012"/>
    <w:rsid w:val="46E50B19"/>
    <w:rsid w:val="46E93FD0"/>
    <w:rsid w:val="46EC37F1"/>
    <w:rsid w:val="46F233E5"/>
    <w:rsid w:val="46F66887"/>
    <w:rsid w:val="47027402"/>
    <w:rsid w:val="472052D4"/>
    <w:rsid w:val="472E5A0A"/>
    <w:rsid w:val="47667F64"/>
    <w:rsid w:val="476B434A"/>
    <w:rsid w:val="47757120"/>
    <w:rsid w:val="477B435B"/>
    <w:rsid w:val="478B64F7"/>
    <w:rsid w:val="479D1618"/>
    <w:rsid w:val="479F0DB5"/>
    <w:rsid w:val="47A10EDC"/>
    <w:rsid w:val="47A5572A"/>
    <w:rsid w:val="47AE71CB"/>
    <w:rsid w:val="47AF7530"/>
    <w:rsid w:val="47BD3BAB"/>
    <w:rsid w:val="47C13A73"/>
    <w:rsid w:val="47C24AA0"/>
    <w:rsid w:val="47D35BCA"/>
    <w:rsid w:val="47D67923"/>
    <w:rsid w:val="47DE4901"/>
    <w:rsid w:val="47FB24E7"/>
    <w:rsid w:val="47FE5482"/>
    <w:rsid w:val="47FF1942"/>
    <w:rsid w:val="480824C1"/>
    <w:rsid w:val="48117D04"/>
    <w:rsid w:val="481234A7"/>
    <w:rsid w:val="481C0F32"/>
    <w:rsid w:val="481C787A"/>
    <w:rsid w:val="482F2184"/>
    <w:rsid w:val="48437976"/>
    <w:rsid w:val="48450AAA"/>
    <w:rsid w:val="484E28B1"/>
    <w:rsid w:val="485A66A5"/>
    <w:rsid w:val="485C1639"/>
    <w:rsid w:val="486520E4"/>
    <w:rsid w:val="48686B66"/>
    <w:rsid w:val="48746944"/>
    <w:rsid w:val="488A1F9A"/>
    <w:rsid w:val="48A23B07"/>
    <w:rsid w:val="48A5089F"/>
    <w:rsid w:val="48B10DA1"/>
    <w:rsid w:val="48B336EF"/>
    <w:rsid w:val="48B833EB"/>
    <w:rsid w:val="48CD41CA"/>
    <w:rsid w:val="48DB5817"/>
    <w:rsid w:val="48E9706F"/>
    <w:rsid w:val="48F00CBE"/>
    <w:rsid w:val="48F31C60"/>
    <w:rsid w:val="48F4302B"/>
    <w:rsid w:val="48F55B1E"/>
    <w:rsid w:val="4900735D"/>
    <w:rsid w:val="4906626D"/>
    <w:rsid w:val="49274BCA"/>
    <w:rsid w:val="49281C69"/>
    <w:rsid w:val="49351DB7"/>
    <w:rsid w:val="494B2333"/>
    <w:rsid w:val="49536AC3"/>
    <w:rsid w:val="495B3003"/>
    <w:rsid w:val="496107FA"/>
    <w:rsid w:val="49707F51"/>
    <w:rsid w:val="49770B8C"/>
    <w:rsid w:val="497A5C78"/>
    <w:rsid w:val="49866A94"/>
    <w:rsid w:val="498A5A64"/>
    <w:rsid w:val="498F103B"/>
    <w:rsid w:val="49A8686D"/>
    <w:rsid w:val="49A941D1"/>
    <w:rsid w:val="49AD6FDC"/>
    <w:rsid w:val="49AE6585"/>
    <w:rsid w:val="49B8109A"/>
    <w:rsid w:val="49BB24E5"/>
    <w:rsid w:val="49BE1EED"/>
    <w:rsid w:val="49D0127C"/>
    <w:rsid w:val="49D602FF"/>
    <w:rsid w:val="49DC4006"/>
    <w:rsid w:val="49E460C9"/>
    <w:rsid w:val="49F47391"/>
    <w:rsid w:val="4A022C65"/>
    <w:rsid w:val="4A112F8A"/>
    <w:rsid w:val="4A113911"/>
    <w:rsid w:val="4A2E2C95"/>
    <w:rsid w:val="4A455C1B"/>
    <w:rsid w:val="4A4A3FC5"/>
    <w:rsid w:val="4A53476D"/>
    <w:rsid w:val="4A54223B"/>
    <w:rsid w:val="4A593EB3"/>
    <w:rsid w:val="4A656C5D"/>
    <w:rsid w:val="4A662907"/>
    <w:rsid w:val="4A6D0CC5"/>
    <w:rsid w:val="4A7F0431"/>
    <w:rsid w:val="4A834B9D"/>
    <w:rsid w:val="4A844B60"/>
    <w:rsid w:val="4A866070"/>
    <w:rsid w:val="4A8B7ECB"/>
    <w:rsid w:val="4A8C00D7"/>
    <w:rsid w:val="4A8D7AA5"/>
    <w:rsid w:val="4A973C2B"/>
    <w:rsid w:val="4AA35441"/>
    <w:rsid w:val="4AB4702F"/>
    <w:rsid w:val="4ABB08AE"/>
    <w:rsid w:val="4ABE1BA6"/>
    <w:rsid w:val="4AC21DC6"/>
    <w:rsid w:val="4AC56933"/>
    <w:rsid w:val="4AC709EE"/>
    <w:rsid w:val="4ADA1384"/>
    <w:rsid w:val="4ADE091B"/>
    <w:rsid w:val="4AE11BF7"/>
    <w:rsid w:val="4AFD0F11"/>
    <w:rsid w:val="4AFD1476"/>
    <w:rsid w:val="4B03484E"/>
    <w:rsid w:val="4B0E3426"/>
    <w:rsid w:val="4B1573FE"/>
    <w:rsid w:val="4B24395B"/>
    <w:rsid w:val="4B3204BB"/>
    <w:rsid w:val="4B3232EB"/>
    <w:rsid w:val="4B3456E4"/>
    <w:rsid w:val="4B3F623F"/>
    <w:rsid w:val="4B465172"/>
    <w:rsid w:val="4B485732"/>
    <w:rsid w:val="4B4F25D1"/>
    <w:rsid w:val="4B5C1145"/>
    <w:rsid w:val="4B604857"/>
    <w:rsid w:val="4B606D7C"/>
    <w:rsid w:val="4B6B5457"/>
    <w:rsid w:val="4B7768A0"/>
    <w:rsid w:val="4B7E4FDB"/>
    <w:rsid w:val="4B8937B3"/>
    <w:rsid w:val="4B9F49A9"/>
    <w:rsid w:val="4BAE437B"/>
    <w:rsid w:val="4BC40F0C"/>
    <w:rsid w:val="4BCC5339"/>
    <w:rsid w:val="4BCD189B"/>
    <w:rsid w:val="4BEC2D2A"/>
    <w:rsid w:val="4BF1586A"/>
    <w:rsid w:val="4BF30D12"/>
    <w:rsid w:val="4BFB045F"/>
    <w:rsid w:val="4C060C3B"/>
    <w:rsid w:val="4C197E61"/>
    <w:rsid w:val="4C1A1152"/>
    <w:rsid w:val="4C1D02D6"/>
    <w:rsid w:val="4C251A1D"/>
    <w:rsid w:val="4C2822E1"/>
    <w:rsid w:val="4C2A2988"/>
    <w:rsid w:val="4C462AC1"/>
    <w:rsid w:val="4C554251"/>
    <w:rsid w:val="4C597E0D"/>
    <w:rsid w:val="4C781B12"/>
    <w:rsid w:val="4C7F0964"/>
    <w:rsid w:val="4CAF18A5"/>
    <w:rsid w:val="4CB062F0"/>
    <w:rsid w:val="4CB06EDE"/>
    <w:rsid w:val="4CB13F6D"/>
    <w:rsid w:val="4CC00B79"/>
    <w:rsid w:val="4CC76FB8"/>
    <w:rsid w:val="4CCA7F5E"/>
    <w:rsid w:val="4CE409AF"/>
    <w:rsid w:val="4CE5108A"/>
    <w:rsid w:val="4CF1188D"/>
    <w:rsid w:val="4CFE4A37"/>
    <w:rsid w:val="4D051CBF"/>
    <w:rsid w:val="4D09318D"/>
    <w:rsid w:val="4D253ADA"/>
    <w:rsid w:val="4D264212"/>
    <w:rsid w:val="4D3062C1"/>
    <w:rsid w:val="4D3415CF"/>
    <w:rsid w:val="4D392AD0"/>
    <w:rsid w:val="4D57693E"/>
    <w:rsid w:val="4D6E12EA"/>
    <w:rsid w:val="4D721B42"/>
    <w:rsid w:val="4D78112E"/>
    <w:rsid w:val="4D792318"/>
    <w:rsid w:val="4D7F7D2D"/>
    <w:rsid w:val="4D8A4040"/>
    <w:rsid w:val="4D8D4E3D"/>
    <w:rsid w:val="4D930D67"/>
    <w:rsid w:val="4D9461ED"/>
    <w:rsid w:val="4D9E3432"/>
    <w:rsid w:val="4DA2728C"/>
    <w:rsid w:val="4DA4447F"/>
    <w:rsid w:val="4DAB3C02"/>
    <w:rsid w:val="4DAD3F63"/>
    <w:rsid w:val="4DB5784C"/>
    <w:rsid w:val="4DB62E53"/>
    <w:rsid w:val="4DC83FDE"/>
    <w:rsid w:val="4DC84461"/>
    <w:rsid w:val="4DCE176E"/>
    <w:rsid w:val="4DDF51AE"/>
    <w:rsid w:val="4DF1238E"/>
    <w:rsid w:val="4DFA761D"/>
    <w:rsid w:val="4E0E2BF8"/>
    <w:rsid w:val="4E170E90"/>
    <w:rsid w:val="4E2A1274"/>
    <w:rsid w:val="4E3974CA"/>
    <w:rsid w:val="4E3B6994"/>
    <w:rsid w:val="4E5F3917"/>
    <w:rsid w:val="4E61609C"/>
    <w:rsid w:val="4E820ED2"/>
    <w:rsid w:val="4E897B66"/>
    <w:rsid w:val="4E966F1C"/>
    <w:rsid w:val="4EA93D12"/>
    <w:rsid w:val="4EAC295D"/>
    <w:rsid w:val="4EB0159A"/>
    <w:rsid w:val="4EBD3025"/>
    <w:rsid w:val="4EBD7CEB"/>
    <w:rsid w:val="4ECD25A8"/>
    <w:rsid w:val="4ED271E9"/>
    <w:rsid w:val="4ED459E5"/>
    <w:rsid w:val="4EDD15EF"/>
    <w:rsid w:val="4EF84161"/>
    <w:rsid w:val="4EFE58A9"/>
    <w:rsid w:val="4F0553E7"/>
    <w:rsid w:val="4F121758"/>
    <w:rsid w:val="4F16122A"/>
    <w:rsid w:val="4F1763AE"/>
    <w:rsid w:val="4F227F6E"/>
    <w:rsid w:val="4F297740"/>
    <w:rsid w:val="4F2E7ECB"/>
    <w:rsid w:val="4F3E3399"/>
    <w:rsid w:val="4F4755A9"/>
    <w:rsid w:val="4F783441"/>
    <w:rsid w:val="4F786942"/>
    <w:rsid w:val="4F935EC0"/>
    <w:rsid w:val="4F96552B"/>
    <w:rsid w:val="4F9F558F"/>
    <w:rsid w:val="4FAF4263"/>
    <w:rsid w:val="4FD14DBB"/>
    <w:rsid w:val="4FD84A1E"/>
    <w:rsid w:val="4FEF3F1C"/>
    <w:rsid w:val="4FF2721B"/>
    <w:rsid w:val="4FFD5873"/>
    <w:rsid w:val="500D4871"/>
    <w:rsid w:val="50180005"/>
    <w:rsid w:val="50183A91"/>
    <w:rsid w:val="50197746"/>
    <w:rsid w:val="504324FA"/>
    <w:rsid w:val="504F6B15"/>
    <w:rsid w:val="50531821"/>
    <w:rsid w:val="505B3362"/>
    <w:rsid w:val="506B1B17"/>
    <w:rsid w:val="506D4489"/>
    <w:rsid w:val="507A40C4"/>
    <w:rsid w:val="50840780"/>
    <w:rsid w:val="50887B7A"/>
    <w:rsid w:val="50921904"/>
    <w:rsid w:val="509A798F"/>
    <w:rsid w:val="50A54BE0"/>
    <w:rsid w:val="50B666F1"/>
    <w:rsid w:val="50BB1C93"/>
    <w:rsid w:val="50C87197"/>
    <w:rsid w:val="50C96573"/>
    <w:rsid w:val="50D2734D"/>
    <w:rsid w:val="50DB6556"/>
    <w:rsid w:val="50ED3855"/>
    <w:rsid w:val="50FC6AF7"/>
    <w:rsid w:val="510A39F0"/>
    <w:rsid w:val="51176374"/>
    <w:rsid w:val="511D1942"/>
    <w:rsid w:val="512F2A99"/>
    <w:rsid w:val="51346649"/>
    <w:rsid w:val="513948CE"/>
    <w:rsid w:val="513A7ACF"/>
    <w:rsid w:val="514908AD"/>
    <w:rsid w:val="51576A68"/>
    <w:rsid w:val="515B0E4C"/>
    <w:rsid w:val="515C77BE"/>
    <w:rsid w:val="515D09DF"/>
    <w:rsid w:val="516C5120"/>
    <w:rsid w:val="5178074D"/>
    <w:rsid w:val="517C3833"/>
    <w:rsid w:val="518805DB"/>
    <w:rsid w:val="518E1F66"/>
    <w:rsid w:val="51B77CFF"/>
    <w:rsid w:val="51C93062"/>
    <w:rsid w:val="51CE102A"/>
    <w:rsid w:val="51D149BB"/>
    <w:rsid w:val="51DB30FE"/>
    <w:rsid w:val="51E67824"/>
    <w:rsid w:val="51E735E9"/>
    <w:rsid w:val="51EC1B34"/>
    <w:rsid w:val="51F509A4"/>
    <w:rsid w:val="520B0260"/>
    <w:rsid w:val="520D1003"/>
    <w:rsid w:val="52151121"/>
    <w:rsid w:val="52397CA7"/>
    <w:rsid w:val="52465A0F"/>
    <w:rsid w:val="524E4651"/>
    <w:rsid w:val="52727DD4"/>
    <w:rsid w:val="52841745"/>
    <w:rsid w:val="529A1922"/>
    <w:rsid w:val="52A11A13"/>
    <w:rsid w:val="52A571E0"/>
    <w:rsid w:val="52AC4B36"/>
    <w:rsid w:val="52AF5C59"/>
    <w:rsid w:val="52B32057"/>
    <w:rsid w:val="52B43CDC"/>
    <w:rsid w:val="52B6481D"/>
    <w:rsid w:val="52B83541"/>
    <w:rsid w:val="52DA38D0"/>
    <w:rsid w:val="52DD4716"/>
    <w:rsid w:val="52E83F3C"/>
    <w:rsid w:val="52F579E8"/>
    <w:rsid w:val="52FB5B12"/>
    <w:rsid w:val="52FB761B"/>
    <w:rsid w:val="52FC1F16"/>
    <w:rsid w:val="52FF5CDB"/>
    <w:rsid w:val="52FF619B"/>
    <w:rsid w:val="5308591A"/>
    <w:rsid w:val="53243F67"/>
    <w:rsid w:val="533A6A15"/>
    <w:rsid w:val="534306F3"/>
    <w:rsid w:val="534A37F6"/>
    <w:rsid w:val="53517856"/>
    <w:rsid w:val="53530DA5"/>
    <w:rsid w:val="53546580"/>
    <w:rsid w:val="53745AA6"/>
    <w:rsid w:val="5385442B"/>
    <w:rsid w:val="53891045"/>
    <w:rsid w:val="538E12F3"/>
    <w:rsid w:val="538F2B78"/>
    <w:rsid w:val="53A076B4"/>
    <w:rsid w:val="53A86C9A"/>
    <w:rsid w:val="53AA1B5A"/>
    <w:rsid w:val="53B56CEC"/>
    <w:rsid w:val="53B77C57"/>
    <w:rsid w:val="53C445B1"/>
    <w:rsid w:val="53CC60F3"/>
    <w:rsid w:val="53CD6B65"/>
    <w:rsid w:val="53CF4EF3"/>
    <w:rsid w:val="53DD6507"/>
    <w:rsid w:val="53E25EB0"/>
    <w:rsid w:val="53E549E0"/>
    <w:rsid w:val="53E55292"/>
    <w:rsid w:val="53E82393"/>
    <w:rsid w:val="53F073D2"/>
    <w:rsid w:val="53F765B3"/>
    <w:rsid w:val="53FA6D8F"/>
    <w:rsid w:val="53FC2065"/>
    <w:rsid w:val="53FE10E9"/>
    <w:rsid w:val="540F635D"/>
    <w:rsid w:val="541951A2"/>
    <w:rsid w:val="541F3BD1"/>
    <w:rsid w:val="54341DD7"/>
    <w:rsid w:val="54470980"/>
    <w:rsid w:val="544966A5"/>
    <w:rsid w:val="544E404F"/>
    <w:rsid w:val="54527C65"/>
    <w:rsid w:val="5459237A"/>
    <w:rsid w:val="545F51E1"/>
    <w:rsid w:val="548E0CE4"/>
    <w:rsid w:val="54A64F36"/>
    <w:rsid w:val="54A738F3"/>
    <w:rsid w:val="54B43984"/>
    <w:rsid w:val="54B64BA5"/>
    <w:rsid w:val="54CC6818"/>
    <w:rsid w:val="54D83433"/>
    <w:rsid w:val="54DE2EA9"/>
    <w:rsid w:val="54E806AA"/>
    <w:rsid w:val="54E82D2E"/>
    <w:rsid w:val="54E852A7"/>
    <w:rsid w:val="54EA072A"/>
    <w:rsid w:val="54EA0F9C"/>
    <w:rsid w:val="55070325"/>
    <w:rsid w:val="552400CB"/>
    <w:rsid w:val="55303E9D"/>
    <w:rsid w:val="553524F6"/>
    <w:rsid w:val="553D2F65"/>
    <w:rsid w:val="554C4CB6"/>
    <w:rsid w:val="555B0873"/>
    <w:rsid w:val="556C53D1"/>
    <w:rsid w:val="55724C82"/>
    <w:rsid w:val="55797143"/>
    <w:rsid w:val="557E6FD7"/>
    <w:rsid w:val="559215FA"/>
    <w:rsid w:val="55A77401"/>
    <w:rsid w:val="55AC270E"/>
    <w:rsid w:val="55AE33EC"/>
    <w:rsid w:val="55CE4127"/>
    <w:rsid w:val="55D83623"/>
    <w:rsid w:val="55DA1134"/>
    <w:rsid w:val="55DE63C2"/>
    <w:rsid w:val="55E54A52"/>
    <w:rsid w:val="55EC223C"/>
    <w:rsid w:val="55ED015D"/>
    <w:rsid w:val="55F26EEE"/>
    <w:rsid w:val="55F65D47"/>
    <w:rsid w:val="55FE7A6C"/>
    <w:rsid w:val="55FF310E"/>
    <w:rsid w:val="56015F00"/>
    <w:rsid w:val="560E2F08"/>
    <w:rsid w:val="56106AE0"/>
    <w:rsid w:val="561A3474"/>
    <w:rsid w:val="56233487"/>
    <w:rsid w:val="56340170"/>
    <w:rsid w:val="563A60AC"/>
    <w:rsid w:val="56522684"/>
    <w:rsid w:val="56616179"/>
    <w:rsid w:val="56687B1E"/>
    <w:rsid w:val="5679063D"/>
    <w:rsid w:val="567E3F25"/>
    <w:rsid w:val="568D5DF8"/>
    <w:rsid w:val="568F5213"/>
    <w:rsid w:val="56935AAA"/>
    <w:rsid w:val="569A03D4"/>
    <w:rsid w:val="569C7371"/>
    <w:rsid w:val="569D47E5"/>
    <w:rsid w:val="56A77872"/>
    <w:rsid w:val="56BA406B"/>
    <w:rsid w:val="56BC66DE"/>
    <w:rsid w:val="56C06F5D"/>
    <w:rsid w:val="56CB107C"/>
    <w:rsid w:val="56CF0CE7"/>
    <w:rsid w:val="56D505E0"/>
    <w:rsid w:val="56D559B8"/>
    <w:rsid w:val="56D60206"/>
    <w:rsid w:val="56DB235A"/>
    <w:rsid w:val="56E61B8E"/>
    <w:rsid w:val="56EA140E"/>
    <w:rsid w:val="56EA6F4D"/>
    <w:rsid w:val="56EC604A"/>
    <w:rsid w:val="56F61256"/>
    <w:rsid w:val="57011D4F"/>
    <w:rsid w:val="571053AB"/>
    <w:rsid w:val="571A15EB"/>
    <w:rsid w:val="572401B7"/>
    <w:rsid w:val="573D2C36"/>
    <w:rsid w:val="5743236F"/>
    <w:rsid w:val="575312FC"/>
    <w:rsid w:val="57597E31"/>
    <w:rsid w:val="57682EA6"/>
    <w:rsid w:val="577522AC"/>
    <w:rsid w:val="578C2DA9"/>
    <w:rsid w:val="57A7299B"/>
    <w:rsid w:val="57AB6B86"/>
    <w:rsid w:val="57B808ED"/>
    <w:rsid w:val="57BC32E4"/>
    <w:rsid w:val="57C70470"/>
    <w:rsid w:val="57CD05DA"/>
    <w:rsid w:val="57DD4B66"/>
    <w:rsid w:val="57E25697"/>
    <w:rsid w:val="57EB7673"/>
    <w:rsid w:val="580661D1"/>
    <w:rsid w:val="580749EF"/>
    <w:rsid w:val="580E6628"/>
    <w:rsid w:val="581E2E98"/>
    <w:rsid w:val="58221A68"/>
    <w:rsid w:val="582E3B40"/>
    <w:rsid w:val="583357BE"/>
    <w:rsid w:val="58402B1A"/>
    <w:rsid w:val="58407513"/>
    <w:rsid w:val="584742CD"/>
    <w:rsid w:val="585313F1"/>
    <w:rsid w:val="58544F22"/>
    <w:rsid w:val="585C200F"/>
    <w:rsid w:val="585D2B5B"/>
    <w:rsid w:val="585E7BDF"/>
    <w:rsid w:val="586A38A3"/>
    <w:rsid w:val="587742F4"/>
    <w:rsid w:val="5878274B"/>
    <w:rsid w:val="587E7E87"/>
    <w:rsid w:val="588D3DC8"/>
    <w:rsid w:val="5892177A"/>
    <w:rsid w:val="58976FF7"/>
    <w:rsid w:val="589E1823"/>
    <w:rsid w:val="58A010AF"/>
    <w:rsid w:val="58B919B1"/>
    <w:rsid w:val="58C00ADD"/>
    <w:rsid w:val="58E4453F"/>
    <w:rsid w:val="58E53A4E"/>
    <w:rsid w:val="58F60C48"/>
    <w:rsid w:val="590D579D"/>
    <w:rsid w:val="59124423"/>
    <w:rsid w:val="5923433E"/>
    <w:rsid w:val="592A6C3E"/>
    <w:rsid w:val="59341C3E"/>
    <w:rsid w:val="593435C7"/>
    <w:rsid w:val="594363B9"/>
    <w:rsid w:val="595228D5"/>
    <w:rsid w:val="595A72CD"/>
    <w:rsid w:val="595B10EE"/>
    <w:rsid w:val="59631072"/>
    <w:rsid w:val="596566C1"/>
    <w:rsid w:val="596D0F3B"/>
    <w:rsid w:val="59757741"/>
    <w:rsid w:val="59770484"/>
    <w:rsid w:val="59776421"/>
    <w:rsid w:val="597A0FC4"/>
    <w:rsid w:val="598359A9"/>
    <w:rsid w:val="598427DA"/>
    <w:rsid w:val="59885665"/>
    <w:rsid w:val="598C64AE"/>
    <w:rsid w:val="599D7670"/>
    <w:rsid w:val="59A609CF"/>
    <w:rsid w:val="59A66FAC"/>
    <w:rsid w:val="59C011AC"/>
    <w:rsid w:val="59C23347"/>
    <w:rsid w:val="59CB38AA"/>
    <w:rsid w:val="59E321F8"/>
    <w:rsid w:val="59EF57B8"/>
    <w:rsid w:val="5A196D96"/>
    <w:rsid w:val="5A42660D"/>
    <w:rsid w:val="5A5F577F"/>
    <w:rsid w:val="5A6F1C9D"/>
    <w:rsid w:val="5A8102A2"/>
    <w:rsid w:val="5A8A1047"/>
    <w:rsid w:val="5A9B6812"/>
    <w:rsid w:val="5AB77C00"/>
    <w:rsid w:val="5AB92164"/>
    <w:rsid w:val="5ABB59E1"/>
    <w:rsid w:val="5ABC4C8A"/>
    <w:rsid w:val="5AE51C71"/>
    <w:rsid w:val="5AE814BE"/>
    <w:rsid w:val="5AE9304F"/>
    <w:rsid w:val="5AF159B8"/>
    <w:rsid w:val="5AF159BE"/>
    <w:rsid w:val="5AFE2B41"/>
    <w:rsid w:val="5B0231FE"/>
    <w:rsid w:val="5B104C55"/>
    <w:rsid w:val="5B2C4EE4"/>
    <w:rsid w:val="5B422B19"/>
    <w:rsid w:val="5B562452"/>
    <w:rsid w:val="5B6C1173"/>
    <w:rsid w:val="5B7223F7"/>
    <w:rsid w:val="5B75432F"/>
    <w:rsid w:val="5B7662F4"/>
    <w:rsid w:val="5B7A7BB3"/>
    <w:rsid w:val="5B811673"/>
    <w:rsid w:val="5B832159"/>
    <w:rsid w:val="5B8B4FC4"/>
    <w:rsid w:val="5B9166AF"/>
    <w:rsid w:val="5B943900"/>
    <w:rsid w:val="5B965FE2"/>
    <w:rsid w:val="5B967CF5"/>
    <w:rsid w:val="5B970345"/>
    <w:rsid w:val="5B9917DD"/>
    <w:rsid w:val="5BA27947"/>
    <w:rsid w:val="5BA439E5"/>
    <w:rsid w:val="5BAC6DE4"/>
    <w:rsid w:val="5BBB3BE3"/>
    <w:rsid w:val="5BBB6C8C"/>
    <w:rsid w:val="5BBF3E21"/>
    <w:rsid w:val="5BDE0A36"/>
    <w:rsid w:val="5BF60A97"/>
    <w:rsid w:val="5BFC5292"/>
    <w:rsid w:val="5C027866"/>
    <w:rsid w:val="5C114441"/>
    <w:rsid w:val="5C151BF3"/>
    <w:rsid w:val="5C1A5169"/>
    <w:rsid w:val="5C2051F2"/>
    <w:rsid w:val="5C2642A3"/>
    <w:rsid w:val="5C26716F"/>
    <w:rsid w:val="5C2A3027"/>
    <w:rsid w:val="5C2B768F"/>
    <w:rsid w:val="5C4868B3"/>
    <w:rsid w:val="5C493B15"/>
    <w:rsid w:val="5C4F2B9D"/>
    <w:rsid w:val="5C5C00ED"/>
    <w:rsid w:val="5C5E0AFF"/>
    <w:rsid w:val="5C67564F"/>
    <w:rsid w:val="5C6B5EDC"/>
    <w:rsid w:val="5C6E4D8F"/>
    <w:rsid w:val="5C6E71E2"/>
    <w:rsid w:val="5C6F7EF3"/>
    <w:rsid w:val="5C8C6D83"/>
    <w:rsid w:val="5C917DAA"/>
    <w:rsid w:val="5C9960A7"/>
    <w:rsid w:val="5C9A51FC"/>
    <w:rsid w:val="5C9D0865"/>
    <w:rsid w:val="5CAC4416"/>
    <w:rsid w:val="5CAF5CB9"/>
    <w:rsid w:val="5CAF7447"/>
    <w:rsid w:val="5CB23018"/>
    <w:rsid w:val="5CB343E3"/>
    <w:rsid w:val="5CB63120"/>
    <w:rsid w:val="5CBB4954"/>
    <w:rsid w:val="5CD235D3"/>
    <w:rsid w:val="5CD40793"/>
    <w:rsid w:val="5CE66698"/>
    <w:rsid w:val="5CE84BC8"/>
    <w:rsid w:val="5CEF5A56"/>
    <w:rsid w:val="5CFD6A25"/>
    <w:rsid w:val="5D056123"/>
    <w:rsid w:val="5D090819"/>
    <w:rsid w:val="5D1467E3"/>
    <w:rsid w:val="5D1F66BE"/>
    <w:rsid w:val="5D2472B9"/>
    <w:rsid w:val="5D357F18"/>
    <w:rsid w:val="5D44547D"/>
    <w:rsid w:val="5D465D3D"/>
    <w:rsid w:val="5D4D6DAA"/>
    <w:rsid w:val="5D532309"/>
    <w:rsid w:val="5D5C6170"/>
    <w:rsid w:val="5D642C3D"/>
    <w:rsid w:val="5D6D07DF"/>
    <w:rsid w:val="5D727DA2"/>
    <w:rsid w:val="5D754B0A"/>
    <w:rsid w:val="5D7A7F9B"/>
    <w:rsid w:val="5D874A7D"/>
    <w:rsid w:val="5D9A2701"/>
    <w:rsid w:val="5D9D0A12"/>
    <w:rsid w:val="5DA33453"/>
    <w:rsid w:val="5DAB6F20"/>
    <w:rsid w:val="5DBA30F7"/>
    <w:rsid w:val="5DCF697A"/>
    <w:rsid w:val="5DD15641"/>
    <w:rsid w:val="5DD26F8F"/>
    <w:rsid w:val="5DE27B4D"/>
    <w:rsid w:val="5DE512C8"/>
    <w:rsid w:val="5DE90D0C"/>
    <w:rsid w:val="5DEA16B8"/>
    <w:rsid w:val="5DEC77E3"/>
    <w:rsid w:val="5DF70357"/>
    <w:rsid w:val="5E0767B1"/>
    <w:rsid w:val="5E08232D"/>
    <w:rsid w:val="5E17129E"/>
    <w:rsid w:val="5E4279E0"/>
    <w:rsid w:val="5E464330"/>
    <w:rsid w:val="5E5571CD"/>
    <w:rsid w:val="5E590750"/>
    <w:rsid w:val="5E5A44B6"/>
    <w:rsid w:val="5E625FDB"/>
    <w:rsid w:val="5E7213C5"/>
    <w:rsid w:val="5E781BEA"/>
    <w:rsid w:val="5E907E56"/>
    <w:rsid w:val="5E9857CE"/>
    <w:rsid w:val="5E9E10EF"/>
    <w:rsid w:val="5EAD64B2"/>
    <w:rsid w:val="5EB149DE"/>
    <w:rsid w:val="5EBF406D"/>
    <w:rsid w:val="5ECB36C0"/>
    <w:rsid w:val="5EDF35BA"/>
    <w:rsid w:val="5EE60B20"/>
    <w:rsid w:val="5EFF5ED7"/>
    <w:rsid w:val="5F105826"/>
    <w:rsid w:val="5F205916"/>
    <w:rsid w:val="5F312129"/>
    <w:rsid w:val="5F3C1941"/>
    <w:rsid w:val="5F3E5877"/>
    <w:rsid w:val="5F4D5BC9"/>
    <w:rsid w:val="5F5438A6"/>
    <w:rsid w:val="5F546200"/>
    <w:rsid w:val="5F661BD3"/>
    <w:rsid w:val="5F7F3590"/>
    <w:rsid w:val="5F810B1E"/>
    <w:rsid w:val="5F872E23"/>
    <w:rsid w:val="5F9703B3"/>
    <w:rsid w:val="5F9B6778"/>
    <w:rsid w:val="5FA3580B"/>
    <w:rsid w:val="5FA365BB"/>
    <w:rsid w:val="5FAD4D8C"/>
    <w:rsid w:val="5FB537B7"/>
    <w:rsid w:val="5FBF0F0A"/>
    <w:rsid w:val="5FC017B3"/>
    <w:rsid w:val="5FD2120E"/>
    <w:rsid w:val="5FD243FE"/>
    <w:rsid w:val="5FDE4455"/>
    <w:rsid w:val="5FDF5836"/>
    <w:rsid w:val="5FF2785B"/>
    <w:rsid w:val="5FF44AA8"/>
    <w:rsid w:val="5FF73C0F"/>
    <w:rsid w:val="600352B8"/>
    <w:rsid w:val="600F331E"/>
    <w:rsid w:val="600F5073"/>
    <w:rsid w:val="6023384A"/>
    <w:rsid w:val="604450D4"/>
    <w:rsid w:val="604F34E9"/>
    <w:rsid w:val="60576556"/>
    <w:rsid w:val="605E6E31"/>
    <w:rsid w:val="60682844"/>
    <w:rsid w:val="606C0182"/>
    <w:rsid w:val="60924948"/>
    <w:rsid w:val="60934F58"/>
    <w:rsid w:val="60AB5130"/>
    <w:rsid w:val="60BD769D"/>
    <w:rsid w:val="60D06839"/>
    <w:rsid w:val="60DB74D3"/>
    <w:rsid w:val="60DD0558"/>
    <w:rsid w:val="60DF3A8D"/>
    <w:rsid w:val="60E638C7"/>
    <w:rsid w:val="60EF6DCD"/>
    <w:rsid w:val="60F179EC"/>
    <w:rsid w:val="60FB25D0"/>
    <w:rsid w:val="6105408D"/>
    <w:rsid w:val="611372C6"/>
    <w:rsid w:val="61147E49"/>
    <w:rsid w:val="611F294D"/>
    <w:rsid w:val="612354B3"/>
    <w:rsid w:val="614C4EB6"/>
    <w:rsid w:val="614C5F98"/>
    <w:rsid w:val="614E0BB9"/>
    <w:rsid w:val="61666AE3"/>
    <w:rsid w:val="616F1BB2"/>
    <w:rsid w:val="617E07AC"/>
    <w:rsid w:val="617E3487"/>
    <w:rsid w:val="61942DA6"/>
    <w:rsid w:val="619C3F3C"/>
    <w:rsid w:val="61A31A5A"/>
    <w:rsid w:val="61C05702"/>
    <w:rsid w:val="61D35F7E"/>
    <w:rsid w:val="61DC5BB4"/>
    <w:rsid w:val="61E7083C"/>
    <w:rsid w:val="61EE6A8D"/>
    <w:rsid w:val="61F90585"/>
    <w:rsid w:val="621269DD"/>
    <w:rsid w:val="62141B76"/>
    <w:rsid w:val="62154611"/>
    <w:rsid w:val="621770BE"/>
    <w:rsid w:val="62181F42"/>
    <w:rsid w:val="621E3984"/>
    <w:rsid w:val="622535C0"/>
    <w:rsid w:val="62460B95"/>
    <w:rsid w:val="62485FDE"/>
    <w:rsid w:val="62530D0B"/>
    <w:rsid w:val="62566A40"/>
    <w:rsid w:val="6261535B"/>
    <w:rsid w:val="626C30A9"/>
    <w:rsid w:val="62700250"/>
    <w:rsid w:val="62737B78"/>
    <w:rsid w:val="628D3935"/>
    <w:rsid w:val="629D022E"/>
    <w:rsid w:val="62A002F7"/>
    <w:rsid w:val="62A24F48"/>
    <w:rsid w:val="62A4614E"/>
    <w:rsid w:val="62B16D41"/>
    <w:rsid w:val="62B44A9A"/>
    <w:rsid w:val="62DA07E7"/>
    <w:rsid w:val="62DB39F0"/>
    <w:rsid w:val="62E0411D"/>
    <w:rsid w:val="62EA2E1C"/>
    <w:rsid w:val="62EB146F"/>
    <w:rsid w:val="62ED0CA8"/>
    <w:rsid w:val="62F04E9D"/>
    <w:rsid w:val="62F12C55"/>
    <w:rsid w:val="632175B6"/>
    <w:rsid w:val="63261A89"/>
    <w:rsid w:val="63286CB6"/>
    <w:rsid w:val="63387FBF"/>
    <w:rsid w:val="63412446"/>
    <w:rsid w:val="6359609E"/>
    <w:rsid w:val="635E3F66"/>
    <w:rsid w:val="63663118"/>
    <w:rsid w:val="637B1C9B"/>
    <w:rsid w:val="63876CFA"/>
    <w:rsid w:val="638F709C"/>
    <w:rsid w:val="639518AF"/>
    <w:rsid w:val="63A53F7F"/>
    <w:rsid w:val="63AA43A9"/>
    <w:rsid w:val="63BF17DC"/>
    <w:rsid w:val="63C46A27"/>
    <w:rsid w:val="63C81FAF"/>
    <w:rsid w:val="63D12D29"/>
    <w:rsid w:val="63D207FA"/>
    <w:rsid w:val="63DD4C84"/>
    <w:rsid w:val="63E324C3"/>
    <w:rsid w:val="63E35EF8"/>
    <w:rsid w:val="63E7282C"/>
    <w:rsid w:val="63EC32F7"/>
    <w:rsid w:val="64050B8B"/>
    <w:rsid w:val="64070D25"/>
    <w:rsid w:val="640B46AD"/>
    <w:rsid w:val="64222445"/>
    <w:rsid w:val="642569D2"/>
    <w:rsid w:val="64370A51"/>
    <w:rsid w:val="643C52A5"/>
    <w:rsid w:val="644311DC"/>
    <w:rsid w:val="64444275"/>
    <w:rsid w:val="644E44E8"/>
    <w:rsid w:val="644E787B"/>
    <w:rsid w:val="645D1215"/>
    <w:rsid w:val="645E29A6"/>
    <w:rsid w:val="64625228"/>
    <w:rsid w:val="647B15C4"/>
    <w:rsid w:val="648B6FB9"/>
    <w:rsid w:val="64A36B7B"/>
    <w:rsid w:val="64A60F33"/>
    <w:rsid w:val="64B71403"/>
    <w:rsid w:val="64B762BC"/>
    <w:rsid w:val="64BC1B9B"/>
    <w:rsid w:val="64C76F3A"/>
    <w:rsid w:val="64CE5451"/>
    <w:rsid w:val="64DD6802"/>
    <w:rsid w:val="64E1623C"/>
    <w:rsid w:val="64F3729A"/>
    <w:rsid w:val="64F52B68"/>
    <w:rsid w:val="64FE6687"/>
    <w:rsid w:val="652804CB"/>
    <w:rsid w:val="65305A64"/>
    <w:rsid w:val="65345BD2"/>
    <w:rsid w:val="65440DCD"/>
    <w:rsid w:val="654509C3"/>
    <w:rsid w:val="65464CBA"/>
    <w:rsid w:val="65464DD0"/>
    <w:rsid w:val="65491B60"/>
    <w:rsid w:val="654F4061"/>
    <w:rsid w:val="655E721F"/>
    <w:rsid w:val="656134A1"/>
    <w:rsid w:val="6568378B"/>
    <w:rsid w:val="65725608"/>
    <w:rsid w:val="6586615D"/>
    <w:rsid w:val="658C269B"/>
    <w:rsid w:val="659E6853"/>
    <w:rsid w:val="65A11F7D"/>
    <w:rsid w:val="65A3711A"/>
    <w:rsid w:val="65AD12C2"/>
    <w:rsid w:val="65B04083"/>
    <w:rsid w:val="65B340CC"/>
    <w:rsid w:val="65B81718"/>
    <w:rsid w:val="65B8188B"/>
    <w:rsid w:val="65BA2712"/>
    <w:rsid w:val="65C12071"/>
    <w:rsid w:val="65D460A6"/>
    <w:rsid w:val="65F32B44"/>
    <w:rsid w:val="6601403E"/>
    <w:rsid w:val="66053C7B"/>
    <w:rsid w:val="660B026B"/>
    <w:rsid w:val="66130AD2"/>
    <w:rsid w:val="661A5A44"/>
    <w:rsid w:val="661B7993"/>
    <w:rsid w:val="66295D2B"/>
    <w:rsid w:val="662D6EB2"/>
    <w:rsid w:val="66386C27"/>
    <w:rsid w:val="66390D0B"/>
    <w:rsid w:val="664B2333"/>
    <w:rsid w:val="664B6579"/>
    <w:rsid w:val="66585DDC"/>
    <w:rsid w:val="665B684E"/>
    <w:rsid w:val="665F4F45"/>
    <w:rsid w:val="666637E5"/>
    <w:rsid w:val="666830D4"/>
    <w:rsid w:val="666C054E"/>
    <w:rsid w:val="66743166"/>
    <w:rsid w:val="66804F0A"/>
    <w:rsid w:val="66841A7D"/>
    <w:rsid w:val="668C0FE2"/>
    <w:rsid w:val="66C171CF"/>
    <w:rsid w:val="66C60A47"/>
    <w:rsid w:val="66CC0CC0"/>
    <w:rsid w:val="66CC6B12"/>
    <w:rsid w:val="66E873F1"/>
    <w:rsid w:val="66E92B14"/>
    <w:rsid w:val="66F85585"/>
    <w:rsid w:val="670A47B4"/>
    <w:rsid w:val="673250FD"/>
    <w:rsid w:val="674F0B26"/>
    <w:rsid w:val="6766788D"/>
    <w:rsid w:val="67680E73"/>
    <w:rsid w:val="676F2033"/>
    <w:rsid w:val="6772294B"/>
    <w:rsid w:val="67724F07"/>
    <w:rsid w:val="67775266"/>
    <w:rsid w:val="679F18BE"/>
    <w:rsid w:val="67BF338B"/>
    <w:rsid w:val="67C14079"/>
    <w:rsid w:val="67CA6AB5"/>
    <w:rsid w:val="67E647D5"/>
    <w:rsid w:val="67F65017"/>
    <w:rsid w:val="67F66568"/>
    <w:rsid w:val="680622ED"/>
    <w:rsid w:val="68086326"/>
    <w:rsid w:val="68106E34"/>
    <w:rsid w:val="681C131D"/>
    <w:rsid w:val="681C6A52"/>
    <w:rsid w:val="681F3B58"/>
    <w:rsid w:val="682F5925"/>
    <w:rsid w:val="6833436F"/>
    <w:rsid w:val="683804A1"/>
    <w:rsid w:val="68392AFD"/>
    <w:rsid w:val="683B67CD"/>
    <w:rsid w:val="685B4D9E"/>
    <w:rsid w:val="685F1F20"/>
    <w:rsid w:val="68611AAA"/>
    <w:rsid w:val="686F18C2"/>
    <w:rsid w:val="68747981"/>
    <w:rsid w:val="687C7DAA"/>
    <w:rsid w:val="68804CDF"/>
    <w:rsid w:val="68856684"/>
    <w:rsid w:val="68937C92"/>
    <w:rsid w:val="689875E4"/>
    <w:rsid w:val="689D642F"/>
    <w:rsid w:val="68A1600A"/>
    <w:rsid w:val="68A71E6F"/>
    <w:rsid w:val="68B143D6"/>
    <w:rsid w:val="68BD3A55"/>
    <w:rsid w:val="68CD443D"/>
    <w:rsid w:val="68DB6D5A"/>
    <w:rsid w:val="68E557A9"/>
    <w:rsid w:val="68EA16AC"/>
    <w:rsid w:val="68F64169"/>
    <w:rsid w:val="68F650BF"/>
    <w:rsid w:val="690403F5"/>
    <w:rsid w:val="69345D36"/>
    <w:rsid w:val="69392C40"/>
    <w:rsid w:val="693A0569"/>
    <w:rsid w:val="69440808"/>
    <w:rsid w:val="694426D9"/>
    <w:rsid w:val="696D0DE5"/>
    <w:rsid w:val="696D3D99"/>
    <w:rsid w:val="698623FB"/>
    <w:rsid w:val="698C7E87"/>
    <w:rsid w:val="699008EC"/>
    <w:rsid w:val="69A734C1"/>
    <w:rsid w:val="69A83EC0"/>
    <w:rsid w:val="69BD10DA"/>
    <w:rsid w:val="69C15B0D"/>
    <w:rsid w:val="69C36284"/>
    <w:rsid w:val="69C42983"/>
    <w:rsid w:val="69C749C4"/>
    <w:rsid w:val="69CE66F8"/>
    <w:rsid w:val="69D5150E"/>
    <w:rsid w:val="69E70453"/>
    <w:rsid w:val="69EC0A67"/>
    <w:rsid w:val="69EE6339"/>
    <w:rsid w:val="6A1672F3"/>
    <w:rsid w:val="6A26498B"/>
    <w:rsid w:val="6A3B10F7"/>
    <w:rsid w:val="6A3E19CD"/>
    <w:rsid w:val="6A4228F3"/>
    <w:rsid w:val="6A425DD9"/>
    <w:rsid w:val="6A433756"/>
    <w:rsid w:val="6A4443DA"/>
    <w:rsid w:val="6A522B54"/>
    <w:rsid w:val="6A5A1C1A"/>
    <w:rsid w:val="6A5C3C32"/>
    <w:rsid w:val="6A645D64"/>
    <w:rsid w:val="6A697746"/>
    <w:rsid w:val="6A7628F3"/>
    <w:rsid w:val="6A7E09BE"/>
    <w:rsid w:val="6A842BE2"/>
    <w:rsid w:val="6A874925"/>
    <w:rsid w:val="6AA84D7A"/>
    <w:rsid w:val="6AAE45DA"/>
    <w:rsid w:val="6AC52705"/>
    <w:rsid w:val="6ACC76F9"/>
    <w:rsid w:val="6AED43F2"/>
    <w:rsid w:val="6AF167DC"/>
    <w:rsid w:val="6AFE7B71"/>
    <w:rsid w:val="6B093808"/>
    <w:rsid w:val="6B0C5176"/>
    <w:rsid w:val="6B1E3297"/>
    <w:rsid w:val="6B2440C5"/>
    <w:rsid w:val="6B2806FE"/>
    <w:rsid w:val="6B2F53B6"/>
    <w:rsid w:val="6B3B33EA"/>
    <w:rsid w:val="6B3C0C91"/>
    <w:rsid w:val="6B4B4FE9"/>
    <w:rsid w:val="6B4C398D"/>
    <w:rsid w:val="6B552E9C"/>
    <w:rsid w:val="6B66173D"/>
    <w:rsid w:val="6B6D10A4"/>
    <w:rsid w:val="6B7449F0"/>
    <w:rsid w:val="6B757B28"/>
    <w:rsid w:val="6B7606A5"/>
    <w:rsid w:val="6B9601C6"/>
    <w:rsid w:val="6B97735D"/>
    <w:rsid w:val="6B9A3B30"/>
    <w:rsid w:val="6B9A5126"/>
    <w:rsid w:val="6B9A6044"/>
    <w:rsid w:val="6B9C1196"/>
    <w:rsid w:val="6BAD5B89"/>
    <w:rsid w:val="6BAD79C8"/>
    <w:rsid w:val="6BB768E0"/>
    <w:rsid w:val="6BBC59A3"/>
    <w:rsid w:val="6BCB7828"/>
    <w:rsid w:val="6BE0605C"/>
    <w:rsid w:val="6C032301"/>
    <w:rsid w:val="6C06516F"/>
    <w:rsid w:val="6C090D96"/>
    <w:rsid w:val="6C0A0329"/>
    <w:rsid w:val="6C0D0E8F"/>
    <w:rsid w:val="6C130D21"/>
    <w:rsid w:val="6C1A131B"/>
    <w:rsid w:val="6C3D0C72"/>
    <w:rsid w:val="6C6C2732"/>
    <w:rsid w:val="6C6D0EDA"/>
    <w:rsid w:val="6C702ABD"/>
    <w:rsid w:val="6C7F2612"/>
    <w:rsid w:val="6C945C04"/>
    <w:rsid w:val="6C9D51AD"/>
    <w:rsid w:val="6CA00552"/>
    <w:rsid w:val="6CA05E09"/>
    <w:rsid w:val="6CA12604"/>
    <w:rsid w:val="6CA303FA"/>
    <w:rsid w:val="6CB5244C"/>
    <w:rsid w:val="6CC56BD9"/>
    <w:rsid w:val="6CED0290"/>
    <w:rsid w:val="6CEF1D74"/>
    <w:rsid w:val="6CF12F74"/>
    <w:rsid w:val="6CFA34E1"/>
    <w:rsid w:val="6D022EB7"/>
    <w:rsid w:val="6D041A6E"/>
    <w:rsid w:val="6D1F3C31"/>
    <w:rsid w:val="6D280125"/>
    <w:rsid w:val="6D473C19"/>
    <w:rsid w:val="6D4A0997"/>
    <w:rsid w:val="6D5354FE"/>
    <w:rsid w:val="6D5A4BFC"/>
    <w:rsid w:val="6D5D3D00"/>
    <w:rsid w:val="6D5E5408"/>
    <w:rsid w:val="6D602F1C"/>
    <w:rsid w:val="6D8A200C"/>
    <w:rsid w:val="6D923C98"/>
    <w:rsid w:val="6DAB1BF9"/>
    <w:rsid w:val="6DB25AFA"/>
    <w:rsid w:val="6DB26BBA"/>
    <w:rsid w:val="6DB95507"/>
    <w:rsid w:val="6DD277A5"/>
    <w:rsid w:val="6DDD783F"/>
    <w:rsid w:val="6DE667A5"/>
    <w:rsid w:val="6DED6D56"/>
    <w:rsid w:val="6E13531C"/>
    <w:rsid w:val="6E225C71"/>
    <w:rsid w:val="6E2539C2"/>
    <w:rsid w:val="6E2C2516"/>
    <w:rsid w:val="6E3910C0"/>
    <w:rsid w:val="6E5E2E41"/>
    <w:rsid w:val="6E631834"/>
    <w:rsid w:val="6E726AF8"/>
    <w:rsid w:val="6E8813E3"/>
    <w:rsid w:val="6E8C2DB2"/>
    <w:rsid w:val="6EC25058"/>
    <w:rsid w:val="6EC61CF6"/>
    <w:rsid w:val="6ECB1EC4"/>
    <w:rsid w:val="6ECC365F"/>
    <w:rsid w:val="6ED564D3"/>
    <w:rsid w:val="6EDE699B"/>
    <w:rsid w:val="6EE51D45"/>
    <w:rsid w:val="6EED05E4"/>
    <w:rsid w:val="6EF047D3"/>
    <w:rsid w:val="6EF37690"/>
    <w:rsid w:val="6EF664E8"/>
    <w:rsid w:val="6F0366DE"/>
    <w:rsid w:val="6F07718D"/>
    <w:rsid w:val="6F120513"/>
    <w:rsid w:val="6F16080C"/>
    <w:rsid w:val="6F1C7666"/>
    <w:rsid w:val="6F1D27A5"/>
    <w:rsid w:val="6F2E31C9"/>
    <w:rsid w:val="6F3049F7"/>
    <w:rsid w:val="6F3B3A74"/>
    <w:rsid w:val="6F5C337F"/>
    <w:rsid w:val="6F6C07D7"/>
    <w:rsid w:val="6F743DE9"/>
    <w:rsid w:val="6F760DD3"/>
    <w:rsid w:val="6F7C542B"/>
    <w:rsid w:val="6F825D0E"/>
    <w:rsid w:val="6F957162"/>
    <w:rsid w:val="6F9D6F45"/>
    <w:rsid w:val="6FA51963"/>
    <w:rsid w:val="6FAF5789"/>
    <w:rsid w:val="6FBB17DB"/>
    <w:rsid w:val="6FDB7806"/>
    <w:rsid w:val="6FE25BF2"/>
    <w:rsid w:val="6FF643E5"/>
    <w:rsid w:val="70000E70"/>
    <w:rsid w:val="70033F16"/>
    <w:rsid w:val="700B71F7"/>
    <w:rsid w:val="700C545C"/>
    <w:rsid w:val="700F394B"/>
    <w:rsid w:val="70171826"/>
    <w:rsid w:val="702C6E1A"/>
    <w:rsid w:val="70305020"/>
    <w:rsid w:val="70323AB5"/>
    <w:rsid w:val="70684704"/>
    <w:rsid w:val="70701E03"/>
    <w:rsid w:val="70801CC9"/>
    <w:rsid w:val="708710A0"/>
    <w:rsid w:val="708E7FED"/>
    <w:rsid w:val="7093378D"/>
    <w:rsid w:val="709533FA"/>
    <w:rsid w:val="70A15182"/>
    <w:rsid w:val="70AF4922"/>
    <w:rsid w:val="70B4269D"/>
    <w:rsid w:val="70BD4910"/>
    <w:rsid w:val="70C30F26"/>
    <w:rsid w:val="70CC0AF1"/>
    <w:rsid w:val="70D74D3F"/>
    <w:rsid w:val="70F72196"/>
    <w:rsid w:val="70FF65FD"/>
    <w:rsid w:val="710A4279"/>
    <w:rsid w:val="71224EF8"/>
    <w:rsid w:val="713F2BBA"/>
    <w:rsid w:val="716451E7"/>
    <w:rsid w:val="717511E7"/>
    <w:rsid w:val="717A283B"/>
    <w:rsid w:val="717D2E43"/>
    <w:rsid w:val="71815D3E"/>
    <w:rsid w:val="719A5F9C"/>
    <w:rsid w:val="71A241E2"/>
    <w:rsid w:val="71D25D8C"/>
    <w:rsid w:val="71D90B52"/>
    <w:rsid w:val="71E3203E"/>
    <w:rsid w:val="71E62627"/>
    <w:rsid w:val="71F56BD3"/>
    <w:rsid w:val="72051A5D"/>
    <w:rsid w:val="7213465D"/>
    <w:rsid w:val="721A26B2"/>
    <w:rsid w:val="72255D67"/>
    <w:rsid w:val="722A323A"/>
    <w:rsid w:val="72314B7C"/>
    <w:rsid w:val="723C091B"/>
    <w:rsid w:val="72430647"/>
    <w:rsid w:val="72466EE7"/>
    <w:rsid w:val="724E793F"/>
    <w:rsid w:val="72542B2D"/>
    <w:rsid w:val="72587118"/>
    <w:rsid w:val="72727A57"/>
    <w:rsid w:val="72817374"/>
    <w:rsid w:val="72975A78"/>
    <w:rsid w:val="72A45F8D"/>
    <w:rsid w:val="72A74C74"/>
    <w:rsid w:val="72AE5A2C"/>
    <w:rsid w:val="72B201D6"/>
    <w:rsid w:val="72B6499A"/>
    <w:rsid w:val="72BF305D"/>
    <w:rsid w:val="72D17316"/>
    <w:rsid w:val="72D56FE0"/>
    <w:rsid w:val="72DA055C"/>
    <w:rsid w:val="72EE5725"/>
    <w:rsid w:val="72FA0E4A"/>
    <w:rsid w:val="72FD5C2F"/>
    <w:rsid w:val="73056B69"/>
    <w:rsid w:val="73332F8B"/>
    <w:rsid w:val="7337658F"/>
    <w:rsid w:val="73444174"/>
    <w:rsid w:val="734451C7"/>
    <w:rsid w:val="734B6FCF"/>
    <w:rsid w:val="7360184F"/>
    <w:rsid w:val="736324B6"/>
    <w:rsid w:val="737662A6"/>
    <w:rsid w:val="737D69FE"/>
    <w:rsid w:val="738A664B"/>
    <w:rsid w:val="738C13C4"/>
    <w:rsid w:val="7398467F"/>
    <w:rsid w:val="73A543ED"/>
    <w:rsid w:val="73A93779"/>
    <w:rsid w:val="73AE24A8"/>
    <w:rsid w:val="73AF6512"/>
    <w:rsid w:val="73B003A1"/>
    <w:rsid w:val="73B16871"/>
    <w:rsid w:val="73B40D1B"/>
    <w:rsid w:val="73C419F8"/>
    <w:rsid w:val="73D20EF9"/>
    <w:rsid w:val="73E21DA2"/>
    <w:rsid w:val="73E90F92"/>
    <w:rsid w:val="73F645E2"/>
    <w:rsid w:val="73FE7574"/>
    <w:rsid w:val="7405530C"/>
    <w:rsid w:val="740E7D41"/>
    <w:rsid w:val="7418567A"/>
    <w:rsid w:val="742F5930"/>
    <w:rsid w:val="745468F9"/>
    <w:rsid w:val="74573F91"/>
    <w:rsid w:val="74596C28"/>
    <w:rsid w:val="74696591"/>
    <w:rsid w:val="746C32EF"/>
    <w:rsid w:val="74895662"/>
    <w:rsid w:val="748B79EF"/>
    <w:rsid w:val="749302A3"/>
    <w:rsid w:val="749A50E1"/>
    <w:rsid w:val="74A966D4"/>
    <w:rsid w:val="74BB3C37"/>
    <w:rsid w:val="74BE2BEC"/>
    <w:rsid w:val="74C63F70"/>
    <w:rsid w:val="74DB0D02"/>
    <w:rsid w:val="74E86408"/>
    <w:rsid w:val="74ED2CA4"/>
    <w:rsid w:val="74EF5A34"/>
    <w:rsid w:val="74F072B2"/>
    <w:rsid w:val="74F146FF"/>
    <w:rsid w:val="74F47398"/>
    <w:rsid w:val="74FA0BB1"/>
    <w:rsid w:val="75010B15"/>
    <w:rsid w:val="75051ACE"/>
    <w:rsid w:val="750C757A"/>
    <w:rsid w:val="751B7C4F"/>
    <w:rsid w:val="75226059"/>
    <w:rsid w:val="75231419"/>
    <w:rsid w:val="7523339C"/>
    <w:rsid w:val="75250F3E"/>
    <w:rsid w:val="755774F3"/>
    <w:rsid w:val="755901F1"/>
    <w:rsid w:val="755D40B4"/>
    <w:rsid w:val="75676675"/>
    <w:rsid w:val="7582409C"/>
    <w:rsid w:val="75873E04"/>
    <w:rsid w:val="75B923A6"/>
    <w:rsid w:val="75BE4064"/>
    <w:rsid w:val="75BF3FFA"/>
    <w:rsid w:val="75C3727C"/>
    <w:rsid w:val="75D10313"/>
    <w:rsid w:val="75DC64E9"/>
    <w:rsid w:val="75F15E30"/>
    <w:rsid w:val="76076D6E"/>
    <w:rsid w:val="761D4757"/>
    <w:rsid w:val="7621072D"/>
    <w:rsid w:val="765010D1"/>
    <w:rsid w:val="76734224"/>
    <w:rsid w:val="768342EB"/>
    <w:rsid w:val="769A7C70"/>
    <w:rsid w:val="76A52F4E"/>
    <w:rsid w:val="76A71FA5"/>
    <w:rsid w:val="76A84186"/>
    <w:rsid w:val="76AB1A2B"/>
    <w:rsid w:val="76B503D6"/>
    <w:rsid w:val="76BC0495"/>
    <w:rsid w:val="76BD4463"/>
    <w:rsid w:val="76DA1EB7"/>
    <w:rsid w:val="76E7633F"/>
    <w:rsid w:val="76EE5BCD"/>
    <w:rsid w:val="76F47B09"/>
    <w:rsid w:val="76F865CD"/>
    <w:rsid w:val="76FD45D4"/>
    <w:rsid w:val="77002F7A"/>
    <w:rsid w:val="770863F6"/>
    <w:rsid w:val="770F2D03"/>
    <w:rsid w:val="7722441C"/>
    <w:rsid w:val="772E2B9D"/>
    <w:rsid w:val="773430FA"/>
    <w:rsid w:val="77370C67"/>
    <w:rsid w:val="773B348C"/>
    <w:rsid w:val="773B47E6"/>
    <w:rsid w:val="77481BA1"/>
    <w:rsid w:val="77507017"/>
    <w:rsid w:val="7757187C"/>
    <w:rsid w:val="775B27F9"/>
    <w:rsid w:val="775E0F59"/>
    <w:rsid w:val="7762211C"/>
    <w:rsid w:val="77667C69"/>
    <w:rsid w:val="77772E50"/>
    <w:rsid w:val="777A0786"/>
    <w:rsid w:val="77877FCA"/>
    <w:rsid w:val="7789777B"/>
    <w:rsid w:val="77A67828"/>
    <w:rsid w:val="77BD2C83"/>
    <w:rsid w:val="77C54431"/>
    <w:rsid w:val="77C655FF"/>
    <w:rsid w:val="77CD4ED7"/>
    <w:rsid w:val="77EB50C5"/>
    <w:rsid w:val="782B3383"/>
    <w:rsid w:val="785E5C4F"/>
    <w:rsid w:val="785F3243"/>
    <w:rsid w:val="786401EB"/>
    <w:rsid w:val="78703E04"/>
    <w:rsid w:val="788006A7"/>
    <w:rsid w:val="788B0590"/>
    <w:rsid w:val="78912352"/>
    <w:rsid w:val="789655D7"/>
    <w:rsid w:val="789F7306"/>
    <w:rsid w:val="78A85057"/>
    <w:rsid w:val="78AC7D37"/>
    <w:rsid w:val="78B35CAA"/>
    <w:rsid w:val="78B8685E"/>
    <w:rsid w:val="78B9453F"/>
    <w:rsid w:val="78BD482E"/>
    <w:rsid w:val="78C42354"/>
    <w:rsid w:val="78C843AE"/>
    <w:rsid w:val="78DA3791"/>
    <w:rsid w:val="78DB4136"/>
    <w:rsid w:val="78EF2F5B"/>
    <w:rsid w:val="79037D1C"/>
    <w:rsid w:val="790B3859"/>
    <w:rsid w:val="793A1846"/>
    <w:rsid w:val="7941148A"/>
    <w:rsid w:val="79422671"/>
    <w:rsid w:val="79461446"/>
    <w:rsid w:val="79537113"/>
    <w:rsid w:val="796A4E75"/>
    <w:rsid w:val="796E15FD"/>
    <w:rsid w:val="79757582"/>
    <w:rsid w:val="798919A9"/>
    <w:rsid w:val="798A102C"/>
    <w:rsid w:val="798B1CA4"/>
    <w:rsid w:val="798D6CD1"/>
    <w:rsid w:val="79907D72"/>
    <w:rsid w:val="79976F52"/>
    <w:rsid w:val="79982BC4"/>
    <w:rsid w:val="7999472D"/>
    <w:rsid w:val="799C7C6B"/>
    <w:rsid w:val="79A526D6"/>
    <w:rsid w:val="79B4589E"/>
    <w:rsid w:val="79D400CF"/>
    <w:rsid w:val="79DC1B5B"/>
    <w:rsid w:val="79E21C03"/>
    <w:rsid w:val="79E452E5"/>
    <w:rsid w:val="79EA74B4"/>
    <w:rsid w:val="79F94DCE"/>
    <w:rsid w:val="7A072E39"/>
    <w:rsid w:val="7A0B5BB6"/>
    <w:rsid w:val="7A0D2335"/>
    <w:rsid w:val="7A11185B"/>
    <w:rsid w:val="7A2A4E8D"/>
    <w:rsid w:val="7A3208BE"/>
    <w:rsid w:val="7A3753A3"/>
    <w:rsid w:val="7A38471D"/>
    <w:rsid w:val="7A566EE9"/>
    <w:rsid w:val="7A5721CD"/>
    <w:rsid w:val="7A580140"/>
    <w:rsid w:val="7A644DC9"/>
    <w:rsid w:val="7A6A0845"/>
    <w:rsid w:val="7A6E084D"/>
    <w:rsid w:val="7A7631DC"/>
    <w:rsid w:val="7A78455B"/>
    <w:rsid w:val="7A7D393C"/>
    <w:rsid w:val="7A860F4A"/>
    <w:rsid w:val="7A98744D"/>
    <w:rsid w:val="7A993739"/>
    <w:rsid w:val="7AA21D9B"/>
    <w:rsid w:val="7AA65A70"/>
    <w:rsid w:val="7AAF69F0"/>
    <w:rsid w:val="7ACF63AE"/>
    <w:rsid w:val="7AEB4570"/>
    <w:rsid w:val="7B046CC4"/>
    <w:rsid w:val="7B22654F"/>
    <w:rsid w:val="7B292EB6"/>
    <w:rsid w:val="7B2E024A"/>
    <w:rsid w:val="7B372FA3"/>
    <w:rsid w:val="7B3B4A95"/>
    <w:rsid w:val="7B3F2BB3"/>
    <w:rsid w:val="7B40445B"/>
    <w:rsid w:val="7B4105D4"/>
    <w:rsid w:val="7B645014"/>
    <w:rsid w:val="7B6D1C02"/>
    <w:rsid w:val="7B6F7FD2"/>
    <w:rsid w:val="7B72472A"/>
    <w:rsid w:val="7B7D5281"/>
    <w:rsid w:val="7B93436D"/>
    <w:rsid w:val="7B9F789D"/>
    <w:rsid w:val="7BA119A2"/>
    <w:rsid w:val="7BA85510"/>
    <w:rsid w:val="7BAA08D9"/>
    <w:rsid w:val="7BAA30D5"/>
    <w:rsid w:val="7BAE12B5"/>
    <w:rsid w:val="7BC4401C"/>
    <w:rsid w:val="7BD722CE"/>
    <w:rsid w:val="7BE43CC1"/>
    <w:rsid w:val="7BE5742E"/>
    <w:rsid w:val="7BF62F34"/>
    <w:rsid w:val="7BF82808"/>
    <w:rsid w:val="7BFC3E20"/>
    <w:rsid w:val="7C01706A"/>
    <w:rsid w:val="7C0D5AB3"/>
    <w:rsid w:val="7C1F3983"/>
    <w:rsid w:val="7C20193F"/>
    <w:rsid w:val="7C2320CA"/>
    <w:rsid w:val="7C2E0102"/>
    <w:rsid w:val="7C323111"/>
    <w:rsid w:val="7C377FF2"/>
    <w:rsid w:val="7C4F50B4"/>
    <w:rsid w:val="7C6075BD"/>
    <w:rsid w:val="7C640E08"/>
    <w:rsid w:val="7C787A03"/>
    <w:rsid w:val="7C7A6FAC"/>
    <w:rsid w:val="7C9A6859"/>
    <w:rsid w:val="7CAF3868"/>
    <w:rsid w:val="7CC97309"/>
    <w:rsid w:val="7CCF0E3B"/>
    <w:rsid w:val="7CD46AD4"/>
    <w:rsid w:val="7CF278FE"/>
    <w:rsid w:val="7CF75DAF"/>
    <w:rsid w:val="7CFC1377"/>
    <w:rsid w:val="7D016433"/>
    <w:rsid w:val="7D0618AD"/>
    <w:rsid w:val="7D392AAB"/>
    <w:rsid w:val="7D475FA7"/>
    <w:rsid w:val="7D61771B"/>
    <w:rsid w:val="7D6872E6"/>
    <w:rsid w:val="7D7243B7"/>
    <w:rsid w:val="7D836DE5"/>
    <w:rsid w:val="7D87166B"/>
    <w:rsid w:val="7D872CB1"/>
    <w:rsid w:val="7D9956C1"/>
    <w:rsid w:val="7D9B3AFA"/>
    <w:rsid w:val="7DA4694B"/>
    <w:rsid w:val="7DB5317D"/>
    <w:rsid w:val="7DBB217B"/>
    <w:rsid w:val="7DD0120A"/>
    <w:rsid w:val="7DD1160C"/>
    <w:rsid w:val="7DE01DF7"/>
    <w:rsid w:val="7DE2205F"/>
    <w:rsid w:val="7DF11700"/>
    <w:rsid w:val="7DF14073"/>
    <w:rsid w:val="7DF16547"/>
    <w:rsid w:val="7DF870ED"/>
    <w:rsid w:val="7E0C6EA7"/>
    <w:rsid w:val="7E150F53"/>
    <w:rsid w:val="7E1829CA"/>
    <w:rsid w:val="7E1A1B03"/>
    <w:rsid w:val="7E2A2FF7"/>
    <w:rsid w:val="7E387995"/>
    <w:rsid w:val="7E462BD6"/>
    <w:rsid w:val="7E502278"/>
    <w:rsid w:val="7E6340CE"/>
    <w:rsid w:val="7E7446FF"/>
    <w:rsid w:val="7E820954"/>
    <w:rsid w:val="7E8B5707"/>
    <w:rsid w:val="7E9118B9"/>
    <w:rsid w:val="7E9D5C30"/>
    <w:rsid w:val="7EAF1993"/>
    <w:rsid w:val="7EC9288C"/>
    <w:rsid w:val="7ED469FD"/>
    <w:rsid w:val="7ED84C26"/>
    <w:rsid w:val="7ED8605E"/>
    <w:rsid w:val="7EDB06E9"/>
    <w:rsid w:val="7EDC0838"/>
    <w:rsid w:val="7EE275DD"/>
    <w:rsid w:val="7EF413C3"/>
    <w:rsid w:val="7F0A309B"/>
    <w:rsid w:val="7F0F7BA3"/>
    <w:rsid w:val="7F1A3CE1"/>
    <w:rsid w:val="7F205782"/>
    <w:rsid w:val="7F235E20"/>
    <w:rsid w:val="7F352457"/>
    <w:rsid w:val="7F3B3917"/>
    <w:rsid w:val="7F3D4F3F"/>
    <w:rsid w:val="7F497ECD"/>
    <w:rsid w:val="7F4A6426"/>
    <w:rsid w:val="7F522C75"/>
    <w:rsid w:val="7F593943"/>
    <w:rsid w:val="7F597130"/>
    <w:rsid w:val="7F695FFF"/>
    <w:rsid w:val="7F6B06D5"/>
    <w:rsid w:val="7F745860"/>
    <w:rsid w:val="7F784F97"/>
    <w:rsid w:val="7F8F4513"/>
    <w:rsid w:val="7F9E63A6"/>
    <w:rsid w:val="7F9F0BEF"/>
    <w:rsid w:val="7FA65EA9"/>
    <w:rsid w:val="7FD226F6"/>
    <w:rsid w:val="7FD54F30"/>
    <w:rsid w:val="7FD60907"/>
    <w:rsid w:val="7FD66D30"/>
    <w:rsid w:val="7FDD7DC1"/>
    <w:rsid w:val="7FDE0857"/>
    <w:rsid w:val="7FE034B8"/>
    <w:rsid w:val="7FE330F9"/>
    <w:rsid w:val="7FE70B1B"/>
    <w:rsid w:val="7FEC4252"/>
    <w:rsid w:val="7FF346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toc 2"/>
    <w:basedOn w:val="1"/>
    <w:next w:val="1"/>
    <w:unhideWhenUsed/>
    <w:qFormat/>
    <w:uiPriority w:val="39"/>
    <w:pPr>
      <w:spacing w:line="360" w:lineRule="auto"/>
      <w:jc w:val="center"/>
    </w:pPr>
    <w:rPr>
      <w:rFonts w:ascii="仿宋" w:hAnsi="仿宋" w:eastAsia="仿宋"/>
    </w:rPr>
  </w:style>
  <w:style w:type="paragraph" w:styleId="6">
    <w:name w:val="Normal (Web)"/>
    <w:basedOn w:val="1"/>
    <w:qFormat/>
    <w:uiPriority w:val="0"/>
    <w:pPr>
      <w:spacing w:beforeAutospacing="1" w:afterAutospacing="1"/>
      <w:jc w:val="left"/>
    </w:pPr>
    <w:rPr>
      <w:rFonts w:cs="Times New Roman"/>
      <w:kern w:val="0"/>
      <w:sz w:val="24"/>
    </w:rPr>
  </w:style>
  <w:style w:type="character" w:styleId="9">
    <w:name w:val="Emphasis"/>
    <w:basedOn w:val="8"/>
    <w:qFormat/>
    <w:uiPriority w:val="0"/>
    <w:rPr>
      <w:i/>
    </w:rPr>
  </w:style>
  <w:style w:type="character" w:styleId="10">
    <w:name w:val="Hyperlink"/>
    <w:basedOn w:val="8"/>
    <w:qFormat/>
    <w:uiPriority w:val="0"/>
    <w:rPr>
      <w:color w:val="0000FF"/>
      <w:u w:val="single"/>
    </w:rPr>
  </w:style>
  <w:style w:type="paragraph" w:customStyle="1" w:styleId="11">
    <w:name w:val="Other|1"/>
    <w:basedOn w:val="1"/>
    <w:qFormat/>
    <w:uiPriority w:val="0"/>
    <w:pPr>
      <w:spacing w:line="274" w:lineRule="exact"/>
    </w:pPr>
    <w:rPr>
      <w:rFonts w:ascii="宋体" w:hAnsi="宋体" w:eastAsia="宋体" w:cs="宋体"/>
      <w:sz w:val="22"/>
      <w:szCs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chart" Target="charts/chart2.xml"/><Relationship Id="rId10" Type="http://schemas.openxmlformats.org/officeDocument/2006/relationships/chart" Target="charts/chart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1518;&#21488;&#25968;&#25454;1.et"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21518;&#21488;&#25968;&#25454;1.et"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重点领域信息统计</a:t>
            </a:r>
          </a:p>
        </c:rich>
      </c:tx>
      <c:layout/>
      <c:overlay val="0"/>
      <c:spPr>
        <a:noFill/>
        <a:ln>
          <a:noFill/>
        </a:ln>
        <a:effectLst/>
      </c:spPr>
    </c:title>
    <c:autoTitleDeleted val="0"/>
    <c:plotArea>
      <c:layout/>
      <c:pieChart>
        <c:varyColors val="1"/>
        <c:ser>
          <c:idx val="0"/>
          <c:order val="0"/>
          <c:tx>
            <c:strRef>
              <c:f>[后台数据1.et]Sheet1!$M$61</c:f>
              <c:strCache>
                <c:ptCount val="1"/>
                <c:pt idx="0">
                  <c:v>信息数</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Lbls>
            <c:dLbl>
              <c:idx val="12"/>
              <c:delete val="1"/>
            </c:dLbl>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[后台数据1.et]Sheet1!$L$62:$L$82</c:f>
              <c:strCache>
                <c:ptCount val="21"/>
                <c:pt idx="0">
                  <c:v>区政府年度重点任务信息公开</c:v>
                </c:pt>
                <c:pt idx="1">
                  <c:v>审计公开</c:v>
                </c:pt>
                <c:pt idx="2">
                  <c:v>“双随机、一公开”监管</c:v>
                </c:pt>
                <c:pt idx="3">
                  <c:v>重大建设项目</c:v>
                </c:pt>
                <c:pt idx="4">
                  <c:v>公共资源配置</c:v>
                </c:pt>
                <c:pt idx="5">
                  <c:v>价格与收费</c:v>
                </c:pt>
                <c:pt idx="6">
                  <c:v>市场监管</c:v>
                </c:pt>
                <c:pt idx="7">
                  <c:v>扶贫脱困</c:v>
                </c:pt>
                <c:pt idx="8">
                  <c:v>社会救助</c:v>
                </c:pt>
                <c:pt idx="9">
                  <c:v>社会福利</c:v>
                </c:pt>
                <c:pt idx="10">
                  <c:v>社会保险</c:v>
                </c:pt>
                <c:pt idx="11">
                  <c:v>就业创业</c:v>
                </c:pt>
                <c:pt idx="12">
                  <c:v>教育信息</c:v>
                </c:pt>
                <c:pt idx="13">
                  <c:v>医疗卫生</c:v>
                </c:pt>
                <c:pt idx="14">
                  <c:v>环境保护</c:v>
                </c:pt>
                <c:pt idx="15">
                  <c:v>“河长制”工作</c:v>
                </c:pt>
                <c:pt idx="16">
                  <c:v>灾害事故救援</c:v>
                </c:pt>
                <c:pt idx="17">
                  <c:v>公共文化体育</c:v>
                </c:pt>
                <c:pt idx="18">
                  <c:v>国资国企信息</c:v>
                </c:pt>
                <c:pt idx="19">
                  <c:v>应急管理</c:v>
                </c:pt>
                <c:pt idx="20">
                  <c:v>公共企事业单位</c:v>
                </c:pt>
              </c:strCache>
            </c:strRef>
          </c:cat>
          <c:val>
            <c:numRef>
              <c:f>[后台数据1.et]Sheet1!$M$62:$M$82</c:f>
              <c:numCache>
                <c:formatCode>General</c:formatCode>
                <c:ptCount val="21"/>
                <c:pt idx="0">
                  <c:v>2</c:v>
                </c:pt>
                <c:pt idx="1">
                  <c:v>3</c:v>
                </c:pt>
                <c:pt idx="2">
                  <c:v>20</c:v>
                </c:pt>
                <c:pt idx="3">
                  <c:v>62</c:v>
                </c:pt>
                <c:pt idx="4">
                  <c:v>3</c:v>
                </c:pt>
                <c:pt idx="5">
                  <c:v>28</c:v>
                </c:pt>
                <c:pt idx="6">
                  <c:v>12</c:v>
                </c:pt>
                <c:pt idx="7">
                  <c:v>64</c:v>
                </c:pt>
                <c:pt idx="8">
                  <c:v>1</c:v>
                </c:pt>
                <c:pt idx="9">
                  <c:v>16</c:v>
                </c:pt>
                <c:pt idx="10">
                  <c:v>12</c:v>
                </c:pt>
                <c:pt idx="11">
                  <c:v>104</c:v>
                </c:pt>
                <c:pt idx="12">
                  <c:v>2</c:v>
                </c:pt>
                <c:pt idx="13">
                  <c:v>11</c:v>
                </c:pt>
                <c:pt idx="14">
                  <c:v>27</c:v>
                </c:pt>
                <c:pt idx="15">
                  <c:v>12</c:v>
                </c:pt>
                <c:pt idx="16">
                  <c:v>4</c:v>
                </c:pt>
                <c:pt idx="17">
                  <c:v>20</c:v>
                </c:pt>
                <c:pt idx="18">
                  <c:v>13</c:v>
                </c:pt>
                <c:pt idx="19">
                  <c:v>12</c:v>
                </c:pt>
                <c:pt idx="20">
                  <c:v>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重点领域信息统计</a:t>
            </a:r>
          </a:p>
        </c:rich>
      </c:tx>
      <c:layout>
        <c:manualLayout>
          <c:xMode val="edge"/>
          <c:yMode val="edge"/>
          <c:x val="0.336666666666667"/>
          <c:y val="0.0451388888888889"/>
        </c:manualLayout>
      </c:layout>
      <c:overlay val="0"/>
      <c:spPr>
        <a:noFill/>
        <a:ln>
          <a:noFill/>
        </a:ln>
        <a:effectLst/>
      </c:spPr>
    </c:title>
    <c:autoTitleDeleted val="0"/>
    <c:plotArea>
      <c:layout/>
      <c:barChart>
        <c:barDir val="col"/>
        <c:grouping val="clustered"/>
        <c:varyColors val="0"/>
        <c:ser>
          <c:idx val="0"/>
          <c:order val="0"/>
          <c:tx>
            <c:strRef>
              <c:f>[后台数据1.et]Sheet1!$M$61</c:f>
              <c:strCache>
                <c:ptCount val="1"/>
                <c:pt idx="0">
                  <c:v>信息数</c:v>
                </c:pt>
              </c:strCache>
            </c:strRef>
          </c:tx>
          <c:spPr>
            <a:solidFill>
              <a:schemeClr val="accent1">
                <a:lumMod val="75000"/>
              </a:schemeClr>
            </a:solidFill>
            <a:ln>
              <a:noFill/>
            </a:ln>
            <a:effectLst/>
          </c:spPr>
          <c:invertIfNegative val="0"/>
          <c:dLbls>
            <c:delete val="1"/>
          </c:dLbls>
          <c:cat>
            <c:strRef>
              <c:f>[后台数据1.et]Sheet1!$L$62:$L$82</c:f>
              <c:strCache>
                <c:ptCount val="21"/>
                <c:pt idx="0">
                  <c:v>区政府年度重点任务信息公开</c:v>
                </c:pt>
                <c:pt idx="1">
                  <c:v>审计公开</c:v>
                </c:pt>
                <c:pt idx="2">
                  <c:v>“双随机、一公开”监管</c:v>
                </c:pt>
                <c:pt idx="3">
                  <c:v>重大建设项目</c:v>
                </c:pt>
                <c:pt idx="4">
                  <c:v>公共资源配置</c:v>
                </c:pt>
                <c:pt idx="5">
                  <c:v>价格与收费</c:v>
                </c:pt>
                <c:pt idx="6">
                  <c:v>市场监管</c:v>
                </c:pt>
                <c:pt idx="7">
                  <c:v>扶贫脱困</c:v>
                </c:pt>
                <c:pt idx="8">
                  <c:v>社会救助</c:v>
                </c:pt>
                <c:pt idx="9">
                  <c:v>社会福利</c:v>
                </c:pt>
                <c:pt idx="10">
                  <c:v>社会保险</c:v>
                </c:pt>
                <c:pt idx="11">
                  <c:v>就业创业</c:v>
                </c:pt>
                <c:pt idx="12">
                  <c:v>教育信息</c:v>
                </c:pt>
                <c:pt idx="13">
                  <c:v>医疗卫生</c:v>
                </c:pt>
                <c:pt idx="14">
                  <c:v>环境保护</c:v>
                </c:pt>
                <c:pt idx="15">
                  <c:v>“河长制”工作</c:v>
                </c:pt>
                <c:pt idx="16">
                  <c:v>灾害事故救援</c:v>
                </c:pt>
                <c:pt idx="17">
                  <c:v>公共文化体育</c:v>
                </c:pt>
                <c:pt idx="18">
                  <c:v>国资国企信息</c:v>
                </c:pt>
                <c:pt idx="19">
                  <c:v>应急管理</c:v>
                </c:pt>
                <c:pt idx="20">
                  <c:v>公共企事业单位</c:v>
                </c:pt>
              </c:strCache>
            </c:strRef>
          </c:cat>
          <c:val>
            <c:numRef>
              <c:f>[后台数据1.et]Sheet1!$M$62:$M$82</c:f>
              <c:numCache>
                <c:formatCode>General</c:formatCode>
                <c:ptCount val="21"/>
                <c:pt idx="0">
                  <c:v>2</c:v>
                </c:pt>
                <c:pt idx="1">
                  <c:v>3</c:v>
                </c:pt>
                <c:pt idx="2">
                  <c:v>20</c:v>
                </c:pt>
                <c:pt idx="3">
                  <c:v>62</c:v>
                </c:pt>
                <c:pt idx="4">
                  <c:v>3</c:v>
                </c:pt>
                <c:pt idx="5">
                  <c:v>28</c:v>
                </c:pt>
                <c:pt idx="6">
                  <c:v>12</c:v>
                </c:pt>
                <c:pt idx="7">
                  <c:v>64</c:v>
                </c:pt>
                <c:pt idx="8">
                  <c:v>1</c:v>
                </c:pt>
                <c:pt idx="9">
                  <c:v>16</c:v>
                </c:pt>
                <c:pt idx="10">
                  <c:v>12</c:v>
                </c:pt>
                <c:pt idx="11">
                  <c:v>104</c:v>
                </c:pt>
                <c:pt idx="12">
                  <c:v>2</c:v>
                </c:pt>
                <c:pt idx="13">
                  <c:v>11</c:v>
                </c:pt>
                <c:pt idx="14">
                  <c:v>27</c:v>
                </c:pt>
                <c:pt idx="15">
                  <c:v>12</c:v>
                </c:pt>
                <c:pt idx="16">
                  <c:v>4</c:v>
                </c:pt>
                <c:pt idx="17">
                  <c:v>20</c:v>
                </c:pt>
                <c:pt idx="18">
                  <c:v>13</c:v>
                </c:pt>
                <c:pt idx="19">
                  <c:v>12</c:v>
                </c:pt>
                <c:pt idx="20">
                  <c:v>3</c:v>
                </c:pt>
              </c:numCache>
            </c:numRef>
          </c:val>
        </c:ser>
        <c:dLbls>
          <c:showLegendKey val="0"/>
          <c:showVal val="0"/>
          <c:showCatName val="0"/>
          <c:showSerName val="0"/>
          <c:showPercent val="0"/>
          <c:showBubbleSize val="0"/>
        </c:dLbls>
        <c:gapWidth val="219"/>
        <c:overlap val="-27"/>
        <c:axId val="983619957"/>
        <c:axId val="123882875"/>
      </c:barChart>
      <c:catAx>
        <c:axId val="98361995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3882875"/>
        <c:crosses val="autoZero"/>
        <c:auto val="1"/>
        <c:lblAlgn val="ctr"/>
        <c:lblOffset val="100"/>
        <c:noMultiLvlLbl val="0"/>
      </c:catAx>
      <c:valAx>
        <c:axId val="1238828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361995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Pages>
  <Words>942</Words>
  <Characters>5370</Characters>
  <Lines>44</Lines>
  <Paragraphs>12</Paragraphs>
  <TotalTime>0</TotalTime>
  <ScaleCrop>false</ScaleCrop>
  <LinksUpToDate>false</LinksUpToDate>
  <CharactersWithSpaces>6300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2019-12-13T05:37:00Z</dcterms:created>
  <dc:creator>January</dc:creator>
  <cp:lastModifiedBy>随遇而安</cp:lastModifiedBy>
  <cp:lastPrinted>2022-01-17T12:26:00Z</cp:lastPrinted>
  <dcterms:modified xsi:type="dcterms:W3CDTF">2022-02-24T06:41:15Z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KSOSaveFontToCloudKey">
    <vt:lpwstr>416147678_btnclosed</vt:lpwstr>
  </property>
  <property fmtid="{D5CDD505-2E9C-101B-9397-08002B2CF9AE}" pid="4" name="ICV">
    <vt:lpwstr>8D89950127694F3D9102058A5AD806EC</vt:lpwstr>
  </property>
</Properties>
</file>