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中小学校责任督学经常性督导主要事项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(一)校务管理和制度执行情况。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(二)招生、收费、择校情况。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(三)课程开设和课堂教学情况。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(四)学生学习、体育锻炼和课业负担情况。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(五)教师师德和专业发展情况。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(六)校园及周边安全情况，学生交通安全情况。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(七)食堂、食品、饮水及宿舍卫生情况。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(八)校风、教风、学风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建设情况。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EDC"/>
    <w:rsid w:val="003E4422"/>
    <w:rsid w:val="00615EDC"/>
    <w:rsid w:val="00D31504"/>
    <w:rsid w:val="170D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139</Characters>
  <Lines>1</Lines>
  <Paragraphs>1</Paragraphs>
  <TotalTime>3</TotalTime>
  <ScaleCrop>false</ScaleCrop>
  <LinksUpToDate>false</LinksUpToDate>
  <CharactersWithSpaces>162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2021-07-27T08:51:00Z</dcterms:created>
  <dc:creator>Administrator</dc:creator>
  <cp:lastModifiedBy>tqjtj</cp:lastModifiedBy>
  <dcterms:modified xsi:type="dcterms:W3CDTF">2021-07-28T01:58:42Z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A6AACB10B6534ACB935F627ABE52DF07</vt:lpwstr>
  </property>
</Properties>
</file>