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jc w:val="center"/>
        <w:rPr>
          <w:rFonts w:hint="eastAsia" w:ascii="方正小标宋简体" w:hAnsi="黑体" w:eastAsia="方正小标宋简体"/>
          <w:sz w:val="40"/>
          <w:szCs w:val="32"/>
        </w:rPr>
      </w:pPr>
      <w:r>
        <w:rPr>
          <w:rFonts w:hint="eastAsia" w:ascii="方正小标宋简体" w:hAnsi="黑体" w:eastAsia="方正小标宋简体"/>
          <w:sz w:val="40"/>
          <w:szCs w:val="32"/>
        </w:rPr>
        <w:t>山东省公办养老机构委托运营管理办法</w:t>
      </w:r>
    </w:p>
    <w:p>
      <w:pPr>
        <w:ind w:firstLine="0" w:firstLineChars="0"/>
        <w:jc w:val="center"/>
        <w:rPr>
          <w:rFonts w:ascii="仿宋_GB2312" w:hAnsi="黑体" w:eastAsia="仿宋_GB2312"/>
          <w:szCs w:val="32"/>
        </w:rPr>
      </w:pPr>
      <w:bookmarkStart w:id="0" w:name="_GoBack"/>
      <w:r>
        <w:rPr>
          <w:rFonts w:hint="eastAsia" w:ascii="仿宋_GB2312" w:hAnsi="黑体" w:eastAsia="仿宋_GB2312"/>
          <w:szCs w:val="32"/>
        </w:rPr>
        <w:t>鲁民〔20</w:t>
      </w:r>
      <w:r>
        <w:rPr>
          <w:rFonts w:ascii="仿宋_GB2312" w:hAnsi="黑体" w:eastAsia="仿宋_GB2312"/>
          <w:szCs w:val="32"/>
        </w:rPr>
        <w:t>20</w:t>
      </w:r>
      <w:r>
        <w:rPr>
          <w:rFonts w:hint="eastAsia" w:ascii="仿宋_GB2312" w:hAnsi="黑体" w:eastAsia="仿宋_GB2312"/>
          <w:szCs w:val="32"/>
        </w:rPr>
        <w:t>〕</w:t>
      </w:r>
      <w:r>
        <w:rPr>
          <w:rFonts w:ascii="仿宋_GB2312" w:hAnsi="黑体" w:eastAsia="仿宋_GB2312"/>
          <w:szCs w:val="32"/>
        </w:rPr>
        <w:t>35</w:t>
      </w:r>
      <w:r>
        <w:rPr>
          <w:rFonts w:hint="eastAsia" w:ascii="仿宋_GB2312" w:hAnsi="黑体" w:eastAsia="仿宋_GB2312"/>
          <w:szCs w:val="32"/>
        </w:rPr>
        <w:t>号</w:t>
      </w:r>
    </w:p>
    <w:bookmarkEnd w:id="0"/>
    <w:p>
      <w:pPr>
        <w:ind w:firstLine="0" w:firstLineChars="0"/>
        <w:jc w:val="center"/>
        <w:rPr>
          <w:rFonts w:ascii="仿宋_GB2312" w:hAnsi="黑体" w:eastAsia="仿宋_GB2312"/>
          <w:szCs w:val="32"/>
        </w:rPr>
      </w:pPr>
    </w:p>
    <w:p>
      <w:pPr>
        <w:pStyle w:val="2"/>
        <w:ind w:right="163" w:firstLine="612"/>
        <w:jc w:val="center"/>
        <w:rPr>
          <w:rFonts w:ascii="黑体" w:hAnsi="仿宋_GB2312" w:eastAsia="黑体" w:cs="仿宋_GB2312"/>
        </w:rPr>
      </w:pPr>
      <w:r>
        <w:rPr>
          <w:rFonts w:hint="eastAsia" w:ascii="黑体" w:hAnsi="黑体" w:eastAsia="黑体" w:cs="仿宋_GB2312"/>
          <w:spacing w:val="-7"/>
        </w:rPr>
        <w:t>第一</w:t>
      </w:r>
      <w:r>
        <w:rPr>
          <w:rFonts w:hint="eastAsia" w:ascii="黑体" w:hAnsi="黑体" w:eastAsia="黑体" w:cs="仿宋_GB2312"/>
        </w:rPr>
        <w:t>章</w:t>
      </w:r>
      <w:r>
        <w:rPr>
          <w:rFonts w:hint="eastAsia" w:ascii="黑体" w:hAnsi="仿宋_GB2312" w:eastAsia="黑体" w:cs="仿宋_GB2312"/>
        </w:rPr>
        <w:tab/>
      </w:r>
      <w:r>
        <w:rPr>
          <w:rFonts w:hint="eastAsia" w:ascii="黑体" w:hAnsi="黑体" w:eastAsia="黑体" w:cs="仿宋_GB2312"/>
        </w:rPr>
        <w:t>总</w:t>
      </w:r>
      <w:r>
        <w:rPr>
          <w:rFonts w:hint="eastAsia" w:ascii="黑体" w:hAnsi="仿宋_GB2312" w:eastAsia="黑体" w:cs="仿宋_GB2312"/>
        </w:rPr>
        <w:tab/>
      </w:r>
      <w:r>
        <w:rPr>
          <w:rFonts w:hint="eastAsia" w:ascii="黑体" w:hAnsi="黑体" w:eastAsia="黑体" w:cs="仿宋_GB2312"/>
        </w:rPr>
        <w:t>则</w:t>
      </w:r>
    </w:p>
    <w:p>
      <w:pPr>
        <w:pStyle w:val="2"/>
        <w:ind w:firstLine="640"/>
        <w:rPr>
          <w:rFonts w:hint="eastAsia" w:ascii="黑体" w:hAnsi="仿宋_GB2312" w:cs="仿宋_GB2312"/>
        </w:rPr>
      </w:pPr>
      <w:r>
        <w:rPr>
          <w:rFonts w:hint="eastAsia" w:ascii="黑体" w:hAnsi="仿宋_GB2312" w:cs="仿宋_GB2312"/>
        </w:rPr>
        <w:t xml:space="preserve"> </w:t>
      </w:r>
    </w:p>
    <w:p>
      <w:pPr>
        <w:pStyle w:val="2"/>
        <w:spacing w:before="9"/>
        <w:ind w:firstLine="580"/>
        <w:rPr>
          <w:rFonts w:hint="eastAsia" w:ascii="黑体" w:hAnsi="仿宋_GB2312" w:cs="仿宋_GB2312"/>
          <w:sz w:val="29"/>
          <w:szCs w:val="29"/>
        </w:rPr>
      </w:pPr>
      <w:r>
        <w:rPr>
          <w:rFonts w:hint="eastAsia" w:ascii="黑体" w:hAnsi="仿宋_GB2312" w:cs="仿宋_GB2312"/>
          <w:sz w:val="29"/>
          <w:szCs w:val="29"/>
        </w:rPr>
        <w:t xml:space="preserve"> </w:t>
      </w:r>
    </w:p>
    <w:p>
      <w:pPr>
        <w:pStyle w:val="2"/>
        <w:spacing w:line="348" w:lineRule="auto"/>
        <w:ind w:left="108" w:right="104" w:firstLine="592"/>
        <w:jc w:val="both"/>
        <w:rPr>
          <w:rFonts w:hint="eastAsia"/>
        </w:rPr>
      </w:pPr>
      <w:r>
        <w:rPr>
          <w:rFonts w:hint="eastAsia" w:ascii="黑体" w:hAnsi="黑体" w:eastAsia="黑体" w:cs="仿宋_GB2312"/>
          <w:color w:val="181818"/>
          <w:spacing w:val="-12"/>
        </w:rPr>
        <w:t>第一条</w:t>
      </w:r>
      <w:r>
        <w:rPr>
          <w:rFonts w:hint="eastAsia" w:ascii="黑体" w:hAnsi="仿宋_GB2312" w:eastAsia="黑体" w:cs="仿宋_GB2312"/>
          <w:color w:val="181818"/>
          <w:spacing w:val="-12"/>
        </w:rPr>
        <w:t xml:space="preserve"> </w:t>
      </w:r>
      <w:r>
        <w:rPr>
          <w:rFonts w:hint="eastAsia"/>
          <w:color w:val="181818"/>
          <w:spacing w:val="-8"/>
        </w:rPr>
        <w:t xml:space="preserve">为增强公办养老机构发展活力，盘活现有设施资源， </w:t>
      </w:r>
      <w:r>
        <w:rPr>
          <w:rFonts w:hint="eastAsia"/>
          <w:color w:val="181818"/>
          <w:spacing w:val="-9"/>
        </w:rPr>
        <w:t>规范委托运营行为，根据《国务院办公厅关于推进养老服务发展</w:t>
      </w:r>
      <w:r>
        <w:rPr>
          <w:rFonts w:hint="eastAsia"/>
          <w:color w:val="181818"/>
          <w:spacing w:val="-44"/>
        </w:rPr>
        <w:t>的意见》</w:t>
      </w:r>
      <w:r>
        <w:rPr>
          <w:rFonts w:hint="eastAsia"/>
          <w:color w:val="181818"/>
          <w:spacing w:val="-5"/>
        </w:rPr>
        <w:t>（</w:t>
      </w:r>
      <w:r>
        <w:rPr>
          <w:rFonts w:hint="eastAsia"/>
          <w:color w:val="181818"/>
          <w:spacing w:val="-4"/>
        </w:rPr>
        <w:t>国办发〔2019</w:t>
      </w:r>
      <w:r>
        <w:rPr>
          <w:rFonts w:hint="eastAsia"/>
          <w:color w:val="181818"/>
          <w:spacing w:val="-5"/>
        </w:rPr>
        <w:t>〕</w:t>
      </w:r>
      <w:r>
        <w:rPr>
          <w:rFonts w:hint="eastAsia"/>
          <w:color w:val="181818"/>
        </w:rPr>
        <w:t>5</w:t>
      </w:r>
      <w:r>
        <w:rPr>
          <w:rFonts w:hint="eastAsia"/>
          <w:color w:val="181818"/>
          <w:spacing w:val="-47"/>
        </w:rPr>
        <w:t xml:space="preserve"> 号</w:t>
      </w:r>
      <w:r>
        <w:rPr>
          <w:rFonts w:hint="eastAsia"/>
          <w:color w:val="181818"/>
          <w:spacing w:val="-159"/>
        </w:rPr>
        <w:t>）</w:t>
      </w:r>
      <w:r>
        <w:rPr>
          <w:rFonts w:hint="eastAsia"/>
          <w:color w:val="181818"/>
          <w:spacing w:val="-34"/>
        </w:rPr>
        <w:t>、《养老机构管理办法》</w:t>
      </w:r>
      <w:r>
        <w:rPr>
          <w:rFonts w:hint="eastAsia"/>
          <w:color w:val="181818"/>
          <w:spacing w:val="-5"/>
        </w:rPr>
        <w:t>（</w:t>
      </w:r>
      <w:r>
        <w:rPr>
          <w:rFonts w:hint="eastAsia"/>
          <w:color w:val="181818"/>
          <w:spacing w:val="-3"/>
        </w:rPr>
        <w:t>民政部</w:t>
      </w:r>
      <w:r>
        <w:rPr>
          <w:rFonts w:hint="eastAsia"/>
          <w:color w:val="181818"/>
          <w:spacing w:val="-35"/>
        </w:rPr>
        <w:t xml:space="preserve">令第 </w:t>
      </w:r>
      <w:r>
        <w:rPr>
          <w:rFonts w:hint="eastAsia"/>
          <w:color w:val="181818"/>
        </w:rPr>
        <w:t>66</w:t>
      </w:r>
      <w:r>
        <w:rPr>
          <w:rFonts w:hint="eastAsia"/>
          <w:color w:val="181818"/>
          <w:spacing w:val="-51"/>
        </w:rPr>
        <w:t xml:space="preserve"> 号</w:t>
      </w:r>
      <w:r>
        <w:rPr>
          <w:rFonts w:hint="eastAsia"/>
          <w:color w:val="181818"/>
          <w:spacing w:val="-163"/>
        </w:rPr>
        <w:t>）</w:t>
      </w:r>
      <w:r>
        <w:rPr>
          <w:rFonts w:hint="eastAsia"/>
          <w:color w:val="181818"/>
          <w:spacing w:val="-25"/>
        </w:rPr>
        <w:t>、《山东省养老服务条例》《山东省人民政府办公厅关</w:t>
      </w:r>
      <w:r>
        <w:rPr>
          <w:rFonts w:hint="eastAsia"/>
          <w:color w:val="181818"/>
          <w:spacing w:val="-16"/>
        </w:rPr>
        <w:t>于推进养老服务发展的实施意见》</w:t>
      </w:r>
      <w:r>
        <w:rPr>
          <w:rFonts w:hint="eastAsia"/>
          <w:color w:val="181818"/>
          <w:spacing w:val="-3"/>
        </w:rPr>
        <w:t>（</w:t>
      </w:r>
      <w:r>
        <w:rPr>
          <w:rFonts w:hint="eastAsia"/>
          <w:color w:val="181818"/>
          <w:spacing w:val="-5"/>
        </w:rPr>
        <w:t>鲁政办发〔</w:t>
      </w:r>
      <w:r>
        <w:rPr>
          <w:rFonts w:hint="eastAsia"/>
          <w:color w:val="181818"/>
          <w:spacing w:val="-3"/>
        </w:rPr>
        <w:t>2019</w:t>
      </w:r>
      <w:r>
        <w:rPr>
          <w:rFonts w:hint="eastAsia"/>
          <w:color w:val="181818"/>
          <w:spacing w:val="-5"/>
        </w:rPr>
        <w:t>〕</w:t>
      </w:r>
      <w:r>
        <w:rPr>
          <w:rFonts w:hint="eastAsia"/>
          <w:color w:val="181818"/>
        </w:rPr>
        <w:t>31</w:t>
      </w:r>
      <w:r>
        <w:rPr>
          <w:rFonts w:hint="eastAsia"/>
          <w:color w:val="181818"/>
          <w:spacing w:val="-48"/>
        </w:rPr>
        <w:t xml:space="preserve"> 号</w:t>
      </w:r>
      <w:r>
        <w:rPr>
          <w:rFonts w:hint="eastAsia"/>
          <w:color w:val="181818"/>
          <w:spacing w:val="-5"/>
        </w:rPr>
        <w:t>）</w:t>
      </w:r>
      <w:r>
        <w:rPr>
          <w:rFonts w:hint="eastAsia"/>
          <w:color w:val="181818"/>
        </w:rPr>
        <w:t>等</w:t>
      </w:r>
      <w:r>
        <w:rPr>
          <w:rFonts w:hint="eastAsia"/>
          <w:color w:val="181818"/>
          <w:spacing w:val="-8"/>
        </w:rPr>
        <w:t>文件精神，制定本办法。</w:t>
      </w:r>
    </w:p>
    <w:p>
      <w:pPr>
        <w:pStyle w:val="2"/>
        <w:spacing w:before="8" w:line="348" w:lineRule="auto"/>
        <w:ind w:left="108" w:right="255" w:firstLine="592"/>
        <w:jc w:val="both"/>
        <w:rPr>
          <w:rFonts w:hint="eastAsia"/>
        </w:rPr>
      </w:pPr>
      <w:r>
        <w:rPr>
          <w:rFonts w:hint="eastAsia" w:ascii="黑体" w:hAnsi="黑体" w:eastAsia="黑体" w:cs="仿宋_GB2312"/>
          <w:color w:val="181818"/>
          <w:spacing w:val="-12"/>
        </w:rPr>
        <w:t>第二条</w:t>
      </w:r>
      <w:r>
        <w:rPr>
          <w:rFonts w:hint="eastAsia" w:ascii="黑体" w:hAnsi="仿宋_GB2312" w:eastAsia="黑体" w:cs="仿宋_GB2312"/>
          <w:color w:val="181818"/>
          <w:spacing w:val="-12"/>
        </w:rPr>
        <w:t xml:space="preserve"> </w:t>
      </w:r>
      <w:r>
        <w:rPr>
          <w:rFonts w:hint="eastAsia"/>
          <w:color w:val="181818"/>
          <w:spacing w:val="-19"/>
        </w:rPr>
        <w:t>本办法所称委托运营，是指政府在不改变公办养老机</w:t>
      </w:r>
      <w:r>
        <w:rPr>
          <w:rFonts w:hint="eastAsia"/>
          <w:color w:val="181818"/>
          <w:spacing w:val="-9"/>
        </w:rPr>
        <w:t xml:space="preserve">构权属的情况下，将公办养老机构委托具备专业养老服务能力的 </w:t>
      </w:r>
      <w:r>
        <w:rPr>
          <w:rFonts w:hint="eastAsia"/>
          <w:color w:val="181818"/>
          <w:spacing w:val="-10"/>
        </w:rPr>
        <w:t>企业、社会服务机构、医疗机构等运营管理。</w:t>
      </w:r>
    </w:p>
    <w:p>
      <w:pPr>
        <w:pStyle w:val="2"/>
        <w:spacing w:before="4" w:line="348" w:lineRule="auto"/>
        <w:ind w:left="108" w:right="257" w:firstLine="608"/>
        <w:jc w:val="both"/>
        <w:rPr>
          <w:rFonts w:hint="eastAsia"/>
        </w:rPr>
      </w:pPr>
      <w:r>
        <w:rPr>
          <w:rFonts w:hint="eastAsia"/>
          <w:color w:val="181818"/>
          <w:spacing w:val="-8"/>
        </w:rPr>
        <w:t xml:space="preserve">养老机构物业、膳食等服务分项承包、委托管理的，不在本 </w:t>
      </w:r>
      <w:r>
        <w:rPr>
          <w:rFonts w:hint="eastAsia"/>
          <w:color w:val="181818"/>
          <w:spacing w:val="-7"/>
        </w:rPr>
        <w:t>办法管理范围内。</w:t>
      </w:r>
    </w:p>
    <w:p>
      <w:pPr>
        <w:pStyle w:val="2"/>
        <w:spacing w:before="3"/>
        <w:ind w:left="730" w:firstLine="640"/>
        <w:jc w:val="both"/>
        <w:rPr>
          <w:rFonts w:hint="eastAsia"/>
        </w:rPr>
      </w:pPr>
      <w:r>
        <w:rPr>
          <w:rFonts w:hint="eastAsia" w:ascii="黑体" w:hAnsi="黑体" w:eastAsia="黑体" w:cs="仿宋_GB2312"/>
          <w:color w:val="181818"/>
        </w:rPr>
        <w:t>第三条</w:t>
      </w:r>
      <w:r>
        <w:rPr>
          <w:rFonts w:hint="eastAsia" w:ascii="黑体" w:hAnsi="仿宋_GB2312" w:eastAsia="黑体" w:cs="仿宋_GB2312"/>
          <w:color w:val="181818"/>
        </w:rPr>
        <w:t xml:space="preserve"> </w:t>
      </w:r>
      <w:r>
        <w:rPr>
          <w:rFonts w:hint="eastAsia"/>
          <w:color w:val="181818"/>
        </w:rPr>
        <w:t>鼓励下列公办养老机构实施委托运营：</w:t>
      </w:r>
    </w:p>
    <w:p>
      <w:pPr>
        <w:pStyle w:val="5"/>
        <w:numPr>
          <w:ilvl w:val="0"/>
          <w:numId w:val="1"/>
        </w:numPr>
        <w:spacing w:before="190" w:line="348" w:lineRule="auto"/>
        <w:ind w:firstLine="612"/>
        <w:jc w:val="both"/>
        <w:rPr>
          <w:rFonts w:hint="eastAsia"/>
          <w:color w:val="181818"/>
          <w:sz w:val="30"/>
          <w:szCs w:val="30"/>
        </w:rPr>
      </w:pPr>
      <w:r>
        <w:rPr>
          <w:rFonts w:hint="eastAsia"/>
          <w:color w:val="181818"/>
          <w:spacing w:val="-7"/>
          <w:sz w:val="32"/>
          <w:szCs w:val="32"/>
        </w:rPr>
        <w:t>政府作为投资主体建设、购置、运营的养老机构</w:t>
      </w:r>
      <w:r>
        <w:rPr>
          <w:rFonts w:hint="eastAsia"/>
          <w:color w:val="181818"/>
          <w:spacing w:val="-5"/>
          <w:sz w:val="32"/>
          <w:szCs w:val="32"/>
        </w:rPr>
        <w:t>（</w:t>
      </w:r>
      <w:r>
        <w:rPr>
          <w:rFonts w:hint="eastAsia"/>
          <w:color w:val="181818"/>
          <w:spacing w:val="-9"/>
          <w:sz w:val="32"/>
          <w:szCs w:val="32"/>
        </w:rPr>
        <w:t xml:space="preserve">含特困 </w:t>
      </w:r>
      <w:r>
        <w:rPr>
          <w:rFonts w:hint="eastAsia"/>
          <w:color w:val="181818"/>
          <w:spacing w:val="-10"/>
          <w:sz w:val="32"/>
          <w:szCs w:val="32"/>
        </w:rPr>
        <w:t>人员供养服务机构，下同</w:t>
      </w:r>
      <w:r>
        <w:rPr>
          <w:rFonts w:hint="eastAsia"/>
          <w:color w:val="181818"/>
          <w:spacing w:val="-4"/>
          <w:sz w:val="32"/>
          <w:szCs w:val="32"/>
        </w:rPr>
        <w:t>）;</w:t>
      </w:r>
    </w:p>
    <w:p>
      <w:pPr>
        <w:pStyle w:val="5"/>
        <w:numPr>
          <w:ilvl w:val="0"/>
          <w:numId w:val="1"/>
        </w:numPr>
        <w:spacing w:line="348" w:lineRule="auto"/>
        <w:ind w:right="255" w:firstLine="608"/>
        <w:jc w:val="both"/>
        <w:rPr>
          <w:rFonts w:hint="eastAsia"/>
          <w:color w:val="181818"/>
          <w:sz w:val="30"/>
          <w:szCs w:val="30"/>
        </w:rPr>
      </w:pPr>
      <w:r>
        <w:rPr>
          <w:rFonts w:hint="eastAsia"/>
          <w:color w:val="181818"/>
          <w:spacing w:val="-8"/>
          <w:sz w:val="32"/>
          <w:szCs w:val="32"/>
        </w:rPr>
        <w:t xml:space="preserve">政府以部分固定资产作为投资吸引社会力量建设、约定期 </w:t>
      </w:r>
      <w:r>
        <w:rPr>
          <w:rFonts w:hint="eastAsia"/>
          <w:color w:val="181818"/>
          <w:spacing w:val="-9"/>
          <w:sz w:val="32"/>
          <w:szCs w:val="32"/>
        </w:rPr>
        <w:t>限后所有权归属政府所有的养老机构；</w:t>
      </w:r>
    </w:p>
    <w:p>
      <w:pPr>
        <w:pStyle w:val="5"/>
        <w:numPr>
          <w:ilvl w:val="0"/>
          <w:numId w:val="1"/>
        </w:numPr>
        <w:spacing w:before="54" w:line="348" w:lineRule="auto"/>
        <w:ind w:firstLine="608"/>
        <w:jc w:val="both"/>
        <w:rPr>
          <w:rFonts w:hint="eastAsia"/>
          <w:sz w:val="30"/>
          <w:szCs w:val="30"/>
        </w:rPr>
      </w:pPr>
      <w:r>
        <w:rPr>
          <w:rFonts w:hint="eastAsia"/>
          <w:spacing w:val="-8"/>
          <w:sz w:val="32"/>
          <w:szCs w:val="32"/>
        </w:rPr>
        <w:t>城镇居住区配建配置移交政府、备案为养老机构的社</w:t>
      </w:r>
      <w:r>
        <w:rPr>
          <w:rFonts w:hint="eastAsia"/>
          <w:color w:val="181818"/>
          <w:spacing w:val="-10"/>
          <w:sz w:val="32"/>
          <w:szCs w:val="32"/>
        </w:rPr>
        <w:t xml:space="preserve">区养 </w:t>
      </w:r>
      <w:r>
        <w:rPr>
          <w:rFonts w:hint="eastAsia"/>
          <w:color w:val="181818"/>
          <w:spacing w:val="-6"/>
          <w:sz w:val="32"/>
          <w:szCs w:val="32"/>
        </w:rPr>
        <w:t>老服务设施；</w:t>
      </w:r>
    </w:p>
    <w:p>
      <w:pPr>
        <w:pStyle w:val="5"/>
        <w:numPr>
          <w:ilvl w:val="0"/>
          <w:numId w:val="1"/>
        </w:numPr>
        <w:ind w:left="142" w:right="0" w:firstLine="608"/>
        <w:jc w:val="both"/>
        <w:rPr>
          <w:rFonts w:hint="eastAsia"/>
          <w:color w:val="181818"/>
          <w:sz w:val="30"/>
          <w:szCs w:val="30"/>
        </w:rPr>
      </w:pPr>
      <w:r>
        <w:rPr>
          <w:rFonts w:hint="eastAsia"/>
          <w:spacing w:val="-8"/>
          <w:sz w:val="32"/>
          <w:szCs w:val="32"/>
        </w:rPr>
        <w:t>政府利用其他设施改建的</w:t>
      </w:r>
      <w:r>
        <w:rPr>
          <w:rFonts w:hint="eastAsia"/>
          <w:color w:val="181818"/>
          <w:spacing w:val="-6"/>
          <w:sz w:val="32"/>
          <w:szCs w:val="32"/>
        </w:rPr>
        <w:t>养老机构。</w:t>
      </w:r>
    </w:p>
    <w:p>
      <w:pPr>
        <w:pStyle w:val="2"/>
        <w:spacing w:before="190" w:line="348" w:lineRule="auto"/>
        <w:ind w:left="108" w:right="255" w:firstLine="592"/>
        <w:jc w:val="both"/>
        <w:rPr>
          <w:rFonts w:hint="eastAsia"/>
        </w:rPr>
      </w:pPr>
      <w:r>
        <w:rPr>
          <w:rFonts w:hint="eastAsia" w:ascii="黑体" w:hAnsi="黑体" w:eastAsia="黑体" w:cs="仿宋_GB2312"/>
          <w:color w:val="181818"/>
          <w:spacing w:val="-12"/>
        </w:rPr>
        <w:t>第四条</w:t>
      </w:r>
      <w:r>
        <w:rPr>
          <w:rFonts w:hint="eastAsia" w:ascii="黑体" w:hAnsi="仿宋_GB2312" w:eastAsia="黑体" w:cs="仿宋_GB2312"/>
          <w:color w:val="181818"/>
          <w:spacing w:val="-12"/>
        </w:rPr>
        <w:t xml:space="preserve"> </w:t>
      </w:r>
      <w:r>
        <w:rPr>
          <w:rFonts w:hint="eastAsia"/>
          <w:color w:val="181818"/>
          <w:spacing w:val="-7"/>
        </w:rPr>
        <w:t>公办</w:t>
      </w:r>
      <w:r>
        <w:rPr>
          <w:rFonts w:hint="eastAsia"/>
          <w:spacing w:val="-21"/>
        </w:rPr>
        <w:t>养老机构实施委托运营，</w:t>
      </w:r>
      <w:r>
        <w:rPr>
          <w:rFonts w:hint="eastAsia"/>
          <w:color w:val="181818"/>
          <w:spacing w:val="-8"/>
        </w:rPr>
        <w:t>应当坚持服务用途不改</w:t>
      </w:r>
      <w:r>
        <w:rPr>
          <w:rFonts w:hint="eastAsia"/>
          <w:color w:val="181818"/>
          <w:spacing w:val="-7"/>
        </w:rPr>
        <w:t>变、</w:t>
      </w:r>
      <w:r>
        <w:rPr>
          <w:rFonts w:hint="eastAsia"/>
          <w:spacing w:val="-7"/>
        </w:rPr>
        <w:t>国</w:t>
      </w:r>
      <w:r>
        <w:rPr>
          <w:rFonts w:hint="eastAsia"/>
          <w:color w:val="181818"/>
          <w:spacing w:val="-7"/>
        </w:rPr>
        <w:t>有资产不流失、业务监管不缺失、服务水平</w:t>
      </w:r>
      <w:r>
        <w:rPr>
          <w:rFonts w:hint="eastAsia"/>
          <w:spacing w:val="-7"/>
        </w:rPr>
        <w:t>有提高</w:t>
      </w:r>
      <w:r>
        <w:rPr>
          <w:rFonts w:hint="eastAsia"/>
          <w:color w:val="181818"/>
          <w:spacing w:val="-7"/>
        </w:rPr>
        <w:t>。</w:t>
      </w:r>
      <w:r>
        <w:rPr>
          <w:rFonts w:hint="eastAsia"/>
          <w:spacing w:val="-10"/>
        </w:rPr>
        <w:t xml:space="preserve">公办  </w:t>
      </w:r>
      <w:r>
        <w:rPr>
          <w:rFonts w:hint="eastAsia"/>
          <w:spacing w:val="-7"/>
        </w:rPr>
        <w:t>养老机构实施委托运营后，</w:t>
      </w:r>
      <w:r>
        <w:rPr>
          <w:rFonts w:hint="eastAsia"/>
          <w:color w:val="181818"/>
          <w:spacing w:val="-8"/>
        </w:rPr>
        <w:t>应当继续发挥兜底保障作用，在满足  特困人员集中</w:t>
      </w:r>
      <w:r>
        <w:rPr>
          <w:rFonts w:hint="eastAsia"/>
          <w:spacing w:val="-7"/>
        </w:rPr>
        <w:t>供养需求的前提下，</w:t>
      </w:r>
      <w:r>
        <w:rPr>
          <w:rFonts w:hint="eastAsia"/>
          <w:color w:val="181818"/>
          <w:spacing w:val="-8"/>
        </w:rPr>
        <w:t xml:space="preserve">优先保障经济困难的孤寡、失 </w:t>
      </w:r>
      <w:r>
        <w:rPr>
          <w:rFonts w:hint="eastAsia"/>
          <w:color w:val="181818"/>
          <w:spacing w:val="-9"/>
        </w:rPr>
        <w:t>能、高龄、计划生育特殊家庭等老年人的服务需求。</w:t>
      </w:r>
    </w:p>
    <w:p>
      <w:pPr>
        <w:pStyle w:val="2"/>
        <w:spacing w:before="7" w:line="348" w:lineRule="auto"/>
        <w:ind w:left="108" w:right="255" w:firstLine="592"/>
        <w:jc w:val="both"/>
        <w:rPr>
          <w:rFonts w:hint="eastAsia"/>
        </w:rPr>
      </w:pPr>
      <w:r>
        <w:rPr>
          <w:rFonts w:hint="eastAsia" w:ascii="黑体" w:hAnsi="黑体" w:eastAsia="黑体" w:cs="仿宋_GB2312"/>
          <w:color w:val="181818"/>
          <w:spacing w:val="-12"/>
        </w:rPr>
        <w:t>第五条</w:t>
      </w:r>
      <w:r>
        <w:rPr>
          <w:rFonts w:hint="eastAsia" w:ascii="黑体" w:hAnsi="仿宋_GB2312" w:eastAsia="黑体" w:cs="仿宋_GB2312"/>
          <w:color w:val="181818"/>
          <w:spacing w:val="-12"/>
        </w:rPr>
        <w:t xml:space="preserve"> </w:t>
      </w:r>
      <w:r>
        <w:rPr>
          <w:rFonts w:hint="eastAsia"/>
          <w:color w:val="181818"/>
          <w:spacing w:val="-19"/>
        </w:rPr>
        <w:t>各级民政部门按照属地管理原则，负责本辖区内公办</w:t>
      </w:r>
      <w:r>
        <w:rPr>
          <w:rFonts w:hint="eastAsia"/>
          <w:color w:val="181818"/>
          <w:spacing w:val="-10"/>
        </w:rPr>
        <w:t>养老机构委托运营的组织实施和监督管理工作。</w:t>
      </w:r>
    </w:p>
    <w:p>
      <w:pPr>
        <w:pStyle w:val="2"/>
        <w:spacing w:before="1"/>
        <w:ind w:firstLine="940"/>
        <w:jc w:val="both"/>
        <w:rPr>
          <w:rFonts w:hint="eastAsia"/>
          <w:sz w:val="47"/>
          <w:szCs w:val="47"/>
        </w:rPr>
      </w:pPr>
      <w:r>
        <w:rPr>
          <w:rFonts w:hint="eastAsia"/>
          <w:sz w:val="47"/>
          <w:szCs w:val="47"/>
        </w:rPr>
        <w:t xml:space="preserve"> </w:t>
      </w:r>
    </w:p>
    <w:p>
      <w:pPr>
        <w:pStyle w:val="2"/>
        <w:ind w:right="163" w:firstLine="612"/>
        <w:jc w:val="center"/>
        <w:rPr>
          <w:rFonts w:hint="eastAsia" w:ascii="黑体" w:hAnsi="仿宋_GB2312" w:eastAsia="黑体" w:cs="仿宋_GB2312"/>
        </w:rPr>
      </w:pPr>
      <w:r>
        <w:rPr>
          <w:rFonts w:hint="eastAsia" w:ascii="黑体" w:hAnsi="黑体" w:eastAsia="黑体" w:cs="仿宋_GB2312"/>
          <w:spacing w:val="-7"/>
        </w:rPr>
        <w:t>第二</w:t>
      </w:r>
      <w:r>
        <w:rPr>
          <w:rFonts w:hint="eastAsia" w:ascii="黑体" w:hAnsi="黑体" w:eastAsia="黑体" w:cs="仿宋_GB2312"/>
        </w:rPr>
        <w:t>章</w:t>
      </w:r>
      <w:r>
        <w:rPr>
          <w:rFonts w:hint="eastAsia" w:ascii="黑体" w:hAnsi="仿宋_GB2312" w:eastAsia="黑体" w:cs="仿宋_GB2312"/>
        </w:rPr>
        <w:tab/>
      </w:r>
      <w:r>
        <w:rPr>
          <w:rFonts w:hint="eastAsia" w:ascii="黑体" w:hAnsi="黑体" w:eastAsia="黑体" w:cs="仿宋_GB2312"/>
          <w:spacing w:val="-7"/>
        </w:rPr>
        <w:t>组织实</w:t>
      </w:r>
      <w:r>
        <w:rPr>
          <w:rFonts w:hint="eastAsia" w:ascii="黑体" w:hAnsi="黑体" w:eastAsia="黑体" w:cs="仿宋_GB2312"/>
        </w:rPr>
        <w:t>施</w:t>
      </w:r>
    </w:p>
    <w:p>
      <w:pPr>
        <w:pStyle w:val="2"/>
        <w:ind w:firstLine="640"/>
        <w:jc w:val="both"/>
        <w:rPr>
          <w:rFonts w:hint="eastAsia" w:ascii="黑体" w:hAnsi="仿宋_GB2312" w:cs="仿宋_GB2312"/>
        </w:rPr>
      </w:pPr>
      <w:r>
        <w:rPr>
          <w:rFonts w:hint="eastAsia" w:ascii="黑体" w:hAnsi="仿宋_GB2312" w:cs="仿宋_GB2312"/>
        </w:rPr>
        <w:t xml:space="preserve"> </w:t>
      </w:r>
    </w:p>
    <w:p>
      <w:pPr>
        <w:pStyle w:val="2"/>
        <w:spacing w:before="8"/>
        <w:ind w:firstLine="580"/>
        <w:jc w:val="both"/>
        <w:rPr>
          <w:rFonts w:hint="eastAsia" w:ascii="黑体" w:hAnsi="仿宋_GB2312" w:cs="仿宋_GB2312"/>
          <w:sz w:val="29"/>
          <w:szCs w:val="29"/>
        </w:rPr>
      </w:pPr>
      <w:r>
        <w:rPr>
          <w:rFonts w:hint="eastAsia" w:ascii="黑体" w:hAnsi="仿宋_GB2312" w:cs="仿宋_GB2312"/>
          <w:sz w:val="29"/>
          <w:szCs w:val="29"/>
        </w:rPr>
        <w:t xml:space="preserve"> </w:t>
      </w:r>
    </w:p>
    <w:p>
      <w:pPr>
        <w:pStyle w:val="2"/>
        <w:spacing w:line="348" w:lineRule="auto"/>
        <w:ind w:left="108" w:right="255" w:firstLine="588"/>
        <w:jc w:val="both"/>
        <w:rPr>
          <w:rFonts w:hint="eastAsia"/>
        </w:rPr>
      </w:pPr>
      <w:r>
        <w:rPr>
          <w:rFonts w:hint="eastAsia" w:ascii="黑体" w:hAnsi="黑体" w:eastAsia="黑体" w:cs="仿宋_GB2312"/>
          <w:spacing w:val="-13"/>
        </w:rPr>
        <w:t xml:space="preserve">第六条 </w:t>
      </w:r>
      <w:r>
        <w:rPr>
          <w:rFonts w:hint="eastAsia"/>
          <w:spacing w:val="-27"/>
        </w:rPr>
        <w:t>实施委托运营前，公办养老机构委托方</w:t>
      </w:r>
      <w:r>
        <w:rPr>
          <w:rFonts w:hint="eastAsia"/>
          <w:spacing w:val="-7"/>
        </w:rPr>
        <w:t>（</w:t>
      </w:r>
      <w:r>
        <w:rPr>
          <w:rFonts w:hint="eastAsia"/>
          <w:spacing w:val="-8"/>
        </w:rPr>
        <w:t>以下简称</w:t>
      </w:r>
      <w:r>
        <w:rPr>
          <w:rFonts w:ascii="Times New Roman" w:hAnsi="Times New Roman" w:cs="仿宋_GB2312"/>
          <w:spacing w:val="-3"/>
        </w:rPr>
        <w:t>“</w:t>
      </w:r>
      <w:r>
        <w:rPr>
          <w:rFonts w:hint="eastAsia"/>
        </w:rPr>
        <w:t>委</w:t>
      </w:r>
      <w:r>
        <w:rPr>
          <w:rFonts w:hint="eastAsia"/>
          <w:spacing w:val="-7"/>
        </w:rPr>
        <w:t>托方</w:t>
      </w:r>
      <w:r>
        <w:rPr>
          <w:rFonts w:ascii="Times New Roman" w:hAnsi="Times New Roman" w:cs="仿宋_GB2312"/>
          <w:spacing w:val="-40"/>
        </w:rPr>
        <w:t>”</w:t>
      </w:r>
      <w:r>
        <w:rPr>
          <w:rFonts w:hint="eastAsia"/>
          <w:spacing w:val="-40"/>
        </w:rPr>
        <w:t>）</w:t>
      </w:r>
      <w:r>
        <w:rPr>
          <w:rFonts w:hint="eastAsia"/>
          <w:spacing w:val="-15"/>
        </w:rPr>
        <w:t xml:space="preserve">应当进行资产清查，并委托具有资质的第三方中介机构出  </w:t>
      </w:r>
      <w:r>
        <w:rPr>
          <w:rFonts w:hint="eastAsia"/>
          <w:spacing w:val="-8"/>
        </w:rPr>
        <w:t xml:space="preserve">具资产评估报告。在此基础上，制定委托运营实施方案，形成可  </w:t>
      </w:r>
      <w:r>
        <w:rPr>
          <w:rFonts w:hint="eastAsia"/>
          <w:spacing w:val="-7"/>
        </w:rPr>
        <w:t>行性报告，经同级民政部门批准后组织实施。乡镇（</w:t>
      </w:r>
      <w:r>
        <w:rPr>
          <w:rFonts w:hint="eastAsia"/>
          <w:spacing w:val="-6"/>
        </w:rPr>
        <w:t>街道</w:t>
      </w:r>
      <w:r>
        <w:rPr>
          <w:rFonts w:hint="eastAsia"/>
          <w:spacing w:val="-7"/>
        </w:rPr>
        <w:t>）</w:t>
      </w:r>
      <w:r>
        <w:rPr>
          <w:rFonts w:hint="eastAsia"/>
          <w:spacing w:val="-11"/>
        </w:rPr>
        <w:t xml:space="preserve">所属 </w:t>
      </w:r>
      <w:r>
        <w:rPr>
          <w:rFonts w:hint="eastAsia"/>
          <w:spacing w:val="-9"/>
        </w:rPr>
        <w:t>公办养老机构应报经县级民政部门批准。</w:t>
      </w:r>
    </w:p>
    <w:p>
      <w:pPr>
        <w:pStyle w:val="2"/>
        <w:spacing w:before="7" w:line="348" w:lineRule="auto"/>
        <w:ind w:left="108" w:right="255" w:firstLine="592"/>
        <w:jc w:val="both"/>
        <w:rPr>
          <w:rFonts w:hint="eastAsia"/>
        </w:rPr>
      </w:pPr>
      <w:r>
        <w:rPr>
          <w:rFonts w:hint="eastAsia" w:ascii="黑体" w:hAnsi="黑体" w:eastAsia="黑体" w:cs="仿宋_GB2312"/>
          <w:spacing w:val="-12"/>
        </w:rPr>
        <w:t>第七条</w:t>
      </w:r>
      <w:r>
        <w:rPr>
          <w:rFonts w:hint="eastAsia" w:ascii="黑体" w:hAnsi="仿宋_GB2312" w:eastAsia="黑体" w:cs="仿宋_GB2312"/>
          <w:spacing w:val="-12"/>
        </w:rPr>
        <w:t xml:space="preserve"> </w:t>
      </w:r>
      <w:r>
        <w:rPr>
          <w:rFonts w:hint="eastAsia"/>
          <w:spacing w:val="-16"/>
        </w:rPr>
        <w:t>委托方应当采取公开招标等竞争性方式，委托具备招</w:t>
      </w:r>
      <w:r>
        <w:rPr>
          <w:rFonts w:hint="eastAsia"/>
          <w:spacing w:val="-8"/>
        </w:rPr>
        <w:t>标资质的专业机构组织招标，公开、公平、公正、择优选择运营</w:t>
      </w:r>
      <w:r>
        <w:rPr>
          <w:rFonts w:hint="eastAsia"/>
          <w:spacing w:val="-4"/>
        </w:rPr>
        <w:t>方。</w:t>
      </w:r>
    </w:p>
    <w:p>
      <w:pPr>
        <w:pStyle w:val="2"/>
        <w:spacing w:before="4"/>
        <w:ind w:left="142" w:firstLine="640"/>
        <w:jc w:val="both"/>
        <w:rPr>
          <w:rFonts w:hint="eastAsia"/>
        </w:rPr>
      </w:pPr>
      <w:r>
        <w:rPr>
          <w:rFonts w:hint="eastAsia"/>
        </w:rPr>
        <w:t>受规模较小等因素制约、无法通过公开招标方式确定运营方的公办养老机构，经县级民政部门批准，可以采用其他竞争性方式委托运营，并按照本办法要求签订合同、明确权责、加强监管。</w:t>
      </w:r>
    </w:p>
    <w:p>
      <w:pPr>
        <w:pStyle w:val="2"/>
        <w:spacing w:before="3" w:line="348" w:lineRule="auto"/>
        <w:ind w:left="108" w:right="255" w:firstLine="616"/>
        <w:jc w:val="both"/>
        <w:rPr>
          <w:rFonts w:hint="eastAsia"/>
        </w:rPr>
      </w:pPr>
      <w:r>
        <w:rPr>
          <w:rFonts w:hint="eastAsia" w:ascii="黑体" w:hAnsi="黑体" w:eastAsia="黑体" w:cs="仿宋_GB2312"/>
          <w:spacing w:val="-6"/>
        </w:rPr>
        <w:t>第八条</w:t>
      </w:r>
      <w:r>
        <w:rPr>
          <w:rFonts w:hint="eastAsia" w:ascii="黑体" w:hAnsi="仿宋_GB2312" w:eastAsia="黑体" w:cs="仿宋_GB2312"/>
          <w:spacing w:val="-6"/>
        </w:rPr>
        <w:t xml:space="preserve"> </w:t>
      </w:r>
      <w:r>
        <w:rPr>
          <w:rFonts w:hint="eastAsia"/>
          <w:spacing w:val="-2"/>
        </w:rPr>
        <w:t>委托方负责组织拟制招标文件，向社会发布招标公</w:t>
      </w:r>
      <w:r>
        <w:rPr>
          <w:rFonts w:hint="eastAsia"/>
          <w:spacing w:val="-8"/>
        </w:rPr>
        <w:t xml:space="preserve">告。招标文件应包含招投标方案、投标须知、资格审查、评审标  准、投标文件格式、合同条款等内容，并规定投标方不得以他人  名义投标，中标后不得转让、转包。其中，合同应当包含以下内 </w:t>
      </w:r>
      <w:r>
        <w:rPr>
          <w:rFonts w:hint="eastAsia"/>
          <w:spacing w:val="-4"/>
        </w:rPr>
        <w:t>容：</w:t>
      </w:r>
    </w:p>
    <w:p>
      <w:pPr>
        <w:pStyle w:val="2"/>
        <w:spacing w:before="7" w:line="348" w:lineRule="auto"/>
        <w:ind w:left="108" w:right="101" w:firstLine="612"/>
        <w:jc w:val="both"/>
        <w:rPr>
          <w:rFonts w:hint="eastAsia"/>
        </w:rPr>
      </w:pPr>
      <w:r>
        <w:rPr>
          <w:rFonts w:hint="eastAsia"/>
          <w:spacing w:val="-7"/>
        </w:rPr>
        <w:t>（一</w:t>
      </w:r>
      <w:r>
        <w:rPr>
          <w:rFonts w:hint="eastAsia"/>
          <w:spacing w:val="-58"/>
        </w:rPr>
        <w:t>）</w:t>
      </w:r>
      <w:r>
        <w:rPr>
          <w:rFonts w:hint="eastAsia"/>
          <w:spacing w:val="-14"/>
        </w:rPr>
        <w:t xml:space="preserve">明确委托运营设施的基本情况、合同范围、服务事项、 </w:t>
      </w:r>
      <w:r>
        <w:rPr>
          <w:rFonts w:hint="eastAsia"/>
          <w:spacing w:val="-20"/>
        </w:rPr>
        <w:t xml:space="preserve">服务质量承诺、双方投入资产、合作期限、权利义务、费用缴纳、  </w:t>
      </w:r>
      <w:r>
        <w:rPr>
          <w:rFonts w:hint="eastAsia"/>
          <w:spacing w:val="-22"/>
        </w:rPr>
        <w:t>设施运营与移交、变更终止、违约责任等，并附相关资产明细表；</w:t>
      </w:r>
    </w:p>
    <w:p>
      <w:pPr>
        <w:pStyle w:val="2"/>
        <w:spacing w:before="4" w:line="348" w:lineRule="auto"/>
        <w:ind w:left="108" w:right="257" w:firstLine="612"/>
        <w:jc w:val="both"/>
        <w:rPr>
          <w:rFonts w:hint="eastAsia"/>
        </w:rPr>
      </w:pPr>
      <w:r>
        <w:rPr>
          <w:rFonts w:hint="eastAsia"/>
          <w:spacing w:val="-7"/>
        </w:rPr>
        <w:t>（</w:t>
      </w:r>
      <w:r>
        <w:rPr>
          <w:rFonts w:hint="eastAsia"/>
          <w:spacing w:val="-5"/>
        </w:rPr>
        <w:t>二</w:t>
      </w:r>
      <w:r>
        <w:rPr>
          <w:rFonts w:hint="eastAsia"/>
          <w:spacing w:val="-7"/>
        </w:rPr>
        <w:t>）</w:t>
      </w:r>
      <w:r>
        <w:rPr>
          <w:rFonts w:hint="eastAsia"/>
          <w:spacing w:val="-8"/>
        </w:rPr>
        <w:t xml:space="preserve">明确当地特困老年人等政府兜底保障服务对象的保障 </w:t>
      </w:r>
      <w:r>
        <w:rPr>
          <w:rFonts w:hint="eastAsia"/>
          <w:spacing w:val="-5"/>
        </w:rPr>
        <w:t>事宜；</w:t>
      </w:r>
    </w:p>
    <w:p>
      <w:pPr>
        <w:pStyle w:val="2"/>
        <w:spacing w:before="3" w:line="348" w:lineRule="auto"/>
        <w:ind w:left="108" w:right="257" w:firstLine="612"/>
        <w:jc w:val="both"/>
        <w:rPr>
          <w:rFonts w:hint="eastAsia"/>
        </w:rPr>
      </w:pPr>
      <w:r>
        <w:rPr>
          <w:rFonts w:hint="eastAsia"/>
          <w:spacing w:val="-7"/>
        </w:rPr>
        <w:t>（三</w:t>
      </w:r>
      <w:r>
        <w:rPr>
          <w:rFonts w:hint="eastAsia"/>
          <w:spacing w:val="-46"/>
        </w:rPr>
        <w:t>）</w:t>
      </w:r>
      <w:r>
        <w:rPr>
          <w:rFonts w:hint="eastAsia"/>
          <w:spacing w:val="-13"/>
        </w:rPr>
        <w:t>明确设施使用费</w:t>
      </w:r>
      <w:r>
        <w:rPr>
          <w:rFonts w:hint="eastAsia"/>
          <w:spacing w:val="-7"/>
        </w:rPr>
        <w:t>（</w:t>
      </w:r>
      <w:r>
        <w:rPr>
          <w:rFonts w:hint="eastAsia"/>
          <w:spacing w:val="-6"/>
        </w:rPr>
        <w:t>租金</w:t>
      </w:r>
      <w:r>
        <w:rPr>
          <w:rFonts w:hint="eastAsia"/>
          <w:spacing w:val="-163"/>
        </w:rPr>
        <w:t>）</w:t>
      </w:r>
      <w:r>
        <w:rPr>
          <w:rFonts w:hint="eastAsia"/>
          <w:spacing w:val="-16"/>
        </w:rPr>
        <w:t xml:space="preserve">、风险保障金事宜，以及减免 </w:t>
      </w:r>
      <w:r>
        <w:rPr>
          <w:rFonts w:hint="eastAsia"/>
          <w:spacing w:val="-8"/>
        </w:rPr>
        <w:t>设施使用费(租金)的具体年限；</w:t>
      </w:r>
    </w:p>
    <w:p>
      <w:pPr>
        <w:pStyle w:val="2"/>
        <w:spacing w:before="3"/>
        <w:ind w:left="142" w:firstLine="640"/>
        <w:jc w:val="both"/>
        <w:rPr>
          <w:rFonts w:hint="eastAsia"/>
        </w:rPr>
      </w:pPr>
      <w:r>
        <w:rPr>
          <w:rFonts w:hint="eastAsia"/>
        </w:rPr>
        <w:t>（四）需要约定的其他内容。</w:t>
      </w:r>
    </w:p>
    <w:p>
      <w:pPr>
        <w:pStyle w:val="2"/>
        <w:spacing w:before="190"/>
        <w:ind w:left="142" w:firstLine="640"/>
        <w:jc w:val="both"/>
        <w:rPr>
          <w:rFonts w:hint="eastAsia"/>
        </w:rPr>
      </w:pPr>
      <w:r>
        <w:rPr>
          <w:rFonts w:hint="eastAsia" w:ascii="黑体" w:hAnsi="黑体" w:eastAsia="黑体" w:cs="仿宋_GB2312"/>
        </w:rPr>
        <w:t>第九条</w:t>
      </w:r>
      <w:r>
        <w:rPr>
          <w:rFonts w:hint="eastAsia" w:ascii="黑体" w:hAnsi="仿宋_GB2312" w:eastAsia="黑体" w:cs="仿宋_GB2312"/>
        </w:rPr>
        <w:t xml:space="preserve"> </w:t>
      </w:r>
      <w:r>
        <w:rPr>
          <w:rFonts w:hint="eastAsia"/>
        </w:rPr>
        <w:t>投标方应当具备以下条件：</w:t>
      </w:r>
    </w:p>
    <w:p>
      <w:pPr>
        <w:pStyle w:val="2"/>
        <w:spacing w:before="190"/>
        <w:ind w:firstLine="640"/>
        <w:jc w:val="both"/>
        <w:rPr>
          <w:rFonts w:hint="eastAsia"/>
        </w:rPr>
      </w:pPr>
      <w:r>
        <w:rPr>
          <w:rFonts w:hint="eastAsia"/>
        </w:rPr>
        <w:t>（一）具有独立法人资格；</w:t>
      </w:r>
    </w:p>
    <w:p>
      <w:pPr>
        <w:pStyle w:val="2"/>
        <w:spacing w:before="190" w:line="348" w:lineRule="auto"/>
        <w:ind w:left="108" w:right="279" w:firstLine="612"/>
        <w:jc w:val="both"/>
        <w:rPr>
          <w:rFonts w:hint="eastAsia"/>
        </w:rPr>
      </w:pPr>
      <w:r>
        <w:rPr>
          <w:rFonts w:hint="eastAsia"/>
          <w:spacing w:val="-7"/>
        </w:rPr>
        <w:t>（二）</w:t>
      </w:r>
      <w:r>
        <w:rPr>
          <w:rFonts w:hint="eastAsia"/>
          <w:spacing w:val="-10"/>
        </w:rPr>
        <w:t xml:space="preserve">具有专业养老服务团队和比较丰富的养老服务管理经 </w:t>
      </w:r>
      <w:r>
        <w:rPr>
          <w:rFonts w:hint="eastAsia"/>
          <w:spacing w:val="-4"/>
        </w:rPr>
        <w:t>验；</w:t>
      </w:r>
    </w:p>
    <w:p>
      <w:pPr>
        <w:pStyle w:val="2"/>
        <w:spacing w:before="3"/>
        <w:ind w:left="730" w:firstLine="640"/>
        <w:jc w:val="both"/>
        <w:rPr>
          <w:rFonts w:hint="eastAsia"/>
        </w:rPr>
      </w:pPr>
      <w:r>
        <w:rPr>
          <w:rFonts w:hint="eastAsia"/>
        </w:rPr>
        <w:t>（三）具有与其服务内容和规模相适应的经济实力；</w:t>
      </w:r>
    </w:p>
    <w:p>
      <w:pPr>
        <w:pStyle w:val="2"/>
        <w:spacing w:before="190"/>
        <w:ind w:left="730" w:firstLine="640"/>
        <w:jc w:val="both"/>
        <w:rPr>
          <w:rFonts w:hint="eastAsia"/>
        </w:rPr>
      </w:pPr>
      <w:r>
        <w:rPr>
          <w:rFonts w:hint="eastAsia"/>
        </w:rPr>
        <w:t>（四）无违法违规和失信记录；</w:t>
      </w:r>
    </w:p>
    <w:p>
      <w:pPr>
        <w:pStyle w:val="2"/>
        <w:spacing w:before="190"/>
        <w:ind w:left="730" w:firstLine="640"/>
        <w:jc w:val="both"/>
        <w:rPr>
          <w:rFonts w:hint="eastAsia"/>
        </w:rPr>
      </w:pPr>
      <w:r>
        <w:rPr>
          <w:rFonts w:hint="eastAsia"/>
        </w:rPr>
        <w:t>（五）其他应当具备的条件。</w:t>
      </w:r>
    </w:p>
    <w:p>
      <w:pPr>
        <w:pStyle w:val="2"/>
        <w:spacing w:before="5"/>
        <w:ind w:firstLine="320"/>
        <w:jc w:val="both"/>
        <w:rPr>
          <w:rFonts w:hint="eastAsia"/>
          <w:sz w:val="16"/>
          <w:szCs w:val="16"/>
        </w:rPr>
      </w:pPr>
      <w:r>
        <w:rPr>
          <w:rFonts w:hint="eastAsia"/>
          <w:sz w:val="16"/>
          <w:szCs w:val="16"/>
        </w:rPr>
        <w:t xml:space="preserve"> </w:t>
      </w:r>
    </w:p>
    <w:p>
      <w:pPr>
        <w:pStyle w:val="2"/>
        <w:spacing w:before="54" w:line="348" w:lineRule="auto"/>
        <w:ind w:left="108" w:right="101" w:firstLine="564"/>
        <w:jc w:val="both"/>
        <w:rPr>
          <w:rFonts w:hint="eastAsia"/>
        </w:rPr>
      </w:pPr>
      <w:r>
        <w:rPr>
          <w:rFonts w:hint="eastAsia"/>
          <w:spacing w:val="-19"/>
        </w:rPr>
        <w:t xml:space="preserve">同等条件下，优先委托具有连锁运营经验的品牌化、集团化、 </w:t>
      </w:r>
      <w:r>
        <w:rPr>
          <w:rFonts w:hint="eastAsia"/>
          <w:spacing w:val="-8"/>
        </w:rPr>
        <w:t>规模化养老服务组织运营。</w:t>
      </w:r>
    </w:p>
    <w:p>
      <w:pPr>
        <w:pStyle w:val="2"/>
        <w:spacing w:before="3" w:line="348" w:lineRule="auto"/>
        <w:ind w:left="108" w:right="257" w:firstLine="592"/>
        <w:jc w:val="both"/>
        <w:rPr>
          <w:rFonts w:hint="eastAsia"/>
        </w:rPr>
      </w:pPr>
      <w:r>
        <w:rPr>
          <w:rFonts w:hint="eastAsia" w:ascii="黑体" w:hAnsi="黑体" w:eastAsia="黑体" w:cs="仿宋_GB2312"/>
          <w:spacing w:val="-12"/>
        </w:rPr>
        <w:t>第十条</w:t>
      </w:r>
      <w:r>
        <w:rPr>
          <w:rFonts w:hint="eastAsia" w:ascii="黑体" w:hAnsi="仿宋_GB2312" w:eastAsia="黑体" w:cs="仿宋_GB2312"/>
          <w:spacing w:val="-12"/>
        </w:rPr>
        <w:t xml:space="preserve"> </w:t>
      </w:r>
      <w:r>
        <w:rPr>
          <w:rFonts w:hint="eastAsia"/>
          <w:spacing w:val="-20"/>
        </w:rPr>
        <w:t>中标后，经公示无异议，委托方应与中标方签订委托</w:t>
      </w:r>
      <w:r>
        <w:rPr>
          <w:rFonts w:hint="eastAsia"/>
          <w:spacing w:val="-6"/>
        </w:rPr>
        <w:t>运营合同。</w:t>
      </w:r>
    </w:p>
    <w:p>
      <w:pPr>
        <w:pStyle w:val="2"/>
        <w:spacing w:before="3" w:line="348" w:lineRule="auto"/>
        <w:ind w:left="108" w:right="255" w:firstLine="552"/>
        <w:jc w:val="both"/>
        <w:rPr>
          <w:rFonts w:hint="eastAsia"/>
        </w:rPr>
      </w:pPr>
      <w:r>
        <w:rPr>
          <w:rFonts w:hint="eastAsia"/>
          <w:spacing w:val="-22"/>
        </w:rPr>
        <w:t xml:space="preserve">合同签订后 </w:t>
      </w:r>
      <w:r>
        <w:rPr>
          <w:rFonts w:hint="eastAsia"/>
        </w:rPr>
        <w:t>30</w:t>
      </w:r>
      <w:r>
        <w:rPr>
          <w:rFonts w:hint="eastAsia"/>
          <w:spacing w:val="-24"/>
        </w:rPr>
        <w:t xml:space="preserve"> 日内，委托方应将招标情况、相关合同文件报</w:t>
      </w:r>
      <w:r>
        <w:rPr>
          <w:rFonts w:hint="eastAsia"/>
          <w:spacing w:val="-7"/>
        </w:rPr>
        <w:t>同级民政部门备案。乡镇（</w:t>
      </w:r>
      <w:r>
        <w:rPr>
          <w:rFonts w:hint="eastAsia"/>
          <w:spacing w:val="-6"/>
        </w:rPr>
        <w:t>街道</w:t>
      </w:r>
      <w:r>
        <w:rPr>
          <w:rFonts w:hint="eastAsia"/>
          <w:spacing w:val="-7"/>
        </w:rPr>
        <w:t>）</w:t>
      </w:r>
      <w:r>
        <w:rPr>
          <w:rFonts w:hint="eastAsia"/>
          <w:spacing w:val="-8"/>
        </w:rPr>
        <w:t xml:space="preserve">所属公办养老机构报县级民政 </w:t>
      </w:r>
      <w:r>
        <w:rPr>
          <w:rFonts w:hint="eastAsia"/>
          <w:spacing w:val="-6"/>
        </w:rPr>
        <w:t>部门备案。</w:t>
      </w:r>
    </w:p>
    <w:p>
      <w:pPr>
        <w:pStyle w:val="2"/>
        <w:spacing w:before="4" w:line="348" w:lineRule="auto"/>
        <w:ind w:left="108" w:right="255" w:firstLine="592"/>
        <w:jc w:val="both"/>
        <w:rPr>
          <w:rFonts w:hint="eastAsia"/>
        </w:rPr>
      </w:pPr>
      <w:r>
        <w:rPr>
          <w:rFonts w:hint="eastAsia" w:ascii="黑体" w:hAnsi="黑体" w:eastAsia="黑体" w:cs="仿宋_GB2312"/>
          <w:spacing w:val="-12"/>
        </w:rPr>
        <w:t>第十一条</w:t>
      </w:r>
      <w:r>
        <w:rPr>
          <w:rFonts w:hint="eastAsia" w:ascii="黑体" w:hAnsi="仿宋_GB2312" w:eastAsia="黑体" w:cs="仿宋_GB2312"/>
          <w:spacing w:val="-12"/>
        </w:rPr>
        <w:t xml:space="preserve"> </w:t>
      </w:r>
      <w:r>
        <w:rPr>
          <w:rFonts w:hint="eastAsia"/>
          <w:spacing w:val="-15"/>
        </w:rPr>
        <w:t>资产已纳入行政事业单位管理的公办养老机构，应</w:t>
      </w:r>
      <w:r>
        <w:rPr>
          <w:rFonts w:hint="eastAsia"/>
          <w:spacing w:val="-8"/>
        </w:rPr>
        <w:t>当按照行政事业单位国有资产出租、出借有关规定执行，办理委 托运营事宜，确定合同期限。</w:t>
      </w:r>
    </w:p>
    <w:p>
      <w:pPr>
        <w:pStyle w:val="2"/>
        <w:spacing w:before="2"/>
        <w:ind w:firstLine="940"/>
        <w:jc w:val="both"/>
        <w:rPr>
          <w:rFonts w:hint="eastAsia"/>
          <w:sz w:val="47"/>
          <w:szCs w:val="47"/>
        </w:rPr>
      </w:pPr>
      <w:r>
        <w:rPr>
          <w:rFonts w:hint="eastAsia"/>
          <w:sz w:val="47"/>
          <w:szCs w:val="47"/>
        </w:rPr>
        <w:t xml:space="preserve"> </w:t>
      </w:r>
    </w:p>
    <w:p>
      <w:pPr>
        <w:pStyle w:val="2"/>
        <w:ind w:right="163" w:firstLine="612"/>
        <w:jc w:val="center"/>
        <w:rPr>
          <w:rFonts w:hint="eastAsia" w:ascii="黑体" w:hAnsi="仿宋_GB2312" w:eastAsia="黑体" w:cs="仿宋_GB2312"/>
        </w:rPr>
      </w:pPr>
      <w:r>
        <w:rPr>
          <w:rFonts w:hint="eastAsia" w:ascii="黑体" w:hAnsi="黑体" w:eastAsia="黑体" w:cs="仿宋_GB2312"/>
          <w:spacing w:val="-7"/>
        </w:rPr>
        <w:t>第三</w:t>
      </w:r>
      <w:r>
        <w:rPr>
          <w:rFonts w:hint="eastAsia" w:ascii="黑体" w:hAnsi="黑体" w:eastAsia="黑体" w:cs="仿宋_GB2312"/>
        </w:rPr>
        <w:t>章</w:t>
      </w:r>
      <w:r>
        <w:rPr>
          <w:rFonts w:hint="eastAsia" w:ascii="黑体" w:hAnsi="仿宋_GB2312" w:eastAsia="黑体" w:cs="仿宋_GB2312"/>
        </w:rPr>
        <w:tab/>
      </w:r>
      <w:r>
        <w:rPr>
          <w:rFonts w:hint="eastAsia" w:ascii="黑体" w:hAnsi="黑体" w:eastAsia="黑体" w:cs="仿宋_GB2312"/>
          <w:spacing w:val="-7"/>
        </w:rPr>
        <w:t>运营责</w:t>
      </w:r>
      <w:r>
        <w:rPr>
          <w:rFonts w:hint="eastAsia" w:ascii="黑体" w:hAnsi="黑体" w:eastAsia="黑体" w:cs="仿宋_GB2312"/>
        </w:rPr>
        <w:t>权</w:t>
      </w:r>
    </w:p>
    <w:p>
      <w:pPr>
        <w:pStyle w:val="2"/>
        <w:ind w:firstLine="640"/>
        <w:jc w:val="both"/>
        <w:rPr>
          <w:rFonts w:hint="eastAsia" w:ascii="黑体" w:hAnsi="仿宋_GB2312" w:cs="仿宋_GB2312"/>
        </w:rPr>
      </w:pPr>
      <w:r>
        <w:rPr>
          <w:rFonts w:hint="eastAsia" w:ascii="黑体" w:hAnsi="仿宋_GB2312" w:cs="仿宋_GB2312"/>
        </w:rPr>
        <w:t xml:space="preserve"> </w:t>
      </w:r>
    </w:p>
    <w:p>
      <w:pPr>
        <w:pStyle w:val="2"/>
        <w:spacing w:before="8"/>
        <w:ind w:firstLine="580"/>
        <w:jc w:val="both"/>
        <w:rPr>
          <w:rFonts w:hint="eastAsia" w:ascii="黑体" w:hAnsi="仿宋_GB2312" w:cs="仿宋_GB2312"/>
          <w:sz w:val="29"/>
          <w:szCs w:val="29"/>
        </w:rPr>
      </w:pPr>
      <w:r>
        <w:rPr>
          <w:rFonts w:hint="eastAsia" w:ascii="黑体" w:hAnsi="仿宋_GB2312" w:cs="仿宋_GB2312"/>
          <w:sz w:val="29"/>
          <w:szCs w:val="29"/>
        </w:rPr>
        <w:t xml:space="preserve"> </w:t>
      </w:r>
    </w:p>
    <w:p>
      <w:pPr>
        <w:pStyle w:val="2"/>
        <w:spacing w:before="1" w:line="348" w:lineRule="auto"/>
        <w:ind w:left="108" w:right="255" w:firstLine="592"/>
        <w:jc w:val="both"/>
        <w:rPr>
          <w:rFonts w:hint="eastAsia"/>
        </w:rPr>
      </w:pPr>
      <w:r>
        <w:rPr>
          <w:rFonts w:hint="eastAsia" w:ascii="黑体" w:hAnsi="黑体" w:eastAsia="黑体" w:cs="仿宋_GB2312"/>
          <w:spacing w:val="-12"/>
        </w:rPr>
        <w:t xml:space="preserve">第十二条 </w:t>
      </w:r>
      <w:r>
        <w:rPr>
          <w:rFonts w:hint="eastAsia"/>
          <w:spacing w:val="-19"/>
        </w:rPr>
        <w:t>运营方应当按照合同约定，向委托方缴纳设施使用</w:t>
      </w:r>
      <w:r>
        <w:rPr>
          <w:rFonts w:hint="eastAsia"/>
          <w:spacing w:val="-39"/>
        </w:rPr>
        <w:t>费</w:t>
      </w:r>
      <w:r>
        <w:rPr>
          <w:rFonts w:hint="eastAsia"/>
          <w:spacing w:val="-7"/>
        </w:rPr>
        <w:t>（</w:t>
      </w:r>
      <w:r>
        <w:rPr>
          <w:rFonts w:hint="eastAsia"/>
          <w:spacing w:val="-6"/>
        </w:rPr>
        <w:t>租金</w:t>
      </w:r>
      <w:r>
        <w:rPr>
          <w:rFonts w:hint="eastAsia"/>
          <w:spacing w:val="-163"/>
        </w:rPr>
        <w:t>）</w:t>
      </w:r>
      <w:r>
        <w:rPr>
          <w:rFonts w:hint="eastAsia"/>
          <w:spacing w:val="-14"/>
        </w:rPr>
        <w:t>。合同约定中有减免设施使用费</w:t>
      </w:r>
      <w:r>
        <w:rPr>
          <w:rFonts w:hint="eastAsia"/>
          <w:spacing w:val="-7"/>
        </w:rPr>
        <w:t>（租金</w:t>
      </w:r>
      <w:r>
        <w:rPr>
          <w:rFonts w:hint="eastAsia"/>
          <w:spacing w:val="-36"/>
        </w:rPr>
        <w:t>）</w:t>
      </w:r>
      <w:r>
        <w:rPr>
          <w:rFonts w:hint="eastAsia"/>
          <w:spacing w:val="-14"/>
        </w:rPr>
        <w:t xml:space="preserve">规定的，应按  </w:t>
      </w:r>
      <w:r>
        <w:rPr>
          <w:rFonts w:hint="eastAsia"/>
          <w:spacing w:val="-8"/>
        </w:rPr>
        <w:t xml:space="preserve">约定年限减免。属于行政单位国有资产出租、出借收入的，应按  照政府非税收入管理和国库集中收缴制度的有关规定，在扣除相  </w:t>
      </w:r>
      <w:r>
        <w:rPr>
          <w:rFonts w:hint="eastAsia"/>
          <w:spacing w:val="-7"/>
        </w:rPr>
        <w:t>关税费后及时上缴国库，实行</w:t>
      </w:r>
      <w:r>
        <w:rPr>
          <w:rFonts w:ascii="Times New Roman" w:hAnsi="Times New Roman" w:cs="仿宋_GB2312"/>
          <w:spacing w:val="-3"/>
        </w:rPr>
        <w:t>“</w:t>
      </w:r>
      <w:r>
        <w:rPr>
          <w:rFonts w:hint="eastAsia"/>
          <w:spacing w:val="-6"/>
        </w:rPr>
        <w:t>收支两条线</w:t>
      </w:r>
      <w:r>
        <w:rPr>
          <w:rFonts w:ascii="Times New Roman" w:hAnsi="Times New Roman" w:cs="仿宋_GB2312"/>
          <w:spacing w:val="-3"/>
        </w:rPr>
        <w:t>”</w:t>
      </w:r>
      <w:r>
        <w:rPr>
          <w:rFonts w:hint="eastAsia"/>
          <w:spacing w:val="-7"/>
        </w:rPr>
        <w:t xml:space="preserve">管理；属于事业单位 </w:t>
      </w:r>
      <w:r>
        <w:rPr>
          <w:rFonts w:hint="eastAsia"/>
          <w:spacing w:val="-9"/>
        </w:rPr>
        <w:t>出租、出借收入的，纳入单位预算，统一核算、统一管理。</w:t>
      </w:r>
    </w:p>
    <w:p>
      <w:pPr>
        <w:pStyle w:val="2"/>
        <w:spacing w:before="8" w:line="348" w:lineRule="auto"/>
        <w:ind w:left="108" w:right="255" w:firstLine="592"/>
        <w:jc w:val="both"/>
        <w:rPr>
          <w:rFonts w:hint="eastAsia"/>
          <w:spacing w:val="-10"/>
        </w:rPr>
      </w:pPr>
      <w:r>
        <w:rPr>
          <w:rFonts w:hint="eastAsia" w:ascii="黑体" w:hAnsi="黑体" w:eastAsia="黑体" w:cs="仿宋_GB2312"/>
          <w:spacing w:val="-12"/>
        </w:rPr>
        <w:t>第十三条</w:t>
      </w:r>
      <w:r>
        <w:rPr>
          <w:rFonts w:hint="eastAsia" w:ascii="黑体" w:hAnsi="仿宋_GB2312" w:eastAsia="黑体" w:cs="仿宋_GB2312"/>
          <w:spacing w:val="-12"/>
        </w:rPr>
        <w:t xml:space="preserve"> </w:t>
      </w:r>
      <w:r>
        <w:rPr>
          <w:rFonts w:hint="eastAsia"/>
          <w:spacing w:val="-19"/>
        </w:rPr>
        <w:t>运营方应当按照合同约定，向委托方缴纳风险保障</w:t>
      </w:r>
      <w:r>
        <w:rPr>
          <w:rFonts w:hint="eastAsia"/>
          <w:spacing w:val="-8"/>
        </w:rPr>
        <w:t xml:space="preserve">金。风险保障金由运营方以押金形式向委托方一次性缴纳，具体  标准由委托方根据投资规模、基本养老服务对象接收数量、承租年限、经营回报和运营方初期投入等因素确定，并在合同中予以 </w:t>
      </w:r>
      <w:r>
        <w:rPr>
          <w:rFonts w:hint="eastAsia"/>
          <w:spacing w:val="-5"/>
        </w:rPr>
        <w:t>约定。</w:t>
      </w:r>
      <w:r>
        <w:rPr>
          <w:rFonts w:hint="eastAsia"/>
          <w:spacing w:val="4"/>
        </w:rPr>
        <w:t>风险保障金主要用于运营方造成的设施设备异常损坏的赔</w:t>
      </w:r>
      <w:r>
        <w:rPr>
          <w:rFonts w:hint="eastAsia"/>
          <w:spacing w:val="-9"/>
        </w:rPr>
        <w:t>偿，运营方异常退出的风险化解等。合同期限内，出现上述异常 情况的，委托方履行相应财务手续后，有权从风险保障金中扣除 相应</w:t>
      </w:r>
      <w:r>
        <w:rPr>
          <w:rFonts w:hint="eastAsia"/>
          <w:spacing w:val="-10"/>
        </w:rPr>
        <w:t xml:space="preserve">数额；合同期满后，未出现上述异常情况的予以全额退还。 </w:t>
      </w:r>
    </w:p>
    <w:p>
      <w:pPr>
        <w:pStyle w:val="2"/>
        <w:spacing w:before="3" w:line="348" w:lineRule="auto"/>
        <w:ind w:left="416" w:leftChars="130" w:right="255" w:firstLine="459" w:firstLineChars="150"/>
        <w:jc w:val="both"/>
        <w:rPr>
          <w:rFonts w:hint="eastAsia"/>
        </w:rPr>
      </w:pPr>
      <w:r>
        <w:rPr>
          <w:rFonts w:hint="eastAsia" w:ascii="黑体" w:hAnsi="黑体" w:eastAsia="黑体" w:cs="仿宋_GB2312"/>
          <w:spacing w:val="-7"/>
        </w:rPr>
        <w:t>第十</w:t>
      </w:r>
      <w:r>
        <w:rPr>
          <w:rFonts w:hint="eastAsia" w:ascii="黑体" w:hAnsi="黑体" w:eastAsia="黑体" w:cs="仿宋_GB2312"/>
          <w:spacing w:val="-15"/>
        </w:rPr>
        <w:t>四条</w:t>
      </w:r>
      <w:r>
        <w:rPr>
          <w:rFonts w:hint="eastAsia" w:ascii="黑体" w:hAnsi="仿宋_GB2312" w:eastAsia="黑体" w:cs="仿宋_GB2312"/>
          <w:spacing w:val="-15"/>
        </w:rPr>
        <w:t xml:space="preserve"> </w:t>
      </w:r>
      <w:r>
        <w:rPr>
          <w:rFonts w:hint="eastAsia"/>
          <w:spacing w:val="-18"/>
        </w:rPr>
        <w:t>运营方应按照合同约定，优先保障政府兜底保障服</w:t>
      </w:r>
      <w:r>
        <w:rPr>
          <w:rFonts w:hint="eastAsia"/>
          <w:spacing w:val="-9"/>
        </w:rPr>
        <w:t xml:space="preserve">务对象的入住需求。对收住的社会老年人，依据国家和省有关规 </w:t>
      </w:r>
      <w:r>
        <w:rPr>
          <w:rFonts w:hint="eastAsia"/>
          <w:spacing w:val="-10"/>
        </w:rPr>
        <w:t>定，合理确定收费价格。</w:t>
      </w:r>
    </w:p>
    <w:p>
      <w:pPr>
        <w:pStyle w:val="2"/>
        <w:spacing w:before="3" w:line="348" w:lineRule="auto"/>
        <w:ind w:left="108" w:right="255" w:firstLine="592"/>
        <w:jc w:val="both"/>
        <w:rPr>
          <w:rFonts w:hint="eastAsia"/>
        </w:rPr>
      </w:pPr>
      <w:r>
        <w:rPr>
          <w:rFonts w:hint="eastAsia" w:ascii="黑体" w:hAnsi="黑体" w:eastAsia="黑体" w:cs="仿宋_GB2312"/>
          <w:spacing w:val="-12"/>
        </w:rPr>
        <w:t>第十五条</w:t>
      </w:r>
      <w:r>
        <w:rPr>
          <w:rFonts w:hint="eastAsia" w:ascii="黑体" w:hAnsi="仿宋_GB2312" w:eastAsia="黑体" w:cs="仿宋_GB2312"/>
          <w:spacing w:val="-12"/>
        </w:rPr>
        <w:t xml:space="preserve"> </w:t>
      </w:r>
      <w:r>
        <w:rPr>
          <w:rFonts w:hint="eastAsia"/>
          <w:spacing w:val="-16"/>
        </w:rPr>
        <w:t>运营方应当按规定向所在地民政部门备案，依照养</w:t>
      </w:r>
      <w:r>
        <w:rPr>
          <w:rFonts w:hint="eastAsia"/>
          <w:spacing w:val="-8"/>
        </w:rPr>
        <w:t xml:space="preserve">老服务有关标准和规范，建立健全安全管理、医疗卫生、餐饮服 </w:t>
      </w:r>
      <w:r>
        <w:rPr>
          <w:rFonts w:hint="eastAsia"/>
          <w:spacing w:val="-10"/>
        </w:rPr>
        <w:t>务、财务管理、档案管理、老年人能力评估等规章制度。</w:t>
      </w:r>
    </w:p>
    <w:p>
      <w:pPr>
        <w:pStyle w:val="2"/>
        <w:spacing w:before="4" w:line="348" w:lineRule="auto"/>
        <w:ind w:left="108" w:right="253" w:firstLine="620"/>
        <w:jc w:val="both"/>
        <w:rPr>
          <w:rFonts w:hint="eastAsia"/>
          <w:spacing w:val="-10"/>
        </w:rPr>
      </w:pPr>
      <w:r>
        <w:rPr>
          <w:rFonts w:hint="eastAsia" w:ascii="黑体" w:hAnsi="黑体" w:eastAsia="黑体" w:cs="仿宋_GB2312"/>
          <w:spacing w:val="-5"/>
        </w:rPr>
        <w:t>第十六条</w:t>
      </w:r>
      <w:r>
        <w:rPr>
          <w:rFonts w:hint="eastAsia" w:ascii="黑体" w:hAnsi="仿宋_GB2312" w:eastAsia="黑体" w:cs="仿宋_GB2312"/>
          <w:spacing w:val="-5"/>
        </w:rPr>
        <w:t xml:space="preserve"> </w:t>
      </w:r>
      <w:r>
        <w:rPr>
          <w:rFonts w:hint="eastAsia"/>
          <w:spacing w:val="-2"/>
        </w:rPr>
        <w:t>运营方要建立规范的财务管理制度，做到收支有</w:t>
      </w:r>
      <w:r>
        <w:rPr>
          <w:rFonts w:hint="eastAsia"/>
          <w:spacing w:val="-9"/>
        </w:rPr>
        <w:t>据、账目清楚。养老机构在合同存续期间获得的财政扶持、奖补</w:t>
      </w:r>
      <w:r>
        <w:rPr>
          <w:rFonts w:hint="eastAsia"/>
          <w:spacing w:val="-10"/>
        </w:rPr>
        <w:t xml:space="preserve">资金，应当按照资金使用管理有关规定，专账管理，专款使用。 </w:t>
      </w:r>
    </w:p>
    <w:p>
      <w:pPr>
        <w:pStyle w:val="2"/>
        <w:spacing w:before="4" w:line="348" w:lineRule="auto"/>
        <w:ind w:left="108" w:right="253" w:firstLine="592"/>
        <w:jc w:val="both"/>
        <w:rPr>
          <w:rFonts w:hint="eastAsia"/>
        </w:rPr>
      </w:pPr>
      <w:r>
        <w:rPr>
          <w:rFonts w:hint="eastAsia" w:ascii="黑体" w:hAnsi="黑体" w:eastAsia="黑体" w:cs="仿宋_GB2312"/>
          <w:spacing w:val="-12"/>
        </w:rPr>
        <w:t>第十七条</w:t>
      </w:r>
      <w:r>
        <w:rPr>
          <w:rFonts w:hint="eastAsia" w:ascii="黑体" w:hAnsi="仿宋_GB2312" w:eastAsia="黑体" w:cs="仿宋_GB2312"/>
          <w:spacing w:val="-12"/>
        </w:rPr>
        <w:t xml:space="preserve"> </w:t>
      </w:r>
      <w:r>
        <w:rPr>
          <w:rFonts w:hint="eastAsia"/>
          <w:spacing w:val="-16"/>
        </w:rPr>
        <w:t>运营方在合同期内负责日常耗损性设施、设备的维</w:t>
      </w:r>
      <w:r>
        <w:rPr>
          <w:rFonts w:hint="eastAsia"/>
          <w:spacing w:val="-9"/>
        </w:rPr>
        <w:t xml:space="preserve">护和修缮，独立承担运营过程中发生的债权债务和法律责任，不  </w:t>
      </w:r>
      <w:r>
        <w:rPr>
          <w:rFonts w:hint="eastAsia"/>
          <w:spacing w:val="-8"/>
        </w:rPr>
        <w:t>得擅自出租、出借、处置国有资产，不得以国有资产进行抵押、 融资、贷款、对外投资。</w:t>
      </w:r>
    </w:p>
    <w:p>
      <w:pPr>
        <w:pStyle w:val="2"/>
        <w:spacing w:before="4" w:line="348" w:lineRule="auto"/>
        <w:ind w:left="108" w:right="257" w:firstLine="592"/>
        <w:jc w:val="both"/>
        <w:rPr>
          <w:rFonts w:hint="eastAsia"/>
        </w:rPr>
      </w:pPr>
      <w:r>
        <w:rPr>
          <w:rFonts w:hint="eastAsia" w:ascii="黑体" w:hAnsi="黑体" w:eastAsia="黑体" w:cs="仿宋_GB2312"/>
          <w:spacing w:val="-12"/>
        </w:rPr>
        <w:t>第十八条</w:t>
      </w:r>
      <w:r>
        <w:rPr>
          <w:rFonts w:hint="eastAsia" w:ascii="黑体" w:hAnsi="仿宋_GB2312" w:eastAsia="黑体" w:cs="仿宋_GB2312"/>
          <w:spacing w:val="-12"/>
        </w:rPr>
        <w:t xml:space="preserve"> </w:t>
      </w:r>
      <w:r>
        <w:rPr>
          <w:rFonts w:hint="eastAsia"/>
          <w:spacing w:val="-15"/>
        </w:rPr>
        <w:t>严禁运营方在服务中发生虐老欺老等行为，禁止推</w:t>
      </w:r>
      <w:r>
        <w:rPr>
          <w:rFonts w:hint="eastAsia"/>
          <w:spacing w:val="-10"/>
        </w:rPr>
        <w:t>销金融产品、开展非法集资等侵犯老年人权益的行为。</w:t>
      </w:r>
    </w:p>
    <w:p>
      <w:pPr>
        <w:pStyle w:val="2"/>
        <w:spacing w:before="3"/>
        <w:ind w:firstLine="604" w:firstLineChars="200"/>
        <w:jc w:val="both"/>
        <w:rPr>
          <w:rFonts w:hint="eastAsia"/>
        </w:rPr>
      </w:pPr>
      <w:r>
        <w:rPr>
          <w:rFonts w:hint="eastAsia" w:ascii="黑体" w:hAnsi="黑体" w:eastAsia="黑体" w:cs="仿宋_GB2312"/>
          <w:spacing w:val="-9"/>
        </w:rPr>
        <w:t>第十九条</w:t>
      </w:r>
      <w:r>
        <w:rPr>
          <w:rFonts w:hint="eastAsia" w:ascii="黑体" w:hAnsi="仿宋_GB2312" w:eastAsia="黑体" w:cs="仿宋_GB2312"/>
          <w:spacing w:val="-9"/>
        </w:rPr>
        <w:t xml:space="preserve"> </w:t>
      </w:r>
      <w:r>
        <w:rPr>
          <w:rFonts w:hint="eastAsia"/>
          <w:spacing w:val="-16"/>
        </w:rPr>
        <w:t>鼓励和支持运营方利用自身资源及服务优势，辐射周边社区和村</w:t>
      </w:r>
      <w:r>
        <w:rPr>
          <w:rFonts w:hint="eastAsia"/>
          <w:spacing w:val="-7"/>
        </w:rPr>
        <w:t>（居</w:t>
      </w:r>
      <w:r>
        <w:rPr>
          <w:rFonts w:hint="eastAsia"/>
          <w:spacing w:val="-111"/>
        </w:rPr>
        <w:t>）</w:t>
      </w:r>
      <w:r>
        <w:rPr>
          <w:rFonts w:hint="eastAsia"/>
          <w:spacing w:val="-19"/>
        </w:rPr>
        <w:t>，为居家老年人提供便捷可及的养老服务，连</w:t>
      </w:r>
      <w:r>
        <w:rPr>
          <w:rFonts w:hint="eastAsia"/>
          <w:spacing w:val="-17"/>
        </w:rPr>
        <w:t>锁化托管运营街道综合养老服务机构、社区老年人日间照料中心、</w:t>
      </w:r>
      <w:r>
        <w:rPr>
          <w:rFonts w:hint="eastAsia"/>
          <w:spacing w:val="-8"/>
        </w:rPr>
        <w:t>农村幸福院等设施。</w:t>
      </w:r>
    </w:p>
    <w:p>
      <w:pPr>
        <w:pStyle w:val="2"/>
        <w:spacing w:before="4" w:line="348" w:lineRule="auto"/>
        <w:ind w:left="108" w:right="257" w:firstLine="596"/>
        <w:jc w:val="both"/>
        <w:rPr>
          <w:rFonts w:hint="eastAsia"/>
        </w:rPr>
      </w:pPr>
      <w:r>
        <w:rPr>
          <w:rFonts w:hint="eastAsia" w:ascii="黑体" w:hAnsi="黑体" w:eastAsia="黑体" w:cs="仿宋_GB2312"/>
          <w:spacing w:val="-11"/>
        </w:rPr>
        <w:t>第二十条</w:t>
      </w:r>
      <w:r>
        <w:rPr>
          <w:rFonts w:hint="eastAsia" w:ascii="黑体" w:hAnsi="仿宋_GB2312" w:eastAsia="黑体" w:cs="仿宋_GB2312"/>
          <w:spacing w:val="-11"/>
        </w:rPr>
        <w:t xml:space="preserve"> </w:t>
      </w:r>
      <w:r>
        <w:rPr>
          <w:rFonts w:hint="eastAsia"/>
          <w:spacing w:val="-20"/>
        </w:rPr>
        <w:t>运营方在运营期间，可按有关规定申请享受政府补</w:t>
      </w:r>
      <w:r>
        <w:rPr>
          <w:rFonts w:hint="eastAsia"/>
          <w:spacing w:val="-8"/>
        </w:rPr>
        <w:t>贴、优惠扶持政策。</w:t>
      </w:r>
    </w:p>
    <w:p>
      <w:pPr>
        <w:pStyle w:val="2"/>
        <w:spacing w:before="1"/>
        <w:ind w:firstLine="940"/>
        <w:jc w:val="both"/>
        <w:rPr>
          <w:rFonts w:hint="eastAsia"/>
          <w:sz w:val="47"/>
          <w:szCs w:val="47"/>
        </w:rPr>
      </w:pPr>
      <w:r>
        <w:rPr>
          <w:rFonts w:hint="eastAsia"/>
          <w:sz w:val="47"/>
          <w:szCs w:val="47"/>
        </w:rPr>
        <w:t xml:space="preserve"> </w:t>
      </w:r>
    </w:p>
    <w:p>
      <w:pPr>
        <w:pStyle w:val="2"/>
        <w:ind w:right="165" w:firstLine="612"/>
        <w:jc w:val="center"/>
        <w:rPr>
          <w:rFonts w:hint="eastAsia" w:ascii="黑体" w:hAnsi="仿宋_GB2312" w:eastAsia="黑体" w:cs="仿宋_GB2312"/>
        </w:rPr>
      </w:pPr>
      <w:r>
        <w:rPr>
          <w:rFonts w:hint="eastAsia" w:ascii="黑体" w:hAnsi="黑体" w:eastAsia="黑体" w:cs="仿宋_GB2312"/>
          <w:spacing w:val="-7"/>
        </w:rPr>
        <w:t>第四</w:t>
      </w:r>
      <w:r>
        <w:rPr>
          <w:rFonts w:hint="eastAsia" w:ascii="黑体" w:hAnsi="黑体" w:eastAsia="黑体" w:cs="仿宋_GB2312"/>
        </w:rPr>
        <w:t>章</w:t>
      </w:r>
      <w:r>
        <w:rPr>
          <w:rFonts w:hint="eastAsia" w:ascii="黑体" w:hAnsi="仿宋_GB2312" w:eastAsia="黑体" w:cs="仿宋_GB2312"/>
        </w:rPr>
        <w:tab/>
      </w:r>
      <w:r>
        <w:rPr>
          <w:rFonts w:hint="eastAsia" w:ascii="黑体" w:hAnsi="黑体" w:eastAsia="黑体" w:cs="仿宋_GB2312"/>
          <w:spacing w:val="-7"/>
        </w:rPr>
        <w:t>监督管</w:t>
      </w:r>
      <w:r>
        <w:rPr>
          <w:rFonts w:hint="eastAsia" w:ascii="黑体" w:hAnsi="黑体" w:eastAsia="黑体" w:cs="仿宋_GB2312"/>
        </w:rPr>
        <w:t>理</w:t>
      </w:r>
    </w:p>
    <w:p>
      <w:pPr>
        <w:pStyle w:val="2"/>
        <w:ind w:firstLine="640"/>
        <w:jc w:val="both"/>
        <w:rPr>
          <w:rFonts w:hint="eastAsia" w:ascii="黑体" w:hAnsi="仿宋_GB2312" w:cs="仿宋_GB2312"/>
        </w:rPr>
      </w:pPr>
      <w:r>
        <w:rPr>
          <w:rFonts w:hint="eastAsia" w:ascii="黑体" w:hAnsi="仿宋_GB2312" w:cs="仿宋_GB2312"/>
        </w:rPr>
        <w:t xml:space="preserve"> </w:t>
      </w:r>
    </w:p>
    <w:p>
      <w:pPr>
        <w:pStyle w:val="2"/>
        <w:spacing w:before="8"/>
        <w:ind w:firstLine="580"/>
        <w:jc w:val="both"/>
        <w:rPr>
          <w:rFonts w:hint="eastAsia" w:ascii="黑体" w:hAnsi="仿宋_GB2312" w:cs="仿宋_GB2312"/>
          <w:sz w:val="29"/>
          <w:szCs w:val="29"/>
        </w:rPr>
      </w:pPr>
      <w:r>
        <w:rPr>
          <w:rFonts w:hint="eastAsia" w:ascii="黑体" w:hAnsi="仿宋_GB2312" w:cs="仿宋_GB2312"/>
          <w:sz w:val="29"/>
          <w:szCs w:val="29"/>
        </w:rPr>
        <w:t xml:space="preserve"> </w:t>
      </w:r>
    </w:p>
    <w:p>
      <w:pPr>
        <w:pStyle w:val="2"/>
        <w:spacing w:before="1" w:line="348" w:lineRule="auto"/>
        <w:ind w:left="108" w:right="257" w:firstLine="624"/>
        <w:jc w:val="both"/>
        <w:rPr>
          <w:rFonts w:hint="eastAsia"/>
        </w:rPr>
      </w:pPr>
      <w:r>
        <w:rPr>
          <w:rFonts w:hint="eastAsia" w:ascii="黑体" w:hAnsi="黑体" w:eastAsia="黑体" w:cs="仿宋_GB2312"/>
          <w:spacing w:val="-4"/>
        </w:rPr>
        <w:t>第二十一条</w:t>
      </w:r>
      <w:r>
        <w:rPr>
          <w:rFonts w:hint="eastAsia" w:ascii="黑体" w:hAnsi="仿宋_GB2312" w:eastAsia="黑体" w:cs="仿宋_GB2312"/>
          <w:spacing w:val="-4"/>
        </w:rPr>
        <w:t xml:space="preserve"> </w:t>
      </w:r>
      <w:r>
        <w:rPr>
          <w:rFonts w:hint="eastAsia"/>
          <w:spacing w:val="-3"/>
        </w:rPr>
        <w:t>运营方应当定期向委托方报告机构资产和运营</w:t>
      </w:r>
      <w:r>
        <w:rPr>
          <w:rFonts w:hint="eastAsia"/>
          <w:spacing w:val="-9"/>
        </w:rPr>
        <w:t>情况，及时报告突发重大情况。</w:t>
      </w:r>
    </w:p>
    <w:p>
      <w:pPr>
        <w:pStyle w:val="2"/>
        <w:spacing w:before="2" w:line="348" w:lineRule="auto"/>
        <w:ind w:left="108" w:right="255" w:firstLine="572"/>
        <w:jc w:val="both"/>
        <w:rPr>
          <w:rFonts w:hint="eastAsia"/>
        </w:rPr>
      </w:pPr>
      <w:r>
        <w:rPr>
          <w:rFonts w:hint="eastAsia"/>
          <w:spacing w:val="-17"/>
        </w:rPr>
        <w:t xml:space="preserve">运营方应当于每年 </w:t>
      </w:r>
      <w:r>
        <w:rPr>
          <w:rFonts w:hint="eastAsia"/>
        </w:rPr>
        <w:t>3</w:t>
      </w:r>
      <w:r>
        <w:rPr>
          <w:rFonts w:hint="eastAsia"/>
          <w:spacing w:val="-62"/>
        </w:rPr>
        <w:t xml:space="preserve"> 月 </w:t>
      </w:r>
      <w:r>
        <w:rPr>
          <w:rFonts w:hint="eastAsia"/>
        </w:rPr>
        <w:t>31</w:t>
      </w:r>
      <w:r>
        <w:rPr>
          <w:rFonts w:hint="eastAsia"/>
          <w:spacing w:val="-36"/>
        </w:rPr>
        <w:t xml:space="preserve"> 日前，向备案</w:t>
      </w:r>
      <w:r>
        <w:rPr>
          <w:rFonts w:hint="eastAsia"/>
          <w:spacing w:val="-7"/>
        </w:rPr>
        <w:t>（</w:t>
      </w:r>
      <w:r>
        <w:rPr>
          <w:rFonts w:hint="eastAsia"/>
          <w:spacing w:val="-6"/>
        </w:rPr>
        <w:t>许可</w:t>
      </w:r>
      <w:r>
        <w:rPr>
          <w:rFonts w:hint="eastAsia"/>
          <w:spacing w:val="-58"/>
        </w:rPr>
        <w:t>）</w:t>
      </w:r>
      <w:r>
        <w:rPr>
          <w:rFonts w:hint="eastAsia"/>
          <w:spacing w:val="-6"/>
        </w:rPr>
        <w:t>的民政部门</w:t>
      </w:r>
      <w:r>
        <w:rPr>
          <w:rFonts w:hint="eastAsia"/>
          <w:spacing w:val="-8"/>
        </w:rPr>
        <w:t xml:space="preserve">提交上年度工作报告和会计师事务所出具的年度审计报告。年度  工作报告内容包括服务范围、服务对象、服务质量、运营管理、 </w:t>
      </w:r>
      <w:r>
        <w:rPr>
          <w:rFonts w:hint="eastAsia"/>
          <w:spacing w:val="-7"/>
        </w:rPr>
        <w:t>经营收支等情况。</w:t>
      </w:r>
    </w:p>
    <w:p>
      <w:pPr>
        <w:pStyle w:val="2"/>
        <w:spacing w:before="6" w:line="348" w:lineRule="auto"/>
        <w:ind w:left="108" w:right="104" w:firstLine="596"/>
        <w:jc w:val="both"/>
        <w:rPr>
          <w:rFonts w:hint="eastAsia"/>
        </w:rPr>
      </w:pPr>
      <w:r>
        <w:rPr>
          <w:rFonts w:hint="eastAsia" w:ascii="黑体" w:hAnsi="黑体" w:eastAsia="黑体" w:cs="仿宋_GB2312"/>
          <w:spacing w:val="-11"/>
        </w:rPr>
        <w:t>第二十二条</w:t>
      </w:r>
      <w:r>
        <w:rPr>
          <w:rFonts w:hint="eastAsia" w:ascii="黑体" w:hAnsi="仿宋_GB2312" w:eastAsia="黑体" w:cs="仿宋_GB2312"/>
          <w:spacing w:val="-11"/>
        </w:rPr>
        <w:t xml:space="preserve"> </w:t>
      </w:r>
      <w:r>
        <w:rPr>
          <w:rFonts w:hint="eastAsia"/>
          <w:spacing w:val="-8"/>
        </w:rPr>
        <w:t>委托方应将全部资产进行清产核资、造册登记， 加强对国有资产的日常监管。要制定运营方异常退出时的风险防</w:t>
      </w:r>
      <w:r>
        <w:rPr>
          <w:rFonts w:hint="eastAsia"/>
          <w:spacing w:val="-9"/>
        </w:rPr>
        <w:t>控应急预案，确保妥善安置入住对象，并做好善后事宜。</w:t>
      </w:r>
    </w:p>
    <w:p>
      <w:pPr>
        <w:pStyle w:val="2"/>
        <w:spacing w:before="4" w:line="348" w:lineRule="auto"/>
        <w:ind w:left="108" w:right="99" w:firstLine="596"/>
        <w:jc w:val="both"/>
        <w:rPr>
          <w:rFonts w:hint="eastAsia"/>
        </w:rPr>
      </w:pPr>
      <w:r>
        <w:rPr>
          <w:rFonts w:hint="eastAsia" w:ascii="黑体" w:hAnsi="黑体" w:eastAsia="黑体" w:cs="仿宋_GB2312"/>
          <w:spacing w:val="-11"/>
        </w:rPr>
        <w:t>第二十三条</w:t>
      </w:r>
      <w:r>
        <w:rPr>
          <w:rFonts w:hint="eastAsia" w:ascii="黑体" w:hAnsi="仿宋_GB2312" w:eastAsia="黑体" w:cs="仿宋_GB2312"/>
          <w:spacing w:val="-11"/>
        </w:rPr>
        <w:t xml:space="preserve"> </w:t>
      </w:r>
      <w:r>
        <w:rPr>
          <w:rFonts w:hint="eastAsia"/>
          <w:spacing w:val="-7"/>
        </w:rPr>
        <w:t xml:space="preserve">民政部门应采取第三方评估、联合检查等方式， </w:t>
      </w:r>
      <w:r>
        <w:rPr>
          <w:rFonts w:hint="eastAsia"/>
          <w:spacing w:val="-16"/>
        </w:rPr>
        <w:t xml:space="preserve">定期对委托运营公办养老机构的内部管理、收费标准、服务质量、  </w:t>
      </w:r>
      <w:r>
        <w:rPr>
          <w:rFonts w:hint="eastAsia"/>
          <w:spacing w:val="-7"/>
        </w:rPr>
        <w:t>老年人满意度等内容开展评估，及时向运营方反馈评估结果，并</w:t>
      </w:r>
      <w:r>
        <w:rPr>
          <w:rFonts w:hint="eastAsia"/>
          <w:spacing w:val="-9"/>
        </w:rPr>
        <w:t>运用评估结果促进问题整改和服务质量提升。</w:t>
      </w:r>
    </w:p>
    <w:p>
      <w:pPr>
        <w:pStyle w:val="2"/>
        <w:spacing w:before="6"/>
        <w:ind w:firstLine="604" w:firstLineChars="200"/>
        <w:jc w:val="both"/>
        <w:rPr>
          <w:rFonts w:hint="eastAsia"/>
        </w:rPr>
      </w:pPr>
      <w:r>
        <w:rPr>
          <w:rFonts w:hint="eastAsia" w:ascii="黑体" w:hAnsi="黑体" w:eastAsia="黑体" w:cs="仿宋_GB2312"/>
          <w:spacing w:val="-9"/>
        </w:rPr>
        <w:t>第二十四条</w:t>
      </w:r>
      <w:r>
        <w:rPr>
          <w:rFonts w:hint="eastAsia" w:ascii="黑体" w:hAnsi="仿宋_GB2312" w:eastAsia="黑体" w:cs="仿宋_GB2312"/>
          <w:spacing w:val="-9"/>
        </w:rPr>
        <w:t xml:space="preserve"> </w:t>
      </w:r>
      <w:r>
        <w:rPr>
          <w:rFonts w:hint="eastAsia"/>
          <w:spacing w:val="-18"/>
        </w:rPr>
        <w:t>对具有下列情形之一的，民政部门和委托方有权</w:t>
      </w:r>
      <w:r>
        <w:rPr>
          <w:rFonts w:hint="eastAsia"/>
          <w:spacing w:val="-8"/>
        </w:rPr>
        <w:t>责令运营方限期整改；情节严重的，应当解除合同，并依法移交 有关部门追究责任。</w:t>
      </w:r>
    </w:p>
    <w:p>
      <w:pPr>
        <w:pStyle w:val="2"/>
        <w:spacing w:before="3" w:line="348" w:lineRule="auto"/>
        <w:ind w:left="108" w:right="257" w:firstLine="612"/>
        <w:jc w:val="both"/>
        <w:rPr>
          <w:rFonts w:hint="eastAsia"/>
        </w:rPr>
      </w:pPr>
      <w:r>
        <w:rPr>
          <w:rFonts w:hint="eastAsia"/>
          <w:spacing w:val="-7"/>
        </w:rPr>
        <w:t>（</w:t>
      </w:r>
      <w:r>
        <w:rPr>
          <w:rFonts w:hint="eastAsia"/>
          <w:spacing w:val="-5"/>
        </w:rPr>
        <w:t>一</w:t>
      </w:r>
      <w:r>
        <w:rPr>
          <w:rFonts w:hint="eastAsia"/>
          <w:spacing w:val="-7"/>
        </w:rPr>
        <w:t>）</w:t>
      </w:r>
      <w:r>
        <w:rPr>
          <w:rFonts w:hint="eastAsia"/>
          <w:spacing w:val="-8"/>
        </w:rPr>
        <w:t>未经委托方同意，擅自改变经营范围，擅自变更法定 代表人或运营方的；</w:t>
      </w:r>
    </w:p>
    <w:p>
      <w:pPr>
        <w:pStyle w:val="2"/>
        <w:spacing w:before="3" w:line="348" w:lineRule="auto"/>
        <w:ind w:left="108" w:right="257" w:firstLine="612"/>
        <w:jc w:val="both"/>
        <w:rPr>
          <w:rFonts w:hint="eastAsia"/>
        </w:rPr>
      </w:pPr>
      <w:r>
        <w:rPr>
          <w:rFonts w:hint="eastAsia"/>
          <w:spacing w:val="-7"/>
        </w:rPr>
        <w:t>（</w:t>
      </w:r>
      <w:r>
        <w:rPr>
          <w:rFonts w:hint="eastAsia"/>
          <w:spacing w:val="-5"/>
        </w:rPr>
        <w:t>二</w:t>
      </w:r>
      <w:r>
        <w:rPr>
          <w:rFonts w:hint="eastAsia"/>
          <w:spacing w:val="-7"/>
        </w:rPr>
        <w:t>）</w:t>
      </w:r>
      <w:r>
        <w:rPr>
          <w:rFonts w:hint="eastAsia"/>
          <w:spacing w:val="-8"/>
        </w:rPr>
        <w:t xml:space="preserve">损毁设施或改变设施用途，无法保障养老机构设施、 </w:t>
      </w:r>
      <w:r>
        <w:rPr>
          <w:rFonts w:hint="eastAsia"/>
          <w:spacing w:val="-7"/>
        </w:rPr>
        <w:t>设备正常运转的；</w:t>
      </w:r>
    </w:p>
    <w:p>
      <w:pPr>
        <w:pStyle w:val="2"/>
        <w:spacing w:before="3"/>
        <w:ind w:left="730" w:firstLine="640"/>
        <w:jc w:val="both"/>
        <w:rPr>
          <w:rFonts w:hint="eastAsia"/>
        </w:rPr>
      </w:pPr>
      <w:r>
        <w:rPr>
          <w:rFonts w:hint="eastAsia"/>
        </w:rPr>
        <w:t>（三）养老服务评估不合格且整改不到位的；</w:t>
      </w:r>
    </w:p>
    <w:p>
      <w:pPr>
        <w:pStyle w:val="2"/>
        <w:spacing w:before="190" w:line="348" w:lineRule="auto"/>
        <w:ind w:left="108" w:right="257" w:firstLine="612"/>
        <w:jc w:val="both"/>
        <w:rPr>
          <w:rFonts w:hint="eastAsia"/>
        </w:rPr>
      </w:pPr>
      <w:r>
        <w:rPr>
          <w:rFonts w:hint="eastAsia"/>
          <w:spacing w:val="-7"/>
        </w:rPr>
        <w:t>（</w:t>
      </w:r>
      <w:r>
        <w:rPr>
          <w:rFonts w:hint="eastAsia"/>
          <w:spacing w:val="-5"/>
        </w:rPr>
        <w:t>四</w:t>
      </w:r>
      <w:r>
        <w:rPr>
          <w:rFonts w:hint="eastAsia"/>
          <w:spacing w:val="-7"/>
        </w:rPr>
        <w:t>）</w:t>
      </w:r>
      <w:r>
        <w:rPr>
          <w:rFonts w:hint="eastAsia"/>
          <w:spacing w:val="-8"/>
        </w:rPr>
        <w:t>存在虐老欺老、推销金融产品、开展非法集资等侵犯 老年人合法权益行为的；</w:t>
      </w:r>
    </w:p>
    <w:p>
      <w:pPr>
        <w:pStyle w:val="2"/>
        <w:spacing w:before="3" w:line="348" w:lineRule="auto"/>
        <w:ind w:left="108" w:right="257" w:firstLine="612"/>
        <w:jc w:val="both"/>
        <w:rPr>
          <w:rFonts w:hint="eastAsia"/>
        </w:rPr>
      </w:pPr>
      <w:r>
        <w:rPr>
          <w:rFonts w:hint="eastAsia"/>
          <w:spacing w:val="-7"/>
        </w:rPr>
        <w:t>（</w:t>
      </w:r>
      <w:r>
        <w:rPr>
          <w:rFonts w:hint="eastAsia"/>
          <w:spacing w:val="-5"/>
        </w:rPr>
        <w:t>五</w:t>
      </w:r>
      <w:r>
        <w:rPr>
          <w:rFonts w:hint="eastAsia"/>
          <w:spacing w:val="-7"/>
        </w:rPr>
        <w:t>）</w:t>
      </w:r>
      <w:r>
        <w:rPr>
          <w:rFonts w:hint="eastAsia"/>
          <w:spacing w:val="-8"/>
        </w:rPr>
        <w:t xml:space="preserve">发生重大安全事故、医疗和卫生防疫事故、食品安全 </w:t>
      </w:r>
      <w:r>
        <w:rPr>
          <w:rFonts w:hint="eastAsia"/>
          <w:spacing w:val="-6"/>
        </w:rPr>
        <w:t>事故的;</w:t>
      </w:r>
    </w:p>
    <w:p>
      <w:pPr>
        <w:pStyle w:val="2"/>
        <w:spacing w:before="2"/>
        <w:ind w:firstLine="640" w:firstLineChars="200"/>
        <w:jc w:val="both"/>
        <w:rPr>
          <w:rFonts w:hint="eastAsia"/>
        </w:rPr>
      </w:pPr>
      <w:r>
        <w:rPr>
          <w:rFonts w:hint="eastAsia"/>
        </w:rPr>
        <w:t>（六）违反合同约定的解约条款；</w:t>
      </w:r>
    </w:p>
    <w:p>
      <w:pPr>
        <w:pStyle w:val="2"/>
        <w:spacing w:before="190"/>
        <w:ind w:left="730"/>
        <w:jc w:val="both"/>
        <w:rPr>
          <w:rFonts w:hint="eastAsia"/>
        </w:rPr>
      </w:pPr>
      <w:r>
        <w:rPr>
          <w:rFonts w:hint="eastAsia"/>
        </w:rPr>
        <w:t>（七）违规套取、使用、挪用财政扶持、奖补资金的；</w:t>
      </w:r>
    </w:p>
    <w:p>
      <w:pPr>
        <w:pStyle w:val="2"/>
        <w:spacing w:before="190"/>
        <w:ind w:firstLine="640" w:firstLineChars="200"/>
        <w:jc w:val="both"/>
        <w:rPr>
          <w:rFonts w:hint="eastAsia"/>
        </w:rPr>
      </w:pPr>
      <w:r>
        <w:rPr>
          <w:rFonts w:hint="eastAsia"/>
        </w:rPr>
        <w:t>（八）违反法律法规的其他行为。</w:t>
      </w:r>
    </w:p>
    <w:p>
      <w:pPr>
        <w:pStyle w:val="2"/>
        <w:spacing w:before="190" w:line="348" w:lineRule="auto"/>
        <w:ind w:left="108" w:right="255" w:firstLine="596"/>
        <w:jc w:val="both"/>
        <w:rPr>
          <w:rFonts w:hint="eastAsia"/>
        </w:rPr>
      </w:pPr>
      <w:r>
        <w:rPr>
          <w:rFonts w:hint="eastAsia" w:ascii="黑体" w:hAnsi="黑体" w:eastAsia="黑体" w:cs="仿宋_GB2312"/>
          <w:spacing w:val="-11"/>
        </w:rPr>
        <w:t>第二十五条</w:t>
      </w:r>
      <w:r>
        <w:rPr>
          <w:rFonts w:hint="eastAsia" w:ascii="黑体" w:hAnsi="仿宋_GB2312" w:eastAsia="黑体" w:cs="仿宋_GB2312"/>
          <w:spacing w:val="-11"/>
        </w:rPr>
        <w:t xml:space="preserve"> </w:t>
      </w:r>
      <w:r>
        <w:rPr>
          <w:rFonts w:hint="eastAsia"/>
          <w:spacing w:val="-19"/>
        </w:rPr>
        <w:t>变更或终止委托运营合同的，委托方与运营方应</w:t>
      </w:r>
      <w:r>
        <w:rPr>
          <w:rFonts w:hint="eastAsia"/>
          <w:spacing w:val="-7"/>
        </w:rPr>
        <w:t>当进行事前协商。</w:t>
      </w:r>
    </w:p>
    <w:p>
      <w:pPr>
        <w:pStyle w:val="2"/>
        <w:spacing w:before="3" w:line="348" w:lineRule="auto"/>
        <w:ind w:left="108" w:right="122" w:firstLine="548"/>
        <w:jc w:val="both"/>
        <w:rPr>
          <w:rFonts w:hint="eastAsia"/>
        </w:rPr>
      </w:pPr>
      <w:r>
        <w:rPr>
          <w:rFonts w:hint="eastAsia"/>
          <w:spacing w:val="-23"/>
        </w:rPr>
        <w:t xml:space="preserve">变更合同的，申请变更一方应当提前不少于 </w:t>
      </w:r>
      <w:r>
        <w:rPr>
          <w:rFonts w:hint="eastAsia"/>
        </w:rPr>
        <w:t>30</w:t>
      </w:r>
      <w:r>
        <w:rPr>
          <w:rFonts w:hint="eastAsia"/>
          <w:spacing w:val="-19"/>
        </w:rPr>
        <w:t xml:space="preserve"> 日正式向对方</w:t>
      </w:r>
      <w:r>
        <w:rPr>
          <w:rFonts w:hint="eastAsia"/>
          <w:spacing w:val="-8"/>
        </w:rPr>
        <w:t>提出请求，变更完成后将变更情况报备案</w:t>
      </w:r>
      <w:r>
        <w:rPr>
          <w:rFonts w:hint="eastAsia"/>
          <w:spacing w:val="-7"/>
        </w:rPr>
        <w:t>（</w:t>
      </w:r>
      <w:r>
        <w:rPr>
          <w:rFonts w:hint="eastAsia"/>
          <w:spacing w:val="-6"/>
        </w:rPr>
        <w:t>许可</w:t>
      </w:r>
      <w:r>
        <w:rPr>
          <w:rFonts w:hint="eastAsia"/>
          <w:spacing w:val="-7"/>
        </w:rPr>
        <w:t>）</w:t>
      </w:r>
      <w:r>
        <w:rPr>
          <w:rFonts w:hint="eastAsia"/>
          <w:spacing w:val="-6"/>
        </w:rPr>
        <w:t>的民政部门备</w:t>
      </w:r>
      <w:r>
        <w:rPr>
          <w:rFonts w:hint="eastAsia"/>
          <w:spacing w:val="-21"/>
        </w:rPr>
        <w:t>案。在双方协商一致并形成变更合同书前，应履行原有合同约定。</w:t>
      </w:r>
    </w:p>
    <w:p>
      <w:pPr>
        <w:pStyle w:val="2"/>
        <w:spacing w:before="4"/>
        <w:ind w:firstLine="735" w:firstLineChars="250"/>
        <w:jc w:val="both"/>
        <w:rPr>
          <w:rFonts w:hint="eastAsia"/>
        </w:rPr>
      </w:pPr>
      <w:r>
        <w:rPr>
          <w:rFonts w:hint="eastAsia"/>
          <w:spacing w:val="-13"/>
        </w:rPr>
        <w:t xml:space="preserve">终止合同的，申请终止一方应当提前 </w:t>
      </w:r>
      <w:r>
        <w:rPr>
          <w:rFonts w:hint="eastAsia"/>
        </w:rPr>
        <w:t>6</w:t>
      </w:r>
      <w:r>
        <w:rPr>
          <w:rFonts w:hint="eastAsia"/>
          <w:spacing w:val="-17"/>
        </w:rPr>
        <w:t xml:space="preserve"> 个月向对方提交解除</w:t>
      </w:r>
      <w:r>
        <w:rPr>
          <w:rFonts w:hint="eastAsia"/>
          <w:spacing w:val="-22"/>
        </w:rPr>
        <w:t xml:space="preserve">合同申请，并于合同终止 </w:t>
      </w:r>
      <w:r>
        <w:rPr>
          <w:rFonts w:hint="eastAsia"/>
        </w:rPr>
        <w:t>60</w:t>
      </w:r>
      <w:r>
        <w:rPr>
          <w:rFonts w:hint="eastAsia"/>
          <w:spacing w:val="-26"/>
        </w:rPr>
        <w:t xml:space="preserve"> 日前正式向备案</w:t>
      </w:r>
      <w:r>
        <w:rPr>
          <w:rFonts w:hint="eastAsia"/>
          <w:spacing w:val="-7"/>
        </w:rPr>
        <w:t>（许可</w:t>
      </w:r>
      <w:r>
        <w:rPr>
          <w:rFonts w:hint="eastAsia"/>
          <w:spacing w:val="-58"/>
        </w:rPr>
        <w:t>）</w:t>
      </w:r>
      <w:r>
        <w:rPr>
          <w:rFonts w:hint="eastAsia"/>
          <w:spacing w:val="-8"/>
        </w:rPr>
        <w:t xml:space="preserve">的民政部门提交终止合同情况报告及入住对象安置方案，经民政部门批准后实施。双方共同委托第三方中介机构进行资产清算，妥善做好资 </w:t>
      </w:r>
      <w:r>
        <w:rPr>
          <w:rFonts w:hint="eastAsia"/>
          <w:spacing w:val="-7"/>
        </w:rPr>
        <w:t>产和账目交接。</w:t>
      </w:r>
    </w:p>
    <w:p>
      <w:pPr>
        <w:pStyle w:val="2"/>
        <w:spacing w:before="3" w:line="348" w:lineRule="auto"/>
        <w:ind w:left="108" w:right="257" w:firstLine="596"/>
        <w:jc w:val="both"/>
        <w:rPr>
          <w:rFonts w:hint="eastAsia"/>
        </w:rPr>
      </w:pPr>
      <w:r>
        <w:rPr>
          <w:rFonts w:hint="eastAsia" w:ascii="黑体" w:hAnsi="黑体" w:eastAsia="黑体" w:cs="仿宋_GB2312"/>
          <w:spacing w:val="-11"/>
        </w:rPr>
        <w:t>第二十六条</w:t>
      </w:r>
      <w:r>
        <w:rPr>
          <w:rFonts w:hint="eastAsia" w:ascii="黑体" w:hAnsi="仿宋_GB2312" w:eastAsia="黑体" w:cs="仿宋_GB2312"/>
          <w:spacing w:val="-11"/>
        </w:rPr>
        <w:t xml:space="preserve"> </w:t>
      </w:r>
      <w:r>
        <w:rPr>
          <w:rFonts w:hint="eastAsia"/>
          <w:spacing w:val="-18"/>
        </w:rPr>
        <w:t>合同期内有意续签合同的运营方，应在合同期满</w:t>
      </w:r>
      <w:r>
        <w:rPr>
          <w:rFonts w:hint="eastAsia"/>
          <w:spacing w:val="-46"/>
        </w:rPr>
        <w:t xml:space="preserve">前 </w:t>
      </w:r>
      <w:r>
        <w:rPr>
          <w:rFonts w:hint="eastAsia"/>
        </w:rPr>
        <w:t>6</w:t>
      </w:r>
      <w:r>
        <w:rPr>
          <w:rFonts w:hint="eastAsia"/>
          <w:spacing w:val="-16"/>
        </w:rPr>
        <w:t>个月提出合同续签申请。</w:t>
      </w:r>
    </w:p>
    <w:p>
      <w:pPr>
        <w:pStyle w:val="2"/>
        <w:spacing w:before="1"/>
        <w:ind w:firstLine="940"/>
        <w:jc w:val="both"/>
        <w:rPr>
          <w:rFonts w:hint="eastAsia"/>
          <w:sz w:val="47"/>
          <w:szCs w:val="47"/>
        </w:rPr>
      </w:pPr>
      <w:r>
        <w:rPr>
          <w:rFonts w:hint="eastAsia"/>
          <w:sz w:val="47"/>
          <w:szCs w:val="47"/>
        </w:rPr>
        <w:t xml:space="preserve"> </w:t>
      </w:r>
    </w:p>
    <w:p>
      <w:pPr>
        <w:pStyle w:val="2"/>
        <w:ind w:right="165" w:firstLine="612"/>
        <w:jc w:val="center"/>
        <w:rPr>
          <w:rFonts w:hint="eastAsia" w:ascii="黑体" w:hAnsi="仿宋_GB2312" w:eastAsia="黑体" w:cs="仿宋_GB2312"/>
        </w:rPr>
      </w:pPr>
      <w:r>
        <w:rPr>
          <w:rFonts w:hint="eastAsia" w:ascii="黑体" w:hAnsi="黑体" w:eastAsia="黑体" w:cs="仿宋_GB2312"/>
          <w:spacing w:val="-7"/>
        </w:rPr>
        <w:t>第五</w:t>
      </w:r>
      <w:r>
        <w:rPr>
          <w:rFonts w:hint="eastAsia" w:ascii="黑体" w:hAnsi="黑体" w:eastAsia="黑体" w:cs="仿宋_GB2312"/>
        </w:rPr>
        <w:t>章</w:t>
      </w:r>
      <w:r>
        <w:rPr>
          <w:rFonts w:hint="eastAsia" w:ascii="黑体" w:hAnsi="仿宋_GB2312" w:eastAsia="黑体" w:cs="仿宋_GB2312"/>
        </w:rPr>
        <w:tab/>
      </w:r>
      <w:r>
        <w:rPr>
          <w:rFonts w:hint="eastAsia" w:ascii="黑体" w:hAnsi="黑体" w:eastAsia="黑体" w:cs="仿宋_GB2312"/>
        </w:rPr>
        <w:t>附</w:t>
      </w:r>
      <w:r>
        <w:rPr>
          <w:rFonts w:hint="eastAsia" w:ascii="黑体" w:hAnsi="仿宋_GB2312" w:eastAsia="黑体" w:cs="仿宋_GB2312"/>
        </w:rPr>
        <w:tab/>
      </w:r>
      <w:r>
        <w:rPr>
          <w:rFonts w:hint="eastAsia" w:ascii="黑体" w:hAnsi="黑体" w:eastAsia="黑体" w:cs="仿宋_GB2312"/>
        </w:rPr>
        <w:t>则</w:t>
      </w:r>
    </w:p>
    <w:p>
      <w:pPr>
        <w:pStyle w:val="2"/>
        <w:ind w:firstLine="640"/>
        <w:jc w:val="both"/>
        <w:rPr>
          <w:rFonts w:hint="eastAsia" w:ascii="黑体" w:hAnsi="仿宋_GB2312" w:cs="仿宋_GB2312"/>
        </w:rPr>
      </w:pPr>
      <w:r>
        <w:rPr>
          <w:rFonts w:hint="eastAsia" w:ascii="黑体" w:hAnsi="仿宋_GB2312" w:cs="仿宋_GB2312"/>
        </w:rPr>
        <w:t xml:space="preserve"> </w:t>
      </w:r>
    </w:p>
    <w:p>
      <w:pPr>
        <w:pStyle w:val="2"/>
        <w:spacing w:before="8"/>
        <w:ind w:firstLine="580"/>
        <w:jc w:val="both"/>
        <w:rPr>
          <w:rFonts w:hint="eastAsia" w:ascii="黑体" w:hAnsi="仿宋_GB2312" w:cs="仿宋_GB2312"/>
          <w:sz w:val="29"/>
          <w:szCs w:val="29"/>
        </w:rPr>
      </w:pPr>
      <w:r>
        <w:rPr>
          <w:rFonts w:hint="eastAsia" w:ascii="黑体" w:hAnsi="仿宋_GB2312" w:cs="仿宋_GB2312"/>
          <w:sz w:val="29"/>
          <w:szCs w:val="29"/>
        </w:rPr>
        <w:t xml:space="preserve"> </w:t>
      </w:r>
    </w:p>
    <w:p>
      <w:pPr>
        <w:pStyle w:val="2"/>
        <w:spacing w:line="348" w:lineRule="auto"/>
        <w:ind w:left="108" w:right="260" w:firstLine="612"/>
        <w:jc w:val="both"/>
        <w:rPr>
          <w:rFonts w:hint="eastAsia"/>
        </w:rPr>
      </w:pPr>
      <w:r>
        <w:rPr>
          <w:rFonts w:hint="eastAsia" w:ascii="黑体" w:hAnsi="黑体" w:eastAsia="黑体" w:cs="仿宋_GB2312"/>
          <w:spacing w:val="-7"/>
        </w:rPr>
        <w:t>第二</w:t>
      </w:r>
      <w:r>
        <w:rPr>
          <w:rFonts w:hint="eastAsia" w:ascii="黑体" w:hAnsi="黑体" w:eastAsia="黑体" w:cs="仿宋_GB2312"/>
          <w:spacing w:val="-5"/>
        </w:rPr>
        <w:t>十</w:t>
      </w:r>
      <w:r>
        <w:rPr>
          <w:rFonts w:hint="eastAsia" w:ascii="黑体" w:hAnsi="黑体" w:eastAsia="黑体" w:cs="仿宋_GB2312"/>
          <w:spacing w:val="-7"/>
        </w:rPr>
        <w:t>七</w:t>
      </w:r>
      <w:r>
        <w:rPr>
          <w:rFonts w:hint="eastAsia" w:ascii="黑体" w:hAnsi="黑体" w:eastAsia="黑体" w:cs="仿宋_GB2312"/>
        </w:rPr>
        <w:t>条</w:t>
      </w:r>
      <w:r>
        <w:rPr>
          <w:rFonts w:hint="eastAsia" w:ascii="黑体" w:hAnsi="仿宋_GB2312" w:eastAsia="黑体" w:cs="仿宋_GB2312"/>
        </w:rPr>
        <w:tab/>
      </w:r>
      <w:r>
        <w:rPr>
          <w:rFonts w:hint="eastAsia"/>
          <w:spacing w:val="-7"/>
        </w:rPr>
        <w:t>本办</w:t>
      </w:r>
      <w:r>
        <w:rPr>
          <w:rFonts w:hint="eastAsia"/>
          <w:spacing w:val="-5"/>
        </w:rPr>
        <w:t>法</w:t>
      </w:r>
      <w:r>
        <w:rPr>
          <w:rFonts w:hint="eastAsia"/>
          <w:spacing w:val="-7"/>
        </w:rPr>
        <w:t>施行前</w:t>
      </w:r>
      <w:r>
        <w:rPr>
          <w:rFonts w:hint="eastAsia"/>
          <w:spacing w:val="-5"/>
        </w:rPr>
        <w:t>已</w:t>
      </w:r>
      <w:r>
        <w:rPr>
          <w:rFonts w:hint="eastAsia"/>
          <w:spacing w:val="-7"/>
        </w:rPr>
        <w:t>签订委托</w:t>
      </w:r>
      <w:r>
        <w:rPr>
          <w:rFonts w:hint="eastAsia"/>
          <w:spacing w:val="-5"/>
        </w:rPr>
        <w:t>运</w:t>
      </w:r>
      <w:r>
        <w:rPr>
          <w:rFonts w:hint="eastAsia"/>
          <w:spacing w:val="-7"/>
        </w:rPr>
        <w:t>营合同</w:t>
      </w:r>
      <w:r>
        <w:rPr>
          <w:rFonts w:hint="eastAsia"/>
          <w:spacing w:val="-5"/>
        </w:rPr>
        <w:t>的</w:t>
      </w:r>
      <w:r>
        <w:rPr>
          <w:rFonts w:hint="eastAsia"/>
          <w:spacing w:val="-12"/>
        </w:rPr>
        <w:t>，</w:t>
      </w:r>
      <w:r>
        <w:rPr>
          <w:rFonts w:hint="eastAsia"/>
          <w:spacing w:val="-7"/>
        </w:rPr>
        <w:t>仍按</w:t>
      </w:r>
      <w:r>
        <w:rPr>
          <w:rFonts w:hint="eastAsia"/>
          <w:spacing w:val="-16"/>
        </w:rPr>
        <w:t xml:space="preserve">原 </w:t>
      </w:r>
      <w:r>
        <w:rPr>
          <w:rFonts w:hint="eastAsia"/>
          <w:spacing w:val="-7"/>
        </w:rPr>
        <w:t>合同执行，</w:t>
      </w:r>
      <w:r>
        <w:rPr>
          <w:rFonts w:hint="eastAsia"/>
          <w:spacing w:val="-10"/>
        </w:rPr>
        <w:t>合</w:t>
      </w:r>
      <w:r>
        <w:rPr>
          <w:rFonts w:hint="eastAsia"/>
          <w:spacing w:val="-7"/>
        </w:rPr>
        <w:t>同期满后，按照本办法</w:t>
      </w:r>
      <w:r>
        <w:rPr>
          <w:rFonts w:hint="eastAsia"/>
          <w:spacing w:val="-10"/>
        </w:rPr>
        <w:t>执</w:t>
      </w:r>
      <w:r>
        <w:rPr>
          <w:rFonts w:hint="eastAsia"/>
          <w:spacing w:val="-7"/>
        </w:rPr>
        <w:t>行</w:t>
      </w:r>
      <w:r>
        <w:rPr>
          <w:rFonts w:hint="eastAsia"/>
        </w:rPr>
        <w:t>。</w:t>
      </w:r>
    </w:p>
    <w:p>
      <w:pPr>
        <w:pStyle w:val="2"/>
        <w:spacing w:before="3"/>
        <w:ind w:left="142" w:firstLine="612"/>
        <w:jc w:val="both"/>
        <w:rPr>
          <w:rFonts w:hint="eastAsia"/>
        </w:rPr>
      </w:pPr>
      <w:r>
        <w:rPr>
          <w:rFonts w:hint="eastAsia" w:ascii="黑体" w:hAnsi="黑体" w:eastAsia="黑体" w:cs="仿宋_GB2312"/>
          <w:spacing w:val="-7"/>
        </w:rPr>
        <w:t>第</w:t>
      </w:r>
      <w:r>
        <w:rPr>
          <w:rFonts w:hint="eastAsia" w:ascii="黑体" w:hAnsi="黑体" w:eastAsia="黑体" w:cs="仿宋_GB2312"/>
          <w:spacing w:val="-5"/>
        </w:rPr>
        <w:t>二</w:t>
      </w:r>
      <w:r>
        <w:rPr>
          <w:rFonts w:hint="eastAsia" w:ascii="黑体" w:hAnsi="黑体" w:eastAsia="黑体" w:cs="仿宋_GB2312"/>
          <w:spacing w:val="-7"/>
        </w:rPr>
        <w:t>十八</w:t>
      </w:r>
      <w:r>
        <w:rPr>
          <w:rFonts w:hint="eastAsia" w:ascii="黑体" w:hAnsi="黑体" w:eastAsia="黑体" w:cs="仿宋_GB2312"/>
        </w:rPr>
        <w:t>条</w:t>
      </w:r>
      <w:r>
        <w:rPr>
          <w:rFonts w:hint="eastAsia" w:ascii="黑体" w:hAnsi="仿宋_GB2312" w:eastAsia="黑体" w:cs="仿宋_GB2312"/>
        </w:rPr>
        <w:tab/>
      </w:r>
      <w:r>
        <w:rPr>
          <w:rFonts w:hint="eastAsia"/>
          <w:spacing w:val="-7"/>
        </w:rPr>
        <w:t>本</w:t>
      </w:r>
      <w:r>
        <w:rPr>
          <w:rFonts w:hint="eastAsia"/>
          <w:spacing w:val="-5"/>
        </w:rPr>
        <w:t>办</w:t>
      </w:r>
      <w:r>
        <w:rPr>
          <w:rFonts w:hint="eastAsia"/>
          <w:spacing w:val="-7"/>
        </w:rPr>
        <w:t>法由山</w:t>
      </w:r>
      <w:r>
        <w:rPr>
          <w:rFonts w:hint="eastAsia"/>
          <w:spacing w:val="-5"/>
        </w:rPr>
        <w:t>东</w:t>
      </w:r>
      <w:r>
        <w:rPr>
          <w:rFonts w:hint="eastAsia"/>
          <w:spacing w:val="-7"/>
        </w:rPr>
        <w:t>省民政</w:t>
      </w:r>
      <w:r>
        <w:rPr>
          <w:rFonts w:hint="eastAsia"/>
          <w:spacing w:val="-5"/>
        </w:rPr>
        <w:t>厅</w:t>
      </w:r>
      <w:r>
        <w:rPr>
          <w:rFonts w:hint="eastAsia"/>
          <w:spacing w:val="-7"/>
        </w:rPr>
        <w:t>负责</w:t>
      </w:r>
      <w:r>
        <w:rPr>
          <w:rFonts w:hint="eastAsia"/>
          <w:spacing w:val="-5"/>
        </w:rPr>
        <w:t>解</w:t>
      </w:r>
      <w:r>
        <w:rPr>
          <w:rFonts w:hint="eastAsia"/>
          <w:spacing w:val="-7"/>
        </w:rPr>
        <w:t>释</w:t>
      </w:r>
      <w:r>
        <w:rPr>
          <w:rFonts w:hint="eastAsia"/>
          <w:spacing w:val="-91"/>
        </w:rPr>
        <w:t>，</w:t>
      </w:r>
      <w:r>
        <w:rPr>
          <w:rFonts w:hint="eastAsia"/>
          <w:spacing w:val="-7"/>
        </w:rPr>
        <w:t>办</w:t>
      </w:r>
      <w:r>
        <w:rPr>
          <w:rFonts w:hint="eastAsia"/>
          <w:spacing w:val="-5"/>
        </w:rPr>
        <w:t>法</w:t>
      </w:r>
      <w:r>
        <w:rPr>
          <w:rFonts w:hint="eastAsia"/>
        </w:rPr>
        <w:t>自</w:t>
      </w:r>
      <w:r>
        <w:rPr>
          <w:rFonts w:hint="eastAsia"/>
          <w:spacing w:val="-96"/>
        </w:rPr>
        <w:t xml:space="preserve"> </w:t>
      </w:r>
      <w:r>
        <w:rPr>
          <w:rFonts w:hint="eastAsia"/>
          <w:spacing w:val="-3"/>
        </w:rPr>
        <w:t>2021</w:t>
      </w:r>
      <w:r>
        <w:rPr>
          <w:rFonts w:hint="eastAsia"/>
          <w:spacing w:val="-46"/>
        </w:rPr>
        <w:t xml:space="preserve">年 </w:t>
      </w:r>
      <w:r>
        <w:rPr>
          <w:rFonts w:hint="eastAsia"/>
        </w:rPr>
        <w:t>1</w:t>
      </w:r>
      <w:r>
        <w:rPr>
          <w:rFonts w:hint="eastAsia"/>
          <w:spacing w:val="-59"/>
        </w:rPr>
        <w:t xml:space="preserve"> 月 </w:t>
      </w:r>
      <w:r>
        <w:rPr>
          <w:rFonts w:hint="eastAsia"/>
        </w:rPr>
        <w:t>1</w:t>
      </w:r>
      <w:r>
        <w:rPr>
          <w:rFonts w:hint="eastAsia"/>
          <w:spacing w:val="-24"/>
        </w:rPr>
        <w:t xml:space="preserve"> 日起施行，有效期至 </w:t>
      </w:r>
      <w:r>
        <w:rPr>
          <w:rFonts w:hint="eastAsia"/>
          <w:spacing w:val="-4"/>
        </w:rPr>
        <w:t>2023</w:t>
      </w:r>
      <w:r>
        <w:rPr>
          <w:rFonts w:hint="eastAsia"/>
          <w:spacing w:val="-59"/>
        </w:rPr>
        <w:t xml:space="preserve"> 年 </w:t>
      </w:r>
      <w:r>
        <w:rPr>
          <w:rFonts w:hint="eastAsia"/>
        </w:rPr>
        <w:t>12</w:t>
      </w:r>
      <w:r>
        <w:rPr>
          <w:rFonts w:hint="eastAsia"/>
          <w:spacing w:val="-60"/>
        </w:rPr>
        <w:t xml:space="preserve"> 月 </w:t>
      </w:r>
      <w:r>
        <w:rPr>
          <w:rFonts w:hint="eastAsia"/>
        </w:rPr>
        <w:t>31</w:t>
      </w:r>
      <w:r>
        <w:rPr>
          <w:rFonts w:hint="eastAsia"/>
          <w:spacing w:val="-32"/>
        </w:rPr>
        <w:t xml:space="preserve"> 日。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2155BA0"/>
    <w:multiLevelType w:val="multilevel"/>
    <w:tmpl w:val="12155BA0"/>
    <w:lvl w:ilvl="0" w:tentative="0">
      <w:start w:val="1"/>
      <w:numFmt w:val="decimal"/>
      <w:lvlText w:val="%1."/>
      <w:lvlJc w:val="left"/>
      <w:pPr>
        <w:ind w:left="108" w:hanging="315"/>
      </w:pPr>
      <w:rPr>
        <w:rFonts w:hint="default" w:ascii="Times New Roman" w:hAnsi="Times New Roman" w:cs="Times New Roman"/>
        <w:spacing w:val="-6"/>
      </w:rPr>
    </w:lvl>
    <w:lvl w:ilvl="1" w:tentative="0">
      <w:start w:val="0"/>
      <w:numFmt w:val="bullet"/>
      <w:lvlText w:val="•"/>
      <w:lvlJc w:val="left"/>
      <w:pPr>
        <w:ind w:left="1002" w:hanging="315"/>
      </w:pPr>
      <w:rPr>
        <w:rFonts w:hint="default" w:ascii="Times New Roman" w:hAnsi="Times New Roman" w:cs="Times New Roman"/>
      </w:rPr>
    </w:lvl>
    <w:lvl w:ilvl="2" w:tentative="0">
      <w:start w:val="0"/>
      <w:numFmt w:val="bullet"/>
      <w:lvlText w:val="•"/>
      <w:lvlJc w:val="left"/>
      <w:pPr>
        <w:ind w:left="1905" w:hanging="315"/>
      </w:pPr>
      <w:rPr>
        <w:rFonts w:hint="default" w:ascii="Times New Roman" w:hAnsi="Times New Roman" w:cs="Times New Roman"/>
      </w:rPr>
    </w:lvl>
    <w:lvl w:ilvl="3" w:tentative="0">
      <w:start w:val="0"/>
      <w:numFmt w:val="bullet"/>
      <w:lvlText w:val="•"/>
      <w:lvlJc w:val="left"/>
      <w:pPr>
        <w:ind w:left="2807" w:hanging="315"/>
      </w:pPr>
      <w:rPr>
        <w:rFonts w:hint="default" w:ascii="Times New Roman" w:hAnsi="Times New Roman" w:cs="Times New Roman"/>
      </w:rPr>
    </w:lvl>
    <w:lvl w:ilvl="4" w:tentative="0">
      <w:start w:val="0"/>
      <w:numFmt w:val="bullet"/>
      <w:lvlText w:val="•"/>
      <w:lvlJc w:val="left"/>
      <w:pPr>
        <w:ind w:left="3710" w:hanging="315"/>
      </w:pPr>
      <w:rPr>
        <w:rFonts w:hint="default" w:ascii="Times New Roman" w:hAnsi="Times New Roman" w:cs="Times New Roman"/>
      </w:rPr>
    </w:lvl>
    <w:lvl w:ilvl="5" w:tentative="0">
      <w:start w:val="0"/>
      <w:numFmt w:val="bullet"/>
      <w:lvlText w:val="•"/>
      <w:lvlJc w:val="left"/>
      <w:pPr>
        <w:ind w:left="4613" w:hanging="315"/>
      </w:pPr>
      <w:rPr>
        <w:rFonts w:hint="default" w:ascii="Times New Roman" w:hAnsi="Times New Roman" w:cs="Times New Roman"/>
      </w:rPr>
    </w:lvl>
    <w:lvl w:ilvl="6" w:tentative="0">
      <w:start w:val="0"/>
      <w:numFmt w:val="bullet"/>
      <w:lvlText w:val="•"/>
      <w:lvlJc w:val="left"/>
      <w:pPr>
        <w:ind w:left="5515" w:hanging="315"/>
      </w:pPr>
      <w:rPr>
        <w:rFonts w:hint="default" w:ascii="Times New Roman" w:hAnsi="Times New Roman" w:cs="Times New Roman"/>
      </w:rPr>
    </w:lvl>
    <w:lvl w:ilvl="7" w:tentative="0">
      <w:start w:val="0"/>
      <w:numFmt w:val="bullet"/>
      <w:lvlText w:val="•"/>
      <w:lvlJc w:val="left"/>
      <w:pPr>
        <w:ind w:left="6418" w:hanging="315"/>
      </w:pPr>
      <w:rPr>
        <w:rFonts w:hint="default" w:ascii="Times New Roman" w:hAnsi="Times New Roman" w:cs="Times New Roman"/>
      </w:rPr>
    </w:lvl>
    <w:lvl w:ilvl="8" w:tentative="0">
      <w:start w:val="0"/>
      <w:numFmt w:val="bullet"/>
      <w:lvlText w:val="•"/>
      <w:lvlJc w:val="left"/>
      <w:pPr>
        <w:ind w:left="7320" w:hanging="315"/>
      </w:pPr>
      <w:rPr>
        <w:rFonts w:hint="default" w:ascii="Times New Roman" w:hAnsi="Times New Roman" w:cs="Times New Roman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EB57BA"/>
    <w:rsid w:val="0CEB5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1040" w:firstLineChars="200"/>
      <w:jc w:val="both"/>
    </w:pPr>
    <w:rPr>
      <w:rFonts w:ascii="Calibri" w:hAnsi="Calibri" w:eastAsia="仿宋" w:cs="黑体"/>
      <w:kern w:val="2"/>
      <w:sz w:val="32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1"/>
    <w:pPr>
      <w:autoSpaceDE w:val="0"/>
      <w:autoSpaceDN w:val="0"/>
      <w:spacing w:line="240" w:lineRule="auto"/>
      <w:ind w:firstLine="0" w:firstLineChars="0"/>
      <w:jc w:val="left"/>
    </w:pPr>
    <w:rPr>
      <w:rFonts w:ascii="仿宋_GB2312" w:hAnsi="宋体" w:eastAsia="仿宋_GB2312" w:cs="宋体"/>
      <w:kern w:val="0"/>
      <w:szCs w:val="32"/>
    </w:rPr>
  </w:style>
  <w:style w:type="paragraph" w:customStyle="1" w:styleId="5">
    <w:name w:val="List Paragraph1"/>
    <w:basedOn w:val="1"/>
    <w:qFormat/>
    <w:uiPriority w:val="0"/>
    <w:pPr>
      <w:autoSpaceDE w:val="0"/>
      <w:autoSpaceDN w:val="0"/>
      <w:spacing w:before="3" w:line="240" w:lineRule="auto"/>
      <w:ind w:left="108" w:right="257" w:firstLine="621" w:firstLineChars="0"/>
      <w:jc w:val="left"/>
    </w:pPr>
    <w:rPr>
      <w:rFonts w:ascii="仿宋_GB2312" w:hAnsi="宋体" w:eastAsia="仿宋_GB2312" w:cs="宋体"/>
      <w:kern w:val="0"/>
      <w:sz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2021-04-15T03:01:00Z</dcterms:created>
  <dc:creator>Administrator</dc:creator>
  <cp:lastModifiedBy>Administrator</cp:lastModifiedBy>
  <dcterms:modified xsi:type="dcterms:W3CDTF">2021-04-15T03:02:14Z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FF1A61B12B284B80AF7C28A11CEA10D6</vt:lpwstr>
  </property>
</Properties>
</file>