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bCs/>
          <w:color w:val="4B4B4B"/>
          <w:sz w:val="30"/>
          <w:szCs w:val="30"/>
        </w:rPr>
      </w:pPr>
      <w:r>
        <w:rPr>
          <w:rFonts w:hint="eastAsia" w:ascii="微软雅黑" w:hAnsi="微软雅黑" w:eastAsia="微软雅黑" w:cs="微软雅黑"/>
          <w:b/>
          <w:bCs/>
          <w:i w:val="0"/>
          <w:iCs w:val="0"/>
          <w:caps w:val="0"/>
          <w:color w:val="4B4B4B"/>
          <w:spacing w:val="0"/>
          <w:sz w:val="30"/>
          <w:szCs w:val="30"/>
          <w:bdr w:val="none" w:color="auto" w:sz="0" w:space="0"/>
          <w:shd w:val="clear" w:fill="FFFFFF"/>
        </w:rPr>
        <w:t>教育部关于印发《幼儿园保育教育</w:t>
      </w:r>
      <w:r>
        <w:rPr>
          <w:rFonts w:hint="eastAsia" w:ascii="微软雅黑" w:hAnsi="微软雅黑" w:eastAsia="微软雅黑" w:cs="微软雅黑"/>
          <w:b/>
          <w:bCs/>
          <w:i w:val="0"/>
          <w:iCs w:val="0"/>
          <w:caps w:val="0"/>
          <w:color w:val="4B4B4B"/>
          <w:spacing w:val="0"/>
          <w:sz w:val="30"/>
          <w:szCs w:val="30"/>
          <w:bdr w:val="none" w:color="auto" w:sz="0" w:space="0"/>
          <w:shd w:val="clear" w:fill="FFFFFF"/>
        </w:rPr>
        <w:br w:type="textWrapping"/>
      </w:r>
      <w:r>
        <w:rPr>
          <w:rFonts w:hint="eastAsia" w:ascii="微软雅黑" w:hAnsi="微软雅黑" w:eastAsia="微软雅黑" w:cs="微软雅黑"/>
          <w:b/>
          <w:bCs/>
          <w:i w:val="0"/>
          <w:iCs w:val="0"/>
          <w:caps w:val="0"/>
          <w:color w:val="4B4B4B"/>
          <w:spacing w:val="0"/>
          <w:sz w:val="30"/>
          <w:szCs w:val="30"/>
          <w:bdr w:val="none" w:color="auto" w:sz="0" w:space="0"/>
          <w:shd w:val="clear" w:fill="FFFFFF"/>
        </w:rPr>
        <w:t>质量评估指南》的通知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教基〔2022〕1号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各省、自治区、直辖市教育厅（教委），新疆生产建设兵团教育局：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《幼儿园保育教育质量评估指南》已经2022年1月18日第2次部党组会审议通过，现印发给你们，请遵照执行。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教育部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2022年2月10日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b/>
          <w:bCs/>
          <w:i w:val="0"/>
          <w:iCs w:val="0"/>
          <w:caps w:val="0"/>
          <w:color w:val="4B4B4B"/>
          <w:spacing w:val="0"/>
          <w:sz w:val="27"/>
          <w:szCs w:val="27"/>
          <w:bdr w:val="none" w:color="auto" w:sz="0" w:space="0"/>
          <w:shd w:val="clear" w:fill="FFFFFF"/>
        </w:rPr>
        <w:t>幼儿园保育教育质量评估指南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为深入贯彻全国教育大会精神，加快建立健全教育评价制度，促进学前教育高质量发展，根据中共中央、国务院《关于学前教育深化改革规范发展的若干意见》和《深化新时代教育评价改革总体方案》精神，制定本指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Fonts w:hint="eastAsia" w:ascii="微软雅黑" w:hAnsi="微软雅黑" w:eastAsia="微软雅黑" w:cs="微软雅黑"/>
          <w:b/>
          <w:bCs/>
          <w:i w:val="0"/>
          <w:iCs w:val="0"/>
          <w:caps w:val="0"/>
          <w:color w:val="4B4B4B"/>
          <w:spacing w:val="0"/>
          <w:sz w:val="27"/>
          <w:szCs w:val="27"/>
          <w:bdr w:val="none" w:color="auto" w:sz="0" w:space="0"/>
          <w:shd w:val="clear" w:fill="FFFFFF"/>
        </w:rPr>
        <w:t>一、总体要求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（一）指导思想</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以习近平新时代中国特色社会主义思想为指导，全面贯彻党的教育方针，落实立德树人根本任务，遵循幼儿发展规律和教育规律，完善以促进幼儿身心健康发展为导向的学前教育质量评估体系，切实扭转不科学的评估导向，强化评估结果运用，推动树立科学保育教育理念，全面提高幼儿园保育教育水平，为培养德智体美劳全面发展的社会主义建设者和接班人奠定坚实基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（二）基本原则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 坚持正确方向。坚持社会主义办园方向，践行为党育人、为国育才使命，树立科学评价导向，推动构建科学保育教育体系，整体提升幼儿园办园水平和保育教育质量。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 坚持儿童为本。尊重幼儿年龄特点和成长规律，注重幼儿发展的整体性和连续性，坚持保教结合，以游戏为基本活动，有效促进幼儿身心健康发展。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3. 坚持科学评估。完善评估内容，突出评估重点，改进评估方式，切实扭转“重结果轻过程、重硬件轻内涵、重他评轻自评”等倾向。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4. 坚持以评促建。充分发挥评估的引导、诊断、改进和激励功能，注重过程性、发展性评估，引导办好每一所幼儿园，促进幼儿园安全优质发展。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Fonts w:hint="eastAsia" w:ascii="微软雅黑" w:hAnsi="微软雅黑" w:eastAsia="微软雅黑" w:cs="微软雅黑"/>
          <w:b/>
          <w:bCs/>
          <w:i w:val="0"/>
          <w:iCs w:val="0"/>
          <w:caps w:val="0"/>
          <w:color w:val="4B4B4B"/>
          <w:spacing w:val="0"/>
          <w:sz w:val="27"/>
          <w:szCs w:val="27"/>
          <w:bdr w:val="none" w:color="auto" w:sz="0" w:space="0"/>
          <w:shd w:val="clear" w:fill="FFFFFF"/>
        </w:rPr>
        <w:t>二、评估内容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坚持以促进幼儿身心健康发展为导向，聚焦幼儿园保育教育过程质量，评估内容主要包括办园方向、保育与安全、教育过程、环境创设、教师队伍等5个方面，共15项关键指标和48个考查要点。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（一）办园方向。包括党建工作、品德启蒙和科学理念等3项关键指标，旨在促进幼儿园全面贯彻党的教育方针，落实立德树人根本任务，强化党组织战斗堡垒作用，树立科学保育教育理念，确保正确办园方向。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保育与安全。包括卫生保健、生活照料、安全防护等3项关键指标，旨在促进幼儿园加强膳食营养、疾病预防、健康检查等工作，建立合理的生活常规，强化医护保健人员配备、安全保障和制度落实，确保幼儿生命安全和身心健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（三）教育过程。包括活动组织、师幼互动和家园共育等3项关键指标，旨在促进幼儿园坚持以游戏为基本活动，理解尊重幼儿并支持其有意义地学习，强化家园协同育人，不断提高保育教育质量。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四）环境创设。包括空间设施、玩具材料等2项关键指标，旨在促进幼儿园积极创设丰富适宜、富有童趣、有利于支持幼儿学习探索的教育环境，配备数量充足、种类多样的玩教具和图画书，有效支持保育教育工作科学实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五）教师队伍。包括师德师风、人员配备、专业发展和激励机制等4项关键指标，旨在促进幼儿园加强教师师德工作，注重教师专业能力建设，提高园长专业领导力，采取有效措施激励教师爱岗敬业、潜心育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Fonts w:hint="eastAsia" w:ascii="微软雅黑" w:hAnsi="微软雅黑" w:eastAsia="微软雅黑" w:cs="微软雅黑"/>
          <w:b/>
          <w:bCs/>
          <w:i w:val="0"/>
          <w:iCs w:val="0"/>
          <w:caps w:val="0"/>
          <w:color w:val="4B4B4B"/>
          <w:spacing w:val="0"/>
          <w:sz w:val="27"/>
          <w:szCs w:val="27"/>
          <w:bdr w:val="none" w:color="auto" w:sz="0" w:space="0"/>
          <w:shd w:val="clear" w:fill="FFFFFF"/>
        </w:rPr>
        <w:t>三、评估方式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（一）注重过程评估。重点关注保育教育过程质量，关注幼儿园提升保教水平的努力程度和改进过程，严禁用直接测查幼儿能力和发展水平的方式评估幼儿园保育教育质量。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强化自我评估。幼儿园应建立常态化的自我评估机制，促进教职工主动参与，通过集体诊断，反思自身教育行为，提出改进措施。同时，有效发挥外部评估的导向、激励作用，有针对性地引导幼儿园不断完善自我评估，改进保育教育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聚焦班级观察。通过不少于半日的连续自然观察，了解教师与幼儿互动情况，准确判断教师对促进幼儿学习与发展所做的努力与支持，全面、客观、真实地了解幼儿园保育教育过程和质量。外部评估的班级观察采取随机抽取的方式，覆盖面不少于各年龄班级总数的三分之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Fonts w:hint="eastAsia" w:ascii="微软雅黑" w:hAnsi="微软雅黑" w:eastAsia="微软雅黑" w:cs="微软雅黑"/>
          <w:b/>
          <w:bCs/>
          <w:i w:val="0"/>
          <w:iCs w:val="0"/>
          <w:caps w:val="0"/>
          <w:color w:val="4B4B4B"/>
          <w:spacing w:val="0"/>
          <w:sz w:val="27"/>
          <w:szCs w:val="27"/>
          <w:bdr w:val="none" w:color="auto" w:sz="0" w:space="0"/>
          <w:shd w:val="clear" w:fill="FFFFFF"/>
        </w:rPr>
        <w:t>四、组织实施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加强组织领导。各地要高度重视幼儿园保育教育质量评估工作，将其作为促进学前教育高质量发展、办好人民满意教育的重要举措，纳入本地深化教育评价改革重要内容，建立党委领导、政府教育督导部门牵头、部门协同、多方参与的组织实施机制。各省（区、市）要结合实际，完善本地质量评估具体标准，编制幼儿园保育教育质量自评指导手册，增强质量评估的操作性，确保评估工作有效实施。要逐步将幼儿园保育教育质量评估工作与已经开展的对地方政府履行教育职责评价、学前教育普及普惠督导评估、幼儿园办园行为督导评估等工作统筹实施，避免重复评估，切实减轻基层和幼儿园迎检负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明确评估周期。幼儿园每学期开展一次自我评估，教育部门要加强对幼儿园保育教育工作和自评的指导。县级督导评估依据所辖园数和工作需要，原则上每3—5年为一个周期，确保每个周期内覆盖所有幼儿园。省、市结合实际适当开展抽查，具体抽查比例由各省（区、市）自行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强化评估保障。各地要为幼儿园保育教育质量评估提供必要的经费保障，支持开展评估研究。要切实加强评估队伍建设，建立一支尊重学前教育规律、熟悉幼儿园保育教育实践、事业心责任感强、相对稳定的专业化评估队伍，评估人员主要由督学、学前教育行政人员、教研人员、园长、骨干教师等组成，强化评估人员专业能力建设。加强对本指南的学习培训，推动幼儿园园长、教师自觉运用对本指南自我反思改进，不断提高保育教育水平。</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四）注重激励引导。各地要将幼儿园保育教育质量评估结果作为对幼儿园表彰奖励、政策支持、资源配置、园长考核以及民办园年检、普惠性民办园认定扶持等方面工作的重要依据。对履职不到位、违反有关政策规定、违背幼儿身心发展规律、保教质量持续下滑的幼儿园，要及时督促整改，并视情况依法依规追究责任。要通过幼儿园保育教育质量评估工作，积极推动地方政府履行相应教育职责，为办好学前教育提供充分的条件保障和良好的政策环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五）营造良好氛围。要广泛宣传国家关于学前教育改革发展的政策措施，深入解读幼儿园保育教育质量评估的重要意义、内容要求和指标体系，认真总结推广质量评估工作先进典型经验，有效发挥示范引领作用，积极开展国际交流与合作，营造有利于促进学前教育高质量发展的良好氛围。</w:t>
      </w:r>
    </w:p>
    <w:p>
      <w:pPr>
        <w:overflowPunct w:val="0"/>
        <w:spacing w:line="600" w:lineRule="exact"/>
        <w:rPr>
          <w:rFonts w:hint="eastAsia" w:ascii="黑体" w:hAnsi="黑体" w:eastAsia="黑体" w:cs="黑体"/>
          <w:color w:val="000000" w:themeColor="text1"/>
          <w:sz w:val="32"/>
          <w:szCs w:val="24"/>
          <w14:textFill>
            <w14:solidFill>
              <w14:schemeClr w14:val="tx1"/>
            </w14:solidFill>
          </w14:textFill>
        </w:rPr>
        <w:sectPr>
          <w:footerReference r:id="rId3" w:type="default"/>
          <w:pgSz w:w="11906" w:h="16838"/>
          <w:pgMar w:top="1213" w:right="1406" w:bottom="1213" w:left="1406" w:header="851" w:footer="879" w:gutter="0"/>
          <w:cols w:space="0" w:num="1"/>
          <w:docGrid w:type="lines" w:linePitch="312" w:charSpace="0"/>
        </w:sectPr>
      </w:pPr>
      <w:bookmarkStart w:id="0" w:name="_GoBack"/>
      <w:bookmarkEnd w:id="0"/>
    </w:p>
    <w:p>
      <w:pPr>
        <w:overflowPunct w:val="0"/>
        <w:spacing w:line="600" w:lineRule="exact"/>
        <w:rPr>
          <w:rFonts w:ascii="黑体" w:hAnsi="黑体" w:eastAsia="黑体" w:cs="黑体"/>
          <w:color w:val="000000" w:themeColor="text1"/>
          <w:sz w:val="32"/>
          <w:szCs w:val="24"/>
          <w14:textFill>
            <w14:solidFill>
              <w14:schemeClr w14:val="tx1"/>
            </w14:solidFill>
          </w14:textFill>
        </w:rPr>
      </w:pPr>
      <w:r>
        <w:rPr>
          <w:rFonts w:hint="eastAsia" w:ascii="黑体" w:hAnsi="黑体" w:eastAsia="黑体" w:cs="黑体"/>
          <w:color w:val="000000" w:themeColor="text1"/>
          <w:sz w:val="32"/>
          <w:szCs w:val="24"/>
          <w14:textFill>
            <w14:solidFill>
              <w14:schemeClr w14:val="tx1"/>
            </w14:solidFill>
          </w14:textFill>
        </w:rPr>
        <w:t>附件</w:t>
      </w:r>
    </w:p>
    <w:p>
      <w:pPr>
        <w:overflowPunct w:val="0"/>
        <w:spacing w:after="156" w:afterLines="50" w:line="600" w:lineRule="exact"/>
        <w:jc w:val="center"/>
        <w:rPr>
          <w:rFonts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幼儿园保育教育质量评估指标</w:t>
      </w:r>
    </w:p>
    <w:tbl>
      <w:tblPr>
        <w:tblStyle w:val="11"/>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2115"/>
        <w:gridCol w:w="10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blHeader/>
          <w:jc w:val="center"/>
        </w:trPr>
        <w:tc>
          <w:tcPr>
            <w:tcW w:w="1868" w:type="dxa"/>
            <w:shd w:val="clear" w:color="auto" w:fill="B4C6E7" w:themeFill="accent1" w:themeFillTint="66"/>
            <w:vAlign w:val="center"/>
          </w:tcPr>
          <w:p>
            <w:pPr>
              <w:overflowPunct w:val="0"/>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黑体" w:cs="黑体"/>
                <w:color w:val="000000" w:themeColor="text1"/>
                <w:sz w:val="30"/>
                <w:szCs w:val="30"/>
                <w14:textFill>
                  <w14:solidFill>
                    <w14:schemeClr w14:val="tx1"/>
                  </w14:solidFill>
                </w14:textFill>
              </w:rPr>
              <w:t>重点内容</w:t>
            </w:r>
          </w:p>
        </w:tc>
        <w:tc>
          <w:tcPr>
            <w:tcW w:w="2115" w:type="dxa"/>
            <w:shd w:val="clear" w:color="auto" w:fill="B4C6E7" w:themeFill="accent1" w:themeFillTint="66"/>
            <w:vAlign w:val="center"/>
          </w:tcPr>
          <w:p>
            <w:pPr>
              <w:overflowPunct w:val="0"/>
              <w:snapToGrid w:val="0"/>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黑体" w:cs="黑体"/>
                <w:color w:val="000000" w:themeColor="text1"/>
                <w:sz w:val="30"/>
                <w:szCs w:val="30"/>
                <w14:textFill>
                  <w14:solidFill>
                    <w14:schemeClr w14:val="tx1"/>
                  </w14:solidFill>
                </w14:textFill>
              </w:rPr>
              <w:t>关键指标</w:t>
            </w:r>
          </w:p>
        </w:tc>
        <w:tc>
          <w:tcPr>
            <w:tcW w:w="10657" w:type="dxa"/>
            <w:shd w:val="clear" w:color="auto" w:fill="B4C6E7" w:themeFill="accent1" w:themeFillTint="66"/>
            <w:vAlign w:val="center"/>
          </w:tcPr>
          <w:p>
            <w:pPr>
              <w:overflowPunct w:val="0"/>
              <w:spacing w:line="500" w:lineRule="exact"/>
              <w:jc w:val="center"/>
              <w:rPr>
                <w:rFonts w:ascii="Times New Roman" w:hAnsi="Times New Roman"/>
                <w:b/>
                <w:bCs/>
                <w:color w:val="000000" w:themeColor="text1"/>
                <w:sz w:val="30"/>
                <w:szCs w:val="30"/>
                <w14:textFill>
                  <w14:solidFill>
                    <w14:schemeClr w14:val="tx1"/>
                  </w14:solidFill>
                </w14:textFill>
              </w:rPr>
            </w:pPr>
            <w:r>
              <w:rPr>
                <w:rFonts w:hint="eastAsia" w:ascii="Times New Roman" w:hAnsi="Times New Roman" w:eastAsia="黑体" w:cs="黑体"/>
                <w:color w:val="000000" w:themeColor="text1"/>
                <w:sz w:val="30"/>
                <w:szCs w:val="30"/>
                <w14:textFill>
                  <w14:solidFill>
                    <w14:schemeClr w14:val="tx1"/>
                  </w14:solidFill>
                </w14:textFill>
              </w:rPr>
              <w:t>考查要点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1868" w:type="dxa"/>
            <w:vMerge w:val="restart"/>
            <w:vAlign w:val="center"/>
          </w:tcPr>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仿宋_GB2312"/>
                <w:b/>
                <w:bCs/>
                <w:color w:val="000000" w:themeColor="text1"/>
                <w:sz w:val="30"/>
                <w:szCs w:val="30"/>
                <w14:textFill>
                  <w14:solidFill>
                    <w14:schemeClr w14:val="tx1"/>
                  </w14:solidFill>
                </w14:textFill>
              </w:rPr>
              <w:t>A1.办园方向</w:t>
            </w:r>
          </w:p>
        </w:tc>
        <w:tc>
          <w:tcPr>
            <w:tcW w:w="2115" w:type="dxa"/>
            <w:vAlign w:val="center"/>
          </w:tcPr>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仿宋_GB2312"/>
                <w:b/>
                <w:bCs/>
                <w:color w:val="000000" w:themeColor="text1"/>
                <w:sz w:val="30"/>
                <w:szCs w:val="30"/>
                <w14:textFill>
                  <w14:solidFill>
                    <w14:schemeClr w14:val="tx1"/>
                  </w14:solidFill>
                </w14:textFill>
              </w:rPr>
              <w:t>B1.党建工作</w:t>
            </w:r>
          </w:p>
        </w:tc>
        <w:tc>
          <w:tcPr>
            <w:tcW w:w="10657" w:type="dxa"/>
          </w:tcPr>
          <w:p>
            <w:pPr>
              <w:pStyle w:val="16"/>
              <w:numPr>
                <w:ilvl w:val="0"/>
                <w:numId w:val="1"/>
              </w:numPr>
              <w:tabs>
                <w:tab w:val="clear" w:pos="420"/>
              </w:tabs>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健全党组织对幼儿园工作领导的制度机制，以政治建设为统领，加强幼儿园领导班子建设，推进党的工作与保育教育工作紧密融合。</w:t>
            </w:r>
          </w:p>
          <w:p>
            <w:pPr>
              <w:pStyle w:val="16"/>
              <w:numPr>
                <w:ilvl w:val="0"/>
                <w:numId w:val="1"/>
              </w:numPr>
              <w:tabs>
                <w:tab w:val="clear" w:pos="420"/>
              </w:tabs>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落实幼儿园党的组织和党的工作全覆盖，加强教师思想政治工作，落实党风廉政建设责任制和意识形态工作责任制，坚持党建带团建，充分发挥工会、共青团等群团组织的作用。</w:t>
            </w:r>
          </w:p>
          <w:p>
            <w:pPr>
              <w:pStyle w:val="16"/>
              <w:numPr>
                <w:ilvl w:val="0"/>
                <w:numId w:val="1"/>
              </w:numPr>
              <w:tabs>
                <w:tab w:val="clear" w:pos="420"/>
              </w:tabs>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坚持社会主义办园方向，积极研究制定幼儿园发展规划和年度工作计划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8" w:type="dxa"/>
            <w:vMerge w:val="continue"/>
            <w:vAlign w:val="center"/>
          </w:tcPr>
          <w:p>
            <w:pPr>
              <w:pStyle w:val="16"/>
              <w:numPr>
                <w:ilvl w:val="255"/>
                <w:numId w:val="0"/>
              </w:numPr>
              <w:spacing w:line="500" w:lineRule="exact"/>
              <w:ind w:left="360" w:hanging="360"/>
              <w:rPr>
                <w:rFonts w:ascii="Times New Roman" w:hAnsi="Times New Roman"/>
                <w:b/>
                <w:bCs/>
                <w:color w:val="000000" w:themeColor="text1"/>
                <w:sz w:val="30"/>
                <w:szCs w:val="30"/>
                <w14:textFill>
                  <w14:solidFill>
                    <w14:schemeClr w14:val="tx1"/>
                  </w14:solidFill>
                </w14:textFill>
              </w:rPr>
            </w:pPr>
          </w:p>
        </w:tc>
        <w:tc>
          <w:tcPr>
            <w:tcW w:w="2115" w:type="dxa"/>
            <w:vAlign w:val="center"/>
          </w:tcPr>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仿宋_GB2312"/>
                <w:b/>
                <w:bCs/>
                <w:color w:val="000000" w:themeColor="text1"/>
                <w:sz w:val="30"/>
                <w:szCs w:val="30"/>
                <w14:textFill>
                  <w14:solidFill>
                    <w14:schemeClr w14:val="tx1"/>
                  </w14:solidFill>
                </w14:textFill>
              </w:rPr>
              <w:t>B2.品德启蒙</w:t>
            </w:r>
          </w:p>
        </w:tc>
        <w:tc>
          <w:tcPr>
            <w:tcW w:w="10657" w:type="dxa"/>
            <w:vAlign w:val="center"/>
          </w:tcPr>
          <w:p>
            <w:pPr>
              <w:pStyle w:val="16"/>
              <w:numPr>
                <w:ilvl w:val="0"/>
                <w:numId w:val="1"/>
              </w:numPr>
              <w:tabs>
                <w:tab w:val="clear" w:pos="420"/>
              </w:tabs>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全面贯彻党的教育方针，落实立德树人根本任务，坚持保育教育结合，将培育和践行社会主义核心价值观融入保育教育全过程，注重从小做起、从点滴做起，为培养德智体美劳全面发展的社会主义建设者和接班人奠基。</w:t>
            </w:r>
          </w:p>
          <w:p>
            <w:pPr>
              <w:pStyle w:val="16"/>
              <w:numPr>
                <w:ilvl w:val="0"/>
                <w:numId w:val="1"/>
              </w:numPr>
              <w:tabs>
                <w:tab w:val="clear" w:pos="420"/>
              </w:tabs>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注重幼儿良好品德和行为习惯养成，潜移默化贯穿于一日生活和各项活动，创设温暖、关爱、平等的集体生活氛围，建立积极和谐的同伴关系；帮助幼儿学会生活，养成自己的事情自己做的习惯，培育幼儿爱父母长辈、爱老师同伴、爱集体、爱家乡、爱党爱国的情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8" w:type="dxa"/>
            <w:vMerge w:val="continue"/>
            <w:vAlign w:val="center"/>
          </w:tcPr>
          <w:p>
            <w:pPr>
              <w:pStyle w:val="16"/>
              <w:numPr>
                <w:ilvl w:val="255"/>
                <w:numId w:val="0"/>
              </w:numPr>
              <w:spacing w:line="500" w:lineRule="exact"/>
              <w:ind w:left="360" w:hanging="360"/>
              <w:rPr>
                <w:rFonts w:ascii="Times New Roman" w:hAnsi="Times New Roman"/>
                <w:b/>
                <w:bCs/>
                <w:color w:val="000000" w:themeColor="text1"/>
                <w:sz w:val="30"/>
                <w:szCs w:val="30"/>
                <w14:textFill>
                  <w14:solidFill>
                    <w14:schemeClr w14:val="tx1"/>
                  </w14:solidFill>
                </w14:textFill>
              </w:rPr>
            </w:pPr>
          </w:p>
        </w:tc>
        <w:tc>
          <w:tcPr>
            <w:tcW w:w="2115" w:type="dxa"/>
            <w:vAlign w:val="center"/>
          </w:tcPr>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仿宋_GB2312"/>
                <w:b/>
                <w:bCs/>
                <w:color w:val="000000" w:themeColor="text1"/>
                <w:sz w:val="30"/>
                <w:szCs w:val="30"/>
                <w14:textFill>
                  <w14:solidFill>
                    <w14:schemeClr w14:val="tx1"/>
                  </w14:solidFill>
                </w14:textFill>
              </w:rPr>
              <w:t>B3.科学理念</w:t>
            </w:r>
          </w:p>
        </w:tc>
        <w:tc>
          <w:tcPr>
            <w:tcW w:w="10657" w:type="dxa"/>
            <w:vAlign w:val="center"/>
          </w:tcPr>
          <w:p>
            <w:pPr>
              <w:pStyle w:val="16"/>
              <w:numPr>
                <w:ilvl w:val="0"/>
                <w:numId w:val="1"/>
              </w:numPr>
              <w:tabs>
                <w:tab w:val="clear" w:pos="420"/>
              </w:tabs>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遵循幼儿身心发展规律和学前教育规律，尊重幼儿个体差异，坚持以游戏为基本活动，珍视生活和游戏的独特教育价值。</w:t>
            </w:r>
          </w:p>
          <w:p>
            <w:pPr>
              <w:pStyle w:val="16"/>
              <w:numPr>
                <w:ilvl w:val="0"/>
                <w:numId w:val="1"/>
              </w:numPr>
              <w:spacing w:line="500" w:lineRule="exact"/>
              <w:ind w:left="420" w:hangingChars="140"/>
              <w:jc w:val="both"/>
              <w:rPr>
                <w:rFonts w:ascii="Times New Roman" w:hAnsi="Times New Roman" w:cs="仿宋_GB2312"/>
                <w:b/>
                <w:bCs/>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充分尊重和保护幼儿的好奇心和探究兴趣，相信每一个幼儿都是积极主动、有能力的学习者，最大限度地支持和满足幼儿通过直接感知、实际操作和亲身体验获取经验的需要。不提前教授小学阶段的课程内容，不搞不切实际的特色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868" w:type="dxa"/>
            <w:vMerge w:val="restart"/>
            <w:vAlign w:val="center"/>
          </w:tcPr>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仿宋_GB2312"/>
                <w:b/>
                <w:bCs/>
                <w:color w:val="000000" w:themeColor="text1"/>
                <w:sz w:val="30"/>
                <w:szCs w:val="30"/>
                <w14:textFill>
                  <w14:solidFill>
                    <w14:schemeClr w14:val="tx1"/>
                  </w14:solidFill>
                </w14:textFill>
              </w:rPr>
              <w:t>A2</w:t>
            </w:r>
            <w:r>
              <w:rPr>
                <w:rFonts w:ascii="Times New Roman" w:hAnsi="Times New Roman" w:eastAsia="仿宋_GB2312"/>
                <w:b/>
                <w:bCs/>
                <w:color w:val="000000" w:themeColor="text1"/>
                <w:sz w:val="30"/>
                <w:szCs w:val="30"/>
                <w14:textFill>
                  <w14:solidFill>
                    <w14:schemeClr w14:val="tx1"/>
                  </w14:solidFill>
                </w14:textFill>
              </w:rPr>
              <w:t>.保育与安全</w:t>
            </w:r>
          </w:p>
        </w:tc>
        <w:tc>
          <w:tcPr>
            <w:tcW w:w="2115" w:type="dxa"/>
            <w:vAlign w:val="center"/>
          </w:tcPr>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仿宋_GB2312"/>
                <w:b/>
                <w:bCs/>
                <w:color w:val="000000" w:themeColor="text1"/>
                <w:sz w:val="30"/>
                <w:szCs w:val="30"/>
                <w14:textFill>
                  <w14:solidFill>
                    <w14:schemeClr w14:val="tx1"/>
                  </w14:solidFill>
                </w14:textFill>
              </w:rPr>
              <w:t>B4.</w:t>
            </w:r>
            <w:r>
              <w:rPr>
                <w:rFonts w:ascii="Times New Roman" w:hAnsi="Times New Roman" w:eastAsia="仿宋_GB2312"/>
                <w:b/>
                <w:bCs/>
                <w:color w:val="000000" w:themeColor="text1"/>
                <w:sz w:val="30"/>
                <w:szCs w:val="30"/>
                <w14:textFill>
                  <w14:solidFill>
                    <w14:schemeClr w14:val="tx1"/>
                  </w14:solidFill>
                </w14:textFill>
              </w:rPr>
              <w:t>卫生保健</w:t>
            </w:r>
          </w:p>
        </w:tc>
        <w:tc>
          <w:tcPr>
            <w:tcW w:w="10657" w:type="dxa"/>
            <w:vAlign w:val="center"/>
          </w:tcPr>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膳食营养、卫生消毒、疾病预防、健康检查等工作制度和岗位职责健全，并认真抓好落实。</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科学制定带量食谱，确保幼儿膳食营养均衡，引导幼儿养成良好饮食习惯。</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教职工具有传染病防控常识，认真落实传染病报告制度，具备快速应对和防控处置能力。</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按资质要求配备专（兼）职卫生保健人员，认真做好幼儿膳食指导、晨午检和健康观察、疾病预防、幼儿生长发育监测等工作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8" w:type="dxa"/>
            <w:vMerge w:val="continue"/>
            <w:vAlign w:val="center"/>
          </w:tcPr>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p>
        </w:tc>
        <w:tc>
          <w:tcPr>
            <w:tcW w:w="2115" w:type="dxa"/>
            <w:vAlign w:val="center"/>
          </w:tcPr>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仿宋_GB2312"/>
                <w:b/>
                <w:bCs/>
                <w:color w:val="000000" w:themeColor="text1"/>
                <w:sz w:val="30"/>
                <w:szCs w:val="30"/>
                <w14:textFill>
                  <w14:solidFill>
                    <w14:schemeClr w14:val="tx1"/>
                  </w14:solidFill>
                </w14:textFill>
              </w:rPr>
              <w:t>B5.</w:t>
            </w:r>
            <w:r>
              <w:rPr>
                <w:rFonts w:ascii="Times New Roman" w:hAnsi="Times New Roman" w:eastAsia="仿宋_GB2312"/>
                <w:b/>
                <w:bCs/>
                <w:color w:val="000000" w:themeColor="text1"/>
                <w:sz w:val="30"/>
                <w:szCs w:val="30"/>
                <w14:textFill>
                  <w14:solidFill>
                    <w14:schemeClr w14:val="tx1"/>
                  </w14:solidFill>
                </w14:textFill>
              </w:rPr>
              <w:t>生活照料</w:t>
            </w:r>
          </w:p>
        </w:tc>
        <w:tc>
          <w:tcPr>
            <w:tcW w:w="10657" w:type="dxa"/>
          </w:tcPr>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帮助幼儿建立合理生活常规，引导幼儿根据需要自主饮水、盥洗、如厕、增减衣物等，养成良好的生活卫生习惯。</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指导幼儿进行餐前准备、餐后清洁、图画书与玩具整理等自我服务，引导幼儿养成劳动习惯，增强环保意识、集体责任感。</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制定并实施与幼儿身体发展相适应的体格锻炼计划，保证每天户外活动时间不少于</w:t>
            </w:r>
            <w:r>
              <w:rPr>
                <w:rFonts w:ascii="Times New Roman" w:hAnsi="Times New Roman" w:cs="仿宋_GB2312"/>
                <w:color w:val="000000" w:themeColor="text1"/>
                <w:sz w:val="30"/>
                <w:szCs w:val="30"/>
                <w14:textFill>
                  <w14:solidFill>
                    <w14:schemeClr w14:val="tx1"/>
                  </w14:solidFill>
                </w14:textFill>
              </w:rPr>
              <w:t>2小时，体育活动时间不少于1小时。</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重视有特殊需要的幼儿，尽可能创造条件让幼儿参与班级的各项活动，同时给予必要的照料。根据需要及时与家长沟通，帮助幼儿获得专业的康复指导与治疗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868" w:type="dxa"/>
            <w:vMerge w:val="continue"/>
            <w:vAlign w:val="center"/>
          </w:tcPr>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p>
        </w:tc>
        <w:tc>
          <w:tcPr>
            <w:tcW w:w="2115" w:type="dxa"/>
            <w:vAlign w:val="center"/>
          </w:tcPr>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仿宋_GB2312"/>
                <w:b/>
                <w:bCs/>
                <w:color w:val="000000" w:themeColor="text1"/>
                <w:sz w:val="30"/>
                <w:szCs w:val="30"/>
                <w14:textFill>
                  <w14:solidFill>
                    <w14:schemeClr w14:val="tx1"/>
                  </w14:solidFill>
                </w14:textFill>
              </w:rPr>
              <w:t>B6.</w:t>
            </w:r>
            <w:r>
              <w:rPr>
                <w:rFonts w:ascii="Times New Roman" w:hAnsi="Times New Roman" w:eastAsia="仿宋_GB2312"/>
                <w:b/>
                <w:bCs/>
                <w:color w:val="000000" w:themeColor="text1"/>
                <w:sz w:val="30"/>
                <w:szCs w:val="30"/>
                <w14:textFill>
                  <w14:solidFill>
                    <w14:schemeClr w14:val="tx1"/>
                  </w14:solidFill>
                </w14:textFill>
              </w:rPr>
              <w:t>安全防护</w:t>
            </w:r>
          </w:p>
        </w:tc>
        <w:tc>
          <w:tcPr>
            <w:tcW w:w="10657" w:type="dxa"/>
          </w:tcPr>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认真落实幼儿园各项安全管理制度和措施，每学期开学前分析研判潜在的安全风险，有针对性地完善安全管理措施。</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保教人员具有安全保护意识，做好环境、设施设备、玩具材料等方面的日常检查维护，及时消除安全隐患。发生意外时，优先保护幼儿的安全。</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幼儿园切实把安全教育融入幼儿一日生活，帮助幼儿学习判断环境、设施设备和玩具材料可能出现的安全风险，增强安全防范意识，提高自我保护能力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Merge w:val="restart"/>
            <w:vAlign w:val="center"/>
          </w:tcPr>
          <w:p>
            <w:pPr>
              <w:spacing w:line="500" w:lineRule="exact"/>
              <w:rPr>
                <w:rFonts w:ascii="Times New Roman" w:hAnsi="Times New Roman" w:eastAsia="仿宋_GB2312"/>
                <w:b/>
                <w:bCs/>
                <w:color w:val="000000" w:themeColor="text1"/>
                <w:sz w:val="30"/>
                <w:szCs w:val="30"/>
                <w14:textFill>
                  <w14:solidFill>
                    <w14:schemeClr w14:val="tx1"/>
                  </w14:solidFill>
                </w14:textFill>
              </w:rPr>
            </w:pPr>
          </w:p>
          <w:p>
            <w:pPr>
              <w:spacing w:line="500" w:lineRule="exact"/>
              <w:rPr>
                <w:rFonts w:ascii="Times New Roman" w:hAnsi="Times New Roman" w:eastAsia="仿宋_GB2312"/>
                <w:b/>
                <w:bCs/>
                <w:color w:val="000000" w:themeColor="text1"/>
                <w:sz w:val="30"/>
                <w:szCs w:val="30"/>
                <w14:textFill>
                  <w14:solidFill>
                    <w14:schemeClr w14:val="tx1"/>
                  </w14:solidFill>
                </w14:textFill>
              </w:rPr>
            </w:pPr>
          </w:p>
          <w:p>
            <w:pPr>
              <w:spacing w:line="500" w:lineRule="exact"/>
              <w:rPr>
                <w:rFonts w:ascii="Times New Roman" w:hAnsi="Times New Roman" w:eastAsia="仿宋_GB2312"/>
                <w:b/>
                <w:bCs/>
                <w:color w:val="000000" w:themeColor="text1"/>
                <w:sz w:val="30"/>
                <w:szCs w:val="30"/>
                <w14:textFill>
                  <w14:solidFill>
                    <w14:schemeClr w14:val="tx1"/>
                  </w14:solidFill>
                </w14:textFill>
              </w:rPr>
            </w:pPr>
          </w:p>
          <w:p>
            <w:pPr>
              <w:spacing w:line="500" w:lineRule="exact"/>
              <w:rPr>
                <w:rFonts w:ascii="Times New Roman" w:hAnsi="Times New Roman" w:eastAsia="仿宋_GB2312"/>
                <w:b/>
                <w:bCs/>
                <w:color w:val="000000" w:themeColor="text1"/>
                <w:sz w:val="30"/>
                <w:szCs w:val="30"/>
                <w14:textFill>
                  <w14:solidFill>
                    <w14:schemeClr w14:val="tx1"/>
                  </w14:solidFill>
                </w14:textFill>
              </w:rPr>
            </w:pPr>
          </w:p>
          <w:p>
            <w:pPr>
              <w:spacing w:line="500" w:lineRule="exact"/>
              <w:rPr>
                <w:rFonts w:ascii="Times New Roman" w:hAnsi="Times New Roman" w:eastAsia="仿宋_GB2312"/>
                <w:b/>
                <w:bCs/>
                <w:color w:val="000000" w:themeColor="text1"/>
                <w:sz w:val="30"/>
                <w:szCs w:val="30"/>
                <w14:textFill>
                  <w14:solidFill>
                    <w14:schemeClr w14:val="tx1"/>
                  </w14:solidFill>
                </w14:textFill>
              </w:rPr>
            </w:pPr>
          </w:p>
          <w:p>
            <w:pPr>
              <w:spacing w:line="500" w:lineRule="exact"/>
              <w:rPr>
                <w:rFonts w:ascii="Times New Roman" w:hAnsi="Times New Roman" w:eastAsia="仿宋_GB2312"/>
                <w:b/>
                <w:bCs/>
                <w:color w:val="000000" w:themeColor="text1"/>
                <w:sz w:val="30"/>
                <w:szCs w:val="30"/>
                <w14:textFill>
                  <w14:solidFill>
                    <w14:schemeClr w14:val="tx1"/>
                  </w14:solidFill>
                </w14:textFill>
              </w:rPr>
            </w:pPr>
          </w:p>
          <w:p>
            <w:pPr>
              <w:spacing w:line="500" w:lineRule="exact"/>
              <w:rPr>
                <w:rFonts w:ascii="Times New Roman" w:hAnsi="Times New Roman" w:eastAsia="仿宋_GB2312"/>
                <w:b/>
                <w:bCs/>
                <w:color w:val="000000" w:themeColor="text1"/>
                <w:sz w:val="30"/>
                <w:szCs w:val="30"/>
                <w14:textFill>
                  <w14:solidFill>
                    <w14:schemeClr w14:val="tx1"/>
                  </w14:solidFill>
                </w14:textFill>
              </w:rPr>
            </w:pPr>
          </w:p>
          <w:p>
            <w:pPr>
              <w:spacing w:line="500" w:lineRule="exact"/>
              <w:rPr>
                <w:rFonts w:ascii="Times New Roman" w:hAnsi="Times New Roman" w:eastAsia="仿宋_GB2312"/>
                <w:b/>
                <w:bCs/>
                <w:color w:val="000000" w:themeColor="text1"/>
                <w:sz w:val="30"/>
                <w:szCs w:val="30"/>
                <w14:textFill>
                  <w14:solidFill>
                    <w14:schemeClr w14:val="tx1"/>
                  </w14:solidFill>
                </w14:textFill>
              </w:rPr>
            </w:pPr>
          </w:p>
          <w:p>
            <w:pPr>
              <w:spacing w:line="500" w:lineRule="exact"/>
              <w:rPr>
                <w:rFonts w:ascii="Times New Roman" w:hAnsi="Times New Roman" w:eastAsia="仿宋_GB2312"/>
                <w:b/>
                <w:bCs/>
                <w:color w:val="000000" w:themeColor="text1"/>
                <w:sz w:val="30"/>
                <w:szCs w:val="30"/>
                <w14:textFill>
                  <w14:solidFill>
                    <w14:schemeClr w14:val="tx1"/>
                  </w14:solidFill>
                </w14:textFill>
              </w:rPr>
            </w:pPr>
          </w:p>
          <w:p>
            <w:pPr>
              <w:pStyle w:val="2"/>
              <w:rPr>
                <w:rFonts w:ascii="Times New Roman" w:hAnsi="Times New Roman" w:eastAsia="仿宋_GB2312"/>
                <w:color w:val="000000" w:themeColor="text1"/>
                <w:sz w:val="30"/>
                <w:szCs w:val="30"/>
                <w14:textFill>
                  <w14:solidFill>
                    <w14:schemeClr w14:val="tx1"/>
                  </w14:solidFill>
                </w14:textFill>
              </w:rPr>
            </w:pPr>
          </w:p>
          <w:p>
            <w:pPr>
              <w:rPr>
                <w:rFonts w:ascii="Times New Roman" w:hAnsi="Times New Roman" w:eastAsia="仿宋_GB2312"/>
                <w:b/>
                <w:bCs/>
                <w:color w:val="000000" w:themeColor="text1"/>
                <w:sz w:val="30"/>
                <w:szCs w:val="30"/>
                <w14:textFill>
                  <w14:solidFill>
                    <w14:schemeClr w14:val="tx1"/>
                  </w14:solidFill>
                </w14:textFill>
              </w:rPr>
            </w:pPr>
          </w:p>
          <w:p>
            <w:pPr>
              <w:rPr>
                <w:rFonts w:ascii="Times New Roman" w:hAnsi="Times New Roman" w:eastAsia="仿宋_GB2312"/>
                <w:b/>
                <w:bCs/>
                <w:color w:val="000000" w:themeColor="text1"/>
                <w:sz w:val="30"/>
                <w:szCs w:val="30"/>
                <w14:textFill>
                  <w14:solidFill>
                    <w14:schemeClr w14:val="tx1"/>
                  </w14:solidFill>
                </w14:textFill>
              </w:rPr>
            </w:pPr>
          </w:p>
          <w:p>
            <w:pPr>
              <w:pStyle w:val="2"/>
            </w:pPr>
          </w:p>
          <w:p>
            <w:pPr>
              <w:spacing w:line="500" w:lineRule="exact"/>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仿宋_GB2312"/>
                <w:b/>
                <w:bCs/>
                <w:color w:val="000000" w:themeColor="text1"/>
                <w:sz w:val="30"/>
                <w:szCs w:val="30"/>
                <w14:textFill>
                  <w14:solidFill>
                    <w14:schemeClr w14:val="tx1"/>
                  </w14:solidFill>
                </w14:textFill>
              </w:rPr>
              <w:t>A3.教育过程</w:t>
            </w:r>
          </w:p>
        </w:tc>
        <w:tc>
          <w:tcPr>
            <w:tcW w:w="2115" w:type="dxa"/>
            <w:vAlign w:val="center"/>
          </w:tcPr>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p>
          <w:p>
            <w:pPr>
              <w:pStyle w:val="2"/>
            </w:pPr>
          </w:p>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仿宋_GB2312"/>
                <w:b/>
                <w:bCs/>
                <w:color w:val="000000" w:themeColor="text1"/>
                <w:sz w:val="30"/>
                <w:szCs w:val="30"/>
                <w14:textFill>
                  <w14:solidFill>
                    <w14:schemeClr w14:val="tx1"/>
                  </w14:solidFill>
                </w14:textFill>
              </w:rPr>
              <w:t>B7.活动组织</w:t>
            </w:r>
          </w:p>
        </w:tc>
        <w:tc>
          <w:tcPr>
            <w:tcW w:w="10657" w:type="dxa"/>
            <w:vAlign w:val="center"/>
          </w:tcPr>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认真按照《幼儿园教育指导纲要》《3</w:t>
            </w:r>
            <w:r>
              <w:rPr>
                <w:rFonts w:hint="eastAsia" w:ascii="仿宋_GB2312" w:hAnsi="仿宋_GB2312" w:cs="仿宋_GB2312"/>
                <w:kern w:val="0"/>
                <w:szCs w:val="32"/>
              </w:rPr>
              <w:t>—</w:t>
            </w:r>
            <w:r>
              <w:rPr>
                <w:rFonts w:hint="eastAsia" w:ascii="Times New Roman" w:hAnsi="Times New Roman" w:cs="仿宋_GB2312"/>
                <w:color w:val="000000" w:themeColor="text1"/>
                <w:sz w:val="30"/>
                <w:szCs w:val="30"/>
                <w14:textFill>
                  <w14:solidFill>
                    <w14:schemeClr w14:val="tx1"/>
                  </w14:solidFill>
                </w14:textFill>
              </w:rPr>
              <w:t>6岁儿童学习与发展指南》要求，结合本园、班实际，每学期、每周制定科学合理的班级保教计划</w:t>
            </w:r>
            <w:r>
              <w:rPr>
                <w:rFonts w:ascii="Times New Roman" w:hAnsi="Times New Roman" w:cs="仿宋_GB2312"/>
                <w:color w:val="000000" w:themeColor="text1"/>
                <w:sz w:val="30"/>
                <w:szCs w:val="30"/>
                <w14:textFill>
                  <w14:solidFill>
                    <w14:schemeClr w14:val="tx1"/>
                  </w14:solidFill>
                </w14:textFill>
              </w:rPr>
              <w:t>。</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一日活动安排相对稳定合理，并能根据幼儿的年龄特点、个体差异和活动需要做出灵活调整，避免活动安排频繁转换、幼儿消极等待。</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以游戏为基本活动，确保幼儿每天有充分的自主游戏时间，因地制宜为幼儿创设游戏环境，提供丰富适宜的游戏材料，支持幼儿探究、试错、重复等行为，与幼儿一起分享游戏经验。</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发现和支持幼儿有意义的学习，采用小组或集体的形式讨论幼儿感兴趣的话题，鼓励幼儿表达自己的观点，提出问题、分析解决问题，拓展提升幼儿日常生活和游戏中的经验。</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关注幼儿学习与发展的整体性，注重健康、语言、社会、科学、艺术等各领域有机整合，促进幼儿智力和非智力因素协调发展，寓教育于生活和游戏中。</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关注幼儿发展的连续性，注重幼小科学衔接。大班下学期采取多种形式，有针对性地帮助幼儿做好身心、生活、社会和学习等多方面的准备，建立对小学的积极期待和向往，促进幼儿顺利过渡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8" w:type="dxa"/>
            <w:vMerge w:val="continue"/>
            <w:vAlign w:val="center"/>
          </w:tcPr>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p>
        </w:tc>
        <w:tc>
          <w:tcPr>
            <w:tcW w:w="2115" w:type="dxa"/>
            <w:vAlign w:val="center"/>
          </w:tcPr>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仿宋_GB2312"/>
                <w:b/>
                <w:bCs/>
                <w:color w:val="000000" w:themeColor="text1"/>
                <w:sz w:val="30"/>
                <w:szCs w:val="30"/>
                <w14:textFill>
                  <w14:solidFill>
                    <w14:schemeClr w14:val="tx1"/>
                  </w14:solidFill>
                </w14:textFill>
              </w:rPr>
              <w:t>B8.师幼互动</w:t>
            </w:r>
          </w:p>
        </w:tc>
        <w:tc>
          <w:tcPr>
            <w:tcW w:w="10657" w:type="dxa"/>
          </w:tcPr>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教师保持积极乐观愉快的情绪状态，以亲切和蔼、支持性的态度和行为与幼儿互动，平等对待每一名幼儿。幼儿在一日活动中是自信、从容的，能放心大胆地表达真实情绪和不同观点。</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支持幼儿自主选择游戏材料、同伴和玩法，支持幼儿参与一日生活中与自己有关的决策。</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认真观察幼儿在各类活动中的行为表现并做必要记录，根据一段时间的持续观察，对幼儿的发展情况和需要做出客观全面的分析，提供有针对性地支持。不急于介入或干扰幼儿的活动。</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重视幼儿通过绘画、讲述等方式对自己经历过的游戏、阅读图画书、观察等活动进行表达表征，教师能一对一倾听并真实记录幼儿的想法和体验。</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善于发现各种偶发的教育契机，能抓住活动中幼儿感兴趣或有意义的问题和情境，能识别幼儿以新的方式主动学习，及时给予有效支持。</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尊重并回应幼儿的想法与问题，通过开放性提问、推测、讨论等方式，支持和拓展每一个幼儿的学习。</w:t>
            </w:r>
          </w:p>
          <w:p>
            <w:pPr>
              <w:pStyle w:val="16"/>
              <w:numPr>
                <w:ilvl w:val="0"/>
                <w:numId w:val="1"/>
              </w:numPr>
              <w:spacing w:line="500" w:lineRule="exact"/>
              <w:ind w:left="420" w:hangingChars="140"/>
              <w:jc w:val="both"/>
              <w:rPr>
                <w:rFonts w:ascii="Times New Roman" w:hAnsi="Times New Roman" w:cs="仿宋_GB2312"/>
                <w:b/>
                <w:bCs/>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理解幼儿在</w:t>
            </w:r>
            <w:r>
              <w:rPr>
                <w:rFonts w:hint="eastAsia" w:ascii="Times New Roman" w:hAnsi="Times New Roman" w:cs="仿宋_GB2312"/>
                <w:sz w:val="30"/>
                <w:szCs w:val="30"/>
              </w:rPr>
              <w:t>健康</w:t>
            </w:r>
            <w:r>
              <w:rPr>
                <w:rFonts w:hint="eastAsia" w:ascii="Times New Roman" w:hAnsi="Times New Roman" w:cs="仿宋_GB2312"/>
                <w:color w:val="000000" w:themeColor="text1"/>
                <w:sz w:val="30"/>
                <w:szCs w:val="30"/>
                <w14:textFill>
                  <w14:solidFill>
                    <w14:schemeClr w14:val="tx1"/>
                  </w14:solidFill>
                </w14:textFill>
              </w:rPr>
              <w:t>、语言、社会、科学、艺术等各领域的学习方式，尊重幼儿发展的个体差异，发现每个幼儿的优势和长处，促进幼儿在原有水平上的发展。不片面追求某一领域、某一方面的学习和发展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868" w:type="dxa"/>
            <w:vMerge w:val="continue"/>
            <w:vAlign w:val="center"/>
          </w:tcPr>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p>
        </w:tc>
        <w:tc>
          <w:tcPr>
            <w:tcW w:w="2115" w:type="dxa"/>
            <w:vAlign w:val="center"/>
          </w:tcPr>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仿宋_GB2312"/>
                <w:b/>
                <w:bCs/>
                <w:color w:val="000000" w:themeColor="text1"/>
                <w:sz w:val="30"/>
                <w:szCs w:val="30"/>
                <w14:textFill>
                  <w14:solidFill>
                    <w14:schemeClr w14:val="tx1"/>
                  </w14:solidFill>
                </w14:textFill>
              </w:rPr>
              <w:t>B9.家园共育</w:t>
            </w:r>
          </w:p>
        </w:tc>
        <w:tc>
          <w:tcPr>
            <w:tcW w:w="10657" w:type="dxa"/>
            <w:vAlign w:val="center"/>
          </w:tcPr>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幼儿园与家长建立平等互信关系，教师及时与家长分享幼儿的成长和进步，了解幼儿在家庭中的表现，认真倾听家长的意见建议。</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家长有机会体验幼儿园的生活，参与幼儿园管理，引导家长理解教师工作对幼儿成长的价值，尊重教师的专业性，积极参与并支持幼儿园的工作，成为幼儿园的合作伙伴。</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幼儿园通过家长会、家长开放日等多种途径，向家长宣传科学育儿理念和知识，为家长提供分享交流育儿经验的机会，帮助家长解决育儿困惑。</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幼儿园与家庭、社区密切合作，积极构建协同育人机制，充分利用自然、社会和文化资源，共同创设良好的育人环境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868" w:type="dxa"/>
            <w:vMerge w:val="restart"/>
            <w:vAlign w:val="center"/>
          </w:tcPr>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p>
          <w:p>
            <w:pPr>
              <w:pStyle w:val="2"/>
            </w:pPr>
          </w:p>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仿宋_GB2312"/>
                <w:b/>
                <w:bCs/>
                <w:color w:val="000000" w:themeColor="text1"/>
                <w:sz w:val="30"/>
                <w:szCs w:val="30"/>
                <w14:textFill>
                  <w14:solidFill>
                    <w14:schemeClr w14:val="tx1"/>
                  </w14:solidFill>
                </w14:textFill>
              </w:rPr>
              <w:t>A4.</w:t>
            </w:r>
            <w:r>
              <w:rPr>
                <w:rFonts w:ascii="Times New Roman" w:hAnsi="Times New Roman" w:eastAsia="仿宋_GB2312"/>
                <w:b/>
                <w:bCs/>
                <w:color w:val="000000" w:themeColor="text1"/>
                <w:sz w:val="30"/>
                <w:szCs w:val="30"/>
                <w14:textFill>
                  <w14:solidFill>
                    <w14:schemeClr w14:val="tx1"/>
                  </w14:solidFill>
                </w14:textFill>
              </w:rPr>
              <w:t>环境</w:t>
            </w:r>
            <w:r>
              <w:rPr>
                <w:rFonts w:hint="eastAsia" w:ascii="Times New Roman" w:hAnsi="Times New Roman" w:eastAsia="仿宋_GB2312"/>
                <w:b/>
                <w:bCs/>
                <w:color w:val="000000" w:themeColor="text1"/>
                <w:sz w:val="30"/>
                <w:szCs w:val="30"/>
                <w14:textFill>
                  <w14:solidFill>
                    <w14:schemeClr w14:val="tx1"/>
                  </w14:solidFill>
                </w14:textFill>
              </w:rPr>
              <w:t>创设</w:t>
            </w:r>
          </w:p>
        </w:tc>
        <w:tc>
          <w:tcPr>
            <w:tcW w:w="2115" w:type="dxa"/>
            <w:vAlign w:val="center"/>
          </w:tcPr>
          <w:p>
            <w:pPr>
              <w:spacing w:line="500" w:lineRule="exact"/>
              <w:jc w:val="center"/>
              <w:rPr>
                <w:rFonts w:ascii="Times New Roman" w:hAnsi="Times New Roman" w:eastAsia="仿宋_GB2312" w:cs="Times New Roman"/>
                <w:b/>
                <w:bCs/>
                <w:color w:val="000000" w:themeColor="text1"/>
                <w:sz w:val="30"/>
                <w:szCs w:val="30"/>
                <w14:textFill>
                  <w14:solidFill>
                    <w14:schemeClr w14:val="tx1"/>
                  </w14:solidFill>
                </w14:textFill>
              </w:rPr>
            </w:pPr>
          </w:p>
          <w:p>
            <w:pPr>
              <w:spacing w:line="500" w:lineRule="exact"/>
              <w:jc w:val="center"/>
              <w:rPr>
                <w:rFonts w:ascii="Times New Roman" w:hAnsi="Times New Roman" w:eastAsia="仿宋_GB2312" w:cs="Times New Roman"/>
                <w:b/>
                <w:bCs/>
                <w:color w:val="000000" w:themeColor="text1"/>
                <w:sz w:val="30"/>
                <w:szCs w:val="30"/>
                <w14:textFill>
                  <w14:solidFill>
                    <w14:schemeClr w14:val="tx1"/>
                  </w14:solidFill>
                </w14:textFill>
              </w:rPr>
            </w:pPr>
          </w:p>
          <w:p>
            <w:pPr>
              <w:spacing w:line="500" w:lineRule="exact"/>
              <w:jc w:val="center"/>
              <w:rPr>
                <w:rFonts w:ascii="Times New Roman" w:hAnsi="Times New Roman" w:eastAsia="仿宋_GB2312" w:cs="Times New Roman"/>
                <w:b/>
                <w:bCs/>
                <w:color w:val="000000" w:themeColor="text1"/>
                <w:sz w:val="30"/>
                <w:szCs w:val="30"/>
                <w14:textFill>
                  <w14:solidFill>
                    <w14:schemeClr w14:val="tx1"/>
                  </w14:solidFill>
                </w14:textFill>
              </w:rPr>
            </w:pPr>
          </w:p>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仿宋_GB2312" w:cs="Times New Roman"/>
                <w:b/>
                <w:bCs/>
                <w:color w:val="000000" w:themeColor="text1"/>
                <w:sz w:val="30"/>
                <w:szCs w:val="30"/>
                <w14:textFill>
                  <w14:solidFill>
                    <w14:schemeClr w14:val="tx1"/>
                  </w14:solidFill>
                </w14:textFill>
              </w:rPr>
              <w:t>B10.空间设施</w:t>
            </w:r>
          </w:p>
        </w:tc>
        <w:tc>
          <w:tcPr>
            <w:tcW w:w="10657" w:type="dxa"/>
            <w:vAlign w:val="center"/>
          </w:tcPr>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幼儿园规模与班额符合国家和地方相关规定，合理规划并灵活调整室内外空间布局，最大限度地满足幼儿游戏活动的需要。除综合活动室外，不追求设置专门的功能室，避免奢华浪费和形式主义。</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各类设施设备安全、环保，符合幼儿的年龄特点，方便幼儿使用和取放，满足幼儿逐步增长的独立活动需要。提供必要的遮阳遮雨设施设备，确保特殊天气条件下幼儿必要的户外活动能正常开展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868" w:type="dxa"/>
            <w:vMerge w:val="continue"/>
            <w:vAlign w:val="center"/>
          </w:tcPr>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p>
        </w:tc>
        <w:tc>
          <w:tcPr>
            <w:tcW w:w="2115" w:type="dxa"/>
            <w:vAlign w:val="center"/>
          </w:tcPr>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仿宋_GB2312" w:cs="Times New Roman"/>
                <w:b/>
                <w:bCs/>
                <w:color w:val="000000" w:themeColor="text1"/>
                <w:sz w:val="30"/>
                <w:szCs w:val="30"/>
                <w14:textFill>
                  <w14:solidFill>
                    <w14:schemeClr w14:val="tx1"/>
                  </w14:solidFill>
                </w14:textFill>
              </w:rPr>
              <w:t>B11.玩具材料</w:t>
            </w:r>
          </w:p>
        </w:tc>
        <w:tc>
          <w:tcPr>
            <w:tcW w:w="10657" w:type="dxa"/>
            <w:vAlign w:val="center"/>
          </w:tcPr>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玩具材料种类丰富，数量充足，以低结构材料为主，</w:t>
            </w:r>
            <w:r>
              <w:rPr>
                <w:rFonts w:hint="eastAsia" w:ascii="Times New Roman" w:hAnsi="Times New Roman" w:cs="仿宋_GB2312"/>
                <w:sz w:val="30"/>
                <w:szCs w:val="30"/>
              </w:rPr>
              <w:t>能够保证多名幼儿同时游戏的需要。</w:t>
            </w:r>
            <w:r>
              <w:rPr>
                <w:rFonts w:hint="eastAsia" w:ascii="Times New Roman" w:hAnsi="Times New Roman" w:cs="仿宋_GB2312"/>
                <w:color w:val="000000" w:themeColor="text1"/>
                <w:sz w:val="30"/>
                <w:szCs w:val="30"/>
                <w14:textFill>
                  <w14:solidFill>
                    <w14:schemeClr w14:val="tx1"/>
                  </w14:solidFill>
                </w14:textFill>
              </w:rPr>
              <w:t>尽可能减少幼儿使用电子设备。</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幼儿园配备的图画书应符合幼儿年龄特点和认知水平，注重体现中华优秀传统文化和现代生活特色，富有教育意义。人均数量不少于10册，每班复本量不超过5册，并根据需要及时调整更新。幼儿园不得使用幼儿教材和境外课程，防止存在意识形态和宗教等渗透的图画书进入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Merge w:val="restart"/>
            <w:vAlign w:val="center"/>
          </w:tcPr>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p>
          <w:p>
            <w:pPr>
              <w:pStyle w:val="2"/>
              <w:rPr>
                <w:rFonts w:ascii="Times New Roman" w:hAnsi="Times New Roman" w:eastAsia="仿宋_GB2312"/>
                <w:color w:val="000000" w:themeColor="text1"/>
                <w:sz w:val="30"/>
                <w:szCs w:val="30"/>
                <w14:textFill>
                  <w14:solidFill>
                    <w14:schemeClr w14:val="tx1"/>
                  </w14:solidFill>
                </w14:textFill>
              </w:rPr>
            </w:pPr>
          </w:p>
          <w:p>
            <w:pPr>
              <w:rPr>
                <w:rFonts w:ascii="Times New Roman" w:hAnsi="Times New Roman" w:eastAsia="仿宋_GB2312"/>
                <w:b/>
                <w:bCs/>
                <w:color w:val="000000" w:themeColor="text1"/>
                <w:sz w:val="30"/>
                <w:szCs w:val="30"/>
                <w14:textFill>
                  <w14:solidFill>
                    <w14:schemeClr w14:val="tx1"/>
                  </w14:solidFill>
                </w14:textFill>
              </w:rPr>
            </w:pPr>
          </w:p>
          <w:p>
            <w:pPr>
              <w:pStyle w:val="2"/>
            </w:pPr>
          </w:p>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仿宋_GB2312"/>
                <w:b/>
                <w:bCs/>
                <w:color w:val="000000" w:themeColor="text1"/>
                <w:sz w:val="30"/>
                <w:szCs w:val="30"/>
                <w14:textFill>
                  <w14:solidFill>
                    <w14:schemeClr w14:val="tx1"/>
                  </w14:solidFill>
                </w14:textFill>
              </w:rPr>
              <w:t>A5.教师队伍</w:t>
            </w:r>
          </w:p>
        </w:tc>
        <w:tc>
          <w:tcPr>
            <w:tcW w:w="2115" w:type="dxa"/>
            <w:vAlign w:val="center"/>
          </w:tcPr>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仿宋_GB2312"/>
                <w:b/>
                <w:bCs/>
                <w:color w:val="000000" w:themeColor="text1"/>
                <w:sz w:val="30"/>
                <w:szCs w:val="30"/>
                <w14:textFill>
                  <w14:solidFill>
                    <w14:schemeClr w14:val="tx1"/>
                  </w14:solidFill>
                </w14:textFill>
              </w:rPr>
              <w:t>B12.</w:t>
            </w:r>
            <w:r>
              <w:rPr>
                <w:rFonts w:ascii="Times New Roman" w:hAnsi="Times New Roman" w:eastAsia="仿宋_GB2312"/>
                <w:b/>
                <w:bCs/>
                <w:color w:val="000000" w:themeColor="text1"/>
                <w:sz w:val="30"/>
                <w:szCs w:val="30"/>
                <w14:textFill>
                  <w14:solidFill>
                    <w14:schemeClr w14:val="tx1"/>
                  </w14:solidFill>
                </w14:textFill>
              </w:rPr>
              <w:t>师德师风</w:t>
            </w:r>
          </w:p>
        </w:tc>
        <w:tc>
          <w:tcPr>
            <w:tcW w:w="10657" w:type="dxa"/>
          </w:tcPr>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教职工有坚定的政治信仰，按照“四有”好教师标准履行幼儿园教师职业道德规范，爱岗敬业，关爱幼儿，严格自律，没有歧视、侮辱、体罚或变相体罚等有损幼儿身心健康的行为。</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关心教职工思想状况，加强人文关怀，帮助解决教职工思想问题与实际困难，促进教职工身心健康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Merge w:val="continue"/>
            <w:vAlign w:val="center"/>
          </w:tcPr>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p>
        </w:tc>
        <w:tc>
          <w:tcPr>
            <w:tcW w:w="2115" w:type="dxa"/>
            <w:vAlign w:val="center"/>
          </w:tcPr>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p>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仿宋_GB2312"/>
                <w:b/>
                <w:bCs/>
                <w:color w:val="000000" w:themeColor="text1"/>
                <w:sz w:val="30"/>
                <w:szCs w:val="30"/>
                <w14:textFill>
                  <w14:solidFill>
                    <w14:schemeClr w14:val="tx1"/>
                  </w14:solidFill>
                </w14:textFill>
              </w:rPr>
              <w:t>B13.人员配备</w:t>
            </w:r>
          </w:p>
        </w:tc>
        <w:tc>
          <w:tcPr>
            <w:tcW w:w="10657" w:type="dxa"/>
          </w:tcPr>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幼儿园教职工按国家和地方相关要求配备到位，并做到持证上岗，无岗位空缺和无证上岗情况。</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幼儿园教师符合专业标准要求，保育员受过幼儿保育职业培训，保教人员熟知学前儿童身心发展规律，具有较强的保育教育实践能力。园长应具有五年以上幼儿园教师或者幼儿园管理工作经历，具有较强的专业领导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Merge w:val="continue"/>
            <w:vAlign w:val="center"/>
          </w:tcPr>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p>
        </w:tc>
        <w:tc>
          <w:tcPr>
            <w:tcW w:w="2115" w:type="dxa"/>
            <w:vAlign w:val="center"/>
          </w:tcPr>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仿宋_GB2312"/>
                <w:b/>
                <w:bCs/>
                <w:color w:val="000000" w:themeColor="text1"/>
                <w:sz w:val="30"/>
                <w:szCs w:val="30"/>
                <w14:textFill>
                  <w14:solidFill>
                    <w14:schemeClr w14:val="tx1"/>
                  </w14:solidFill>
                </w14:textFill>
              </w:rPr>
              <w:t>B14.</w:t>
            </w:r>
            <w:r>
              <w:rPr>
                <w:rFonts w:ascii="Times New Roman" w:hAnsi="Times New Roman" w:eastAsia="仿宋_GB2312"/>
                <w:b/>
                <w:bCs/>
                <w:color w:val="000000" w:themeColor="text1"/>
                <w:sz w:val="30"/>
                <w:szCs w:val="30"/>
                <w14:textFill>
                  <w14:solidFill>
                    <w14:schemeClr w14:val="tx1"/>
                  </w14:solidFill>
                </w14:textFill>
              </w:rPr>
              <w:t>专业发展</w:t>
            </w:r>
          </w:p>
        </w:tc>
        <w:tc>
          <w:tcPr>
            <w:tcW w:w="10657" w:type="dxa"/>
          </w:tcPr>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园长能与教职工共同研究制订符合教职工自身特点的专业发展规划，提供发展空间，支持他们有计划地达成专业发展目标。</w:t>
            </w:r>
          </w:p>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制订合理的教研制度并有效落实，教研工作聚焦解决保育教育实践中的困惑和问题，注重激发教师积极主动反思，提高教师实践能力，增强教师专业自信。</w:t>
            </w:r>
          </w:p>
          <w:p>
            <w:pPr>
              <w:pStyle w:val="16"/>
              <w:numPr>
                <w:ilvl w:val="0"/>
                <w:numId w:val="1"/>
              </w:numPr>
              <w:spacing w:line="500" w:lineRule="exact"/>
              <w:ind w:left="420" w:hangingChars="140"/>
              <w:jc w:val="both"/>
              <w:rPr>
                <w:rFonts w:ascii="Times New Roman" w:hAnsi="Times New Roman" w:cs="仿宋_GB2312"/>
                <w:b/>
                <w:bCs/>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园长能深入班级了解一日活动和师幼互动过程，共同研究保育教育实践问题，形成协同学习、相互支持的良好氛围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1868" w:type="dxa"/>
            <w:vMerge w:val="continue"/>
            <w:vAlign w:val="center"/>
          </w:tcPr>
          <w:p>
            <w:pPr>
              <w:spacing w:line="500" w:lineRule="exact"/>
              <w:jc w:val="left"/>
              <w:rPr>
                <w:rFonts w:ascii="Times New Roman" w:hAnsi="Times New Roman" w:eastAsia="仿宋_GB2312"/>
                <w:b/>
                <w:bCs/>
                <w:color w:val="000000" w:themeColor="text1"/>
                <w:sz w:val="30"/>
                <w:szCs w:val="30"/>
                <w14:textFill>
                  <w14:solidFill>
                    <w14:schemeClr w14:val="tx1"/>
                  </w14:solidFill>
                </w14:textFill>
              </w:rPr>
            </w:pPr>
          </w:p>
        </w:tc>
        <w:tc>
          <w:tcPr>
            <w:tcW w:w="2115" w:type="dxa"/>
            <w:vAlign w:val="center"/>
          </w:tcPr>
          <w:p>
            <w:pPr>
              <w:spacing w:line="500" w:lineRule="exact"/>
              <w:jc w:val="center"/>
              <w:rPr>
                <w:rFonts w:ascii="Times New Roman" w:hAnsi="Times New Roman" w:eastAsia="仿宋_GB2312"/>
                <w:b/>
                <w:bCs/>
                <w:color w:val="000000" w:themeColor="text1"/>
                <w:sz w:val="30"/>
                <w:szCs w:val="30"/>
                <w14:textFill>
                  <w14:solidFill>
                    <w14:schemeClr w14:val="tx1"/>
                  </w14:solidFill>
                </w14:textFill>
              </w:rPr>
            </w:pPr>
            <w:r>
              <w:rPr>
                <w:rFonts w:hint="eastAsia" w:ascii="Times New Roman" w:hAnsi="Times New Roman" w:eastAsia="仿宋_GB2312"/>
                <w:b/>
                <w:bCs/>
                <w:color w:val="000000" w:themeColor="text1"/>
                <w:sz w:val="30"/>
                <w:szCs w:val="30"/>
                <w14:textFill>
                  <w14:solidFill>
                    <w14:schemeClr w14:val="tx1"/>
                  </w14:solidFill>
                </w14:textFill>
              </w:rPr>
              <w:t>B15.</w:t>
            </w:r>
            <w:r>
              <w:rPr>
                <w:rFonts w:hint="eastAsia" w:ascii="Times New Roman" w:hAnsi="Times New Roman" w:eastAsia="仿宋_GB2312" w:cs="仿宋_GB2312"/>
                <w:b/>
                <w:bCs/>
                <w:color w:val="000000" w:themeColor="text1"/>
                <w:sz w:val="30"/>
                <w:szCs w:val="30"/>
                <w14:textFill>
                  <w14:solidFill>
                    <w14:schemeClr w14:val="tx1"/>
                  </w14:solidFill>
                </w14:textFill>
              </w:rPr>
              <w:t>激励机制</w:t>
            </w:r>
          </w:p>
        </w:tc>
        <w:tc>
          <w:tcPr>
            <w:tcW w:w="10657" w:type="dxa"/>
          </w:tcPr>
          <w:p>
            <w:pPr>
              <w:pStyle w:val="16"/>
              <w:numPr>
                <w:ilvl w:val="0"/>
                <w:numId w:val="1"/>
              </w:numPr>
              <w:spacing w:line="500" w:lineRule="exact"/>
              <w:ind w:left="420" w:hangingChars="140"/>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sz w:val="30"/>
                <w:szCs w:val="30"/>
                <w14:textFill>
                  <w14:solidFill>
                    <w14:schemeClr w14:val="tx1"/>
                  </w14:solidFill>
                </w14:textFill>
              </w:rPr>
              <w:t>树立正确激励导向，突出日常保育教育实践成效，克服唯课题、唯论文等倾向，注重通过表彰奖励、薪酬待遇、职称评定、岗位晋升、专业支持等多种方式，激励教师爱岗敬业、潜心育人。</w:t>
            </w:r>
          </w:p>
          <w:p>
            <w:pPr>
              <w:pStyle w:val="16"/>
              <w:numPr>
                <w:ilvl w:val="0"/>
                <w:numId w:val="1"/>
              </w:numPr>
              <w:spacing w:line="500" w:lineRule="exact"/>
              <w:ind w:left="428" w:hanging="429" w:hangingChars="146"/>
              <w:jc w:val="both"/>
              <w:rPr>
                <w:rFonts w:ascii="Times New Roman" w:hAnsi="Times New Roman" w:cs="仿宋_GB2312"/>
                <w:color w:val="000000" w:themeColor="text1"/>
                <w:sz w:val="30"/>
                <w:szCs w:val="30"/>
                <w14:textFill>
                  <w14:solidFill>
                    <w14:schemeClr w14:val="tx1"/>
                  </w14:solidFill>
                </w14:textFill>
              </w:rPr>
            </w:pPr>
            <w:r>
              <w:rPr>
                <w:rFonts w:hint="eastAsia" w:ascii="Times New Roman" w:hAnsi="Times New Roman" w:cs="仿宋_GB2312"/>
                <w:color w:val="000000" w:themeColor="text1"/>
                <w:w w:val="98"/>
                <w:sz w:val="30"/>
                <w:szCs w:val="30"/>
                <w14:textFill>
                  <w14:solidFill>
                    <w14:schemeClr w14:val="tx1"/>
                  </w14:solidFill>
                </w14:textFill>
              </w:rPr>
              <w:t>善于倾听、理解教职工的所思所做，发现和肯定每一名教职工的闪光点和成长进步，教职工能够感受到来自园长和同事的关心与支持，有归属感和幸福感</w:t>
            </w:r>
          </w:p>
        </w:tc>
      </w:tr>
    </w:tbl>
    <w:p>
      <w:pPr>
        <w:spacing w:line="400" w:lineRule="exact"/>
        <w:rPr>
          <w:rFonts w:ascii="Times New Roman" w:hAnsi="Times New Roman"/>
          <w:color w:val="000000" w:themeColor="text1"/>
          <w14:textFill>
            <w14:solidFill>
              <w14:schemeClr w14:val="tx1"/>
            </w14:solidFill>
          </w14:textFill>
        </w:rPr>
      </w:pPr>
    </w:p>
    <w:sectPr>
      <w:pgSz w:w="16838" w:h="11906" w:orient="landscape"/>
      <w:pgMar w:top="1406" w:right="1213" w:bottom="1406" w:left="1213" w:header="851" w:footer="879"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2E0AD4-2722-4CDA-B9F8-74754ACBD8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2" w:fontKey="{572E385D-D886-4C14-90AE-59504FA5AABD}"/>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3" w:fontKey="{2942A9B5-E7A8-4584-9C7B-50F34F59672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60325"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euvrU0QAAAAIBAAAPAAAAAAAAAAEAIAAAACIAAABkcnMvZG93bnJldi54bWxQSwECFAAUAAAA&#10;CACHTuJAfZ8WXS4CAABSBAAADgAAAAAAAAABACAAAAAgAQAAZHJzL2Uyb0RvYy54bWxQSwUGAAAA&#10;AAYABgBZAQAAwAUAAAAA&#10;">
              <v:fill on="f" focussize="0,0"/>
              <v:stroke on="f" weight="0.5pt"/>
              <v:imagedata o:title=""/>
              <o:lock v:ext="edit" aspectratio="f"/>
              <v:textbox inset="0mm,0mm,0mm,0mm" style="mso-fit-shape-to-text:t;">
                <w:txbxContent>
                  <w:p>
                    <w:pPr>
                      <w:pStyle w:val="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5E4861"/>
    <w:multiLevelType w:val="multilevel"/>
    <w:tmpl w:val="645E4861"/>
    <w:lvl w:ilvl="0" w:tentative="0">
      <w:start w:val="1"/>
      <w:numFmt w:val="decimal"/>
      <w:lvlText w:val="%1."/>
      <w:lvlJc w:val="left"/>
      <w:pPr>
        <w:tabs>
          <w:tab w:val="left" w:pos="420"/>
        </w:tabs>
        <w:ind w:left="1052" w:hanging="420"/>
      </w:pPr>
      <w:rPr>
        <w:rFonts w:hint="default" w:ascii="Times New Roman" w:hAnsi="Times New Roman" w:eastAsia="仿宋_GB2312" w:cs="Times New Roman"/>
        <w:b w:val="0"/>
        <w:bCs w:val="0"/>
        <w:sz w:val="30"/>
        <w:szCs w:val="30"/>
      </w:r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YWIxNDE5MGZlNzYwZWE4MmE3ZjQ1MDQwZWI1NWUifQ=="/>
  </w:docVars>
  <w:rsids>
    <w:rsidRoot w:val="002B723B"/>
    <w:rsid w:val="0000467C"/>
    <w:rsid w:val="000136E0"/>
    <w:rsid w:val="000302F5"/>
    <w:rsid w:val="000322FE"/>
    <w:rsid w:val="000324FC"/>
    <w:rsid w:val="0004596E"/>
    <w:rsid w:val="00046D34"/>
    <w:rsid w:val="00052386"/>
    <w:rsid w:val="0006168D"/>
    <w:rsid w:val="00080C37"/>
    <w:rsid w:val="000839B4"/>
    <w:rsid w:val="0009497A"/>
    <w:rsid w:val="000A2FE3"/>
    <w:rsid w:val="000B0C41"/>
    <w:rsid w:val="000C4ABF"/>
    <w:rsid w:val="000C4F15"/>
    <w:rsid w:val="000D24FA"/>
    <w:rsid w:val="000D7567"/>
    <w:rsid w:val="000E0708"/>
    <w:rsid w:val="000E08F6"/>
    <w:rsid w:val="000E58CD"/>
    <w:rsid w:val="0010502C"/>
    <w:rsid w:val="001124F1"/>
    <w:rsid w:val="0011426F"/>
    <w:rsid w:val="00116A4D"/>
    <w:rsid w:val="00126716"/>
    <w:rsid w:val="00126D6E"/>
    <w:rsid w:val="001802E0"/>
    <w:rsid w:val="00187993"/>
    <w:rsid w:val="00192AEB"/>
    <w:rsid w:val="00197BE4"/>
    <w:rsid w:val="001A105C"/>
    <w:rsid w:val="001A772B"/>
    <w:rsid w:val="001C6300"/>
    <w:rsid w:val="001D007D"/>
    <w:rsid w:val="001F309B"/>
    <w:rsid w:val="001F493B"/>
    <w:rsid w:val="0020015B"/>
    <w:rsid w:val="00213A0E"/>
    <w:rsid w:val="00215B0C"/>
    <w:rsid w:val="002269A7"/>
    <w:rsid w:val="00230254"/>
    <w:rsid w:val="00234195"/>
    <w:rsid w:val="0023475A"/>
    <w:rsid w:val="00234810"/>
    <w:rsid w:val="0024566F"/>
    <w:rsid w:val="00251BAA"/>
    <w:rsid w:val="00251D70"/>
    <w:rsid w:val="0025272B"/>
    <w:rsid w:val="00254EA5"/>
    <w:rsid w:val="00256683"/>
    <w:rsid w:val="00270BBC"/>
    <w:rsid w:val="00283B50"/>
    <w:rsid w:val="00295F9A"/>
    <w:rsid w:val="002A2733"/>
    <w:rsid w:val="002A2DCB"/>
    <w:rsid w:val="002A7553"/>
    <w:rsid w:val="002B1203"/>
    <w:rsid w:val="002B723B"/>
    <w:rsid w:val="002E0BC3"/>
    <w:rsid w:val="002E4FF4"/>
    <w:rsid w:val="002E67AC"/>
    <w:rsid w:val="003012FB"/>
    <w:rsid w:val="00305937"/>
    <w:rsid w:val="003128E2"/>
    <w:rsid w:val="00316040"/>
    <w:rsid w:val="003434BC"/>
    <w:rsid w:val="00343907"/>
    <w:rsid w:val="003441E1"/>
    <w:rsid w:val="003504A1"/>
    <w:rsid w:val="003504D2"/>
    <w:rsid w:val="003517CE"/>
    <w:rsid w:val="00355A16"/>
    <w:rsid w:val="00363C7B"/>
    <w:rsid w:val="00364311"/>
    <w:rsid w:val="00372AB5"/>
    <w:rsid w:val="0037617C"/>
    <w:rsid w:val="00382AA4"/>
    <w:rsid w:val="00390B1A"/>
    <w:rsid w:val="00395D97"/>
    <w:rsid w:val="003A1AFD"/>
    <w:rsid w:val="003A25A4"/>
    <w:rsid w:val="003C0B14"/>
    <w:rsid w:val="003C6D99"/>
    <w:rsid w:val="003D507B"/>
    <w:rsid w:val="003E5A2F"/>
    <w:rsid w:val="003F002A"/>
    <w:rsid w:val="003F1C7F"/>
    <w:rsid w:val="003F3C5B"/>
    <w:rsid w:val="003F4AC0"/>
    <w:rsid w:val="003F587E"/>
    <w:rsid w:val="003F7442"/>
    <w:rsid w:val="00401710"/>
    <w:rsid w:val="0040583C"/>
    <w:rsid w:val="004140B5"/>
    <w:rsid w:val="004168A5"/>
    <w:rsid w:val="004231F2"/>
    <w:rsid w:val="0043599C"/>
    <w:rsid w:val="00441E4A"/>
    <w:rsid w:val="004460FD"/>
    <w:rsid w:val="004510CA"/>
    <w:rsid w:val="00461E44"/>
    <w:rsid w:val="00473E3E"/>
    <w:rsid w:val="004822B3"/>
    <w:rsid w:val="00486A9F"/>
    <w:rsid w:val="00495C21"/>
    <w:rsid w:val="004970F4"/>
    <w:rsid w:val="004A738F"/>
    <w:rsid w:val="004B1827"/>
    <w:rsid w:val="004B1FF3"/>
    <w:rsid w:val="004B33F9"/>
    <w:rsid w:val="004B4658"/>
    <w:rsid w:val="004C00CF"/>
    <w:rsid w:val="004C540F"/>
    <w:rsid w:val="004C5DFC"/>
    <w:rsid w:val="004D01FF"/>
    <w:rsid w:val="004D7928"/>
    <w:rsid w:val="00505B03"/>
    <w:rsid w:val="00510F5D"/>
    <w:rsid w:val="00513F4B"/>
    <w:rsid w:val="00533BDC"/>
    <w:rsid w:val="00535B4F"/>
    <w:rsid w:val="00540332"/>
    <w:rsid w:val="00541ACA"/>
    <w:rsid w:val="005479CD"/>
    <w:rsid w:val="00556255"/>
    <w:rsid w:val="00556648"/>
    <w:rsid w:val="00557A61"/>
    <w:rsid w:val="00564C6C"/>
    <w:rsid w:val="00566DAA"/>
    <w:rsid w:val="00566E7A"/>
    <w:rsid w:val="00572483"/>
    <w:rsid w:val="00573B59"/>
    <w:rsid w:val="005A220E"/>
    <w:rsid w:val="005A3FA7"/>
    <w:rsid w:val="005A6623"/>
    <w:rsid w:val="005B26D2"/>
    <w:rsid w:val="005B4A13"/>
    <w:rsid w:val="005C1DC8"/>
    <w:rsid w:val="005C32DC"/>
    <w:rsid w:val="005C6ECC"/>
    <w:rsid w:val="005C6FA3"/>
    <w:rsid w:val="005E04ED"/>
    <w:rsid w:val="005E177F"/>
    <w:rsid w:val="005F6539"/>
    <w:rsid w:val="00600CA6"/>
    <w:rsid w:val="0060609F"/>
    <w:rsid w:val="0061105A"/>
    <w:rsid w:val="00614527"/>
    <w:rsid w:val="00620B7F"/>
    <w:rsid w:val="00622734"/>
    <w:rsid w:val="006257E1"/>
    <w:rsid w:val="00631BF0"/>
    <w:rsid w:val="0063240F"/>
    <w:rsid w:val="00634A7A"/>
    <w:rsid w:val="006402F0"/>
    <w:rsid w:val="00641470"/>
    <w:rsid w:val="00650199"/>
    <w:rsid w:val="006538F1"/>
    <w:rsid w:val="00680260"/>
    <w:rsid w:val="00680FD2"/>
    <w:rsid w:val="00695F50"/>
    <w:rsid w:val="006A0595"/>
    <w:rsid w:val="006A21A9"/>
    <w:rsid w:val="006B0B77"/>
    <w:rsid w:val="006B35A8"/>
    <w:rsid w:val="006C2771"/>
    <w:rsid w:val="006C6982"/>
    <w:rsid w:val="006D22F4"/>
    <w:rsid w:val="006E0BFE"/>
    <w:rsid w:val="006E1D40"/>
    <w:rsid w:val="006E7798"/>
    <w:rsid w:val="006F2BBF"/>
    <w:rsid w:val="006F5AED"/>
    <w:rsid w:val="007047F3"/>
    <w:rsid w:val="007159E7"/>
    <w:rsid w:val="00716655"/>
    <w:rsid w:val="00730481"/>
    <w:rsid w:val="007364C1"/>
    <w:rsid w:val="00740ED5"/>
    <w:rsid w:val="00742679"/>
    <w:rsid w:val="00742E57"/>
    <w:rsid w:val="00744608"/>
    <w:rsid w:val="007723EE"/>
    <w:rsid w:val="00785C1F"/>
    <w:rsid w:val="007A06FF"/>
    <w:rsid w:val="007A1909"/>
    <w:rsid w:val="007A273D"/>
    <w:rsid w:val="007B6009"/>
    <w:rsid w:val="007C4A9B"/>
    <w:rsid w:val="007C7D68"/>
    <w:rsid w:val="007E130E"/>
    <w:rsid w:val="007F3856"/>
    <w:rsid w:val="007F4077"/>
    <w:rsid w:val="0080601C"/>
    <w:rsid w:val="00812D1F"/>
    <w:rsid w:val="008131D0"/>
    <w:rsid w:val="00813E81"/>
    <w:rsid w:val="00832312"/>
    <w:rsid w:val="00834339"/>
    <w:rsid w:val="00847E54"/>
    <w:rsid w:val="0085572C"/>
    <w:rsid w:val="0086554A"/>
    <w:rsid w:val="008718DC"/>
    <w:rsid w:val="0087557D"/>
    <w:rsid w:val="008853AC"/>
    <w:rsid w:val="008858AD"/>
    <w:rsid w:val="00886290"/>
    <w:rsid w:val="0088782C"/>
    <w:rsid w:val="008902A1"/>
    <w:rsid w:val="00893B8F"/>
    <w:rsid w:val="008A560A"/>
    <w:rsid w:val="008A60AE"/>
    <w:rsid w:val="008B46E2"/>
    <w:rsid w:val="008C3297"/>
    <w:rsid w:val="008C6D49"/>
    <w:rsid w:val="008C7F64"/>
    <w:rsid w:val="008D7A25"/>
    <w:rsid w:val="008E7A17"/>
    <w:rsid w:val="00904145"/>
    <w:rsid w:val="00913E79"/>
    <w:rsid w:val="009375C8"/>
    <w:rsid w:val="00937D21"/>
    <w:rsid w:val="00946059"/>
    <w:rsid w:val="00956CF7"/>
    <w:rsid w:val="00964A2C"/>
    <w:rsid w:val="009651B0"/>
    <w:rsid w:val="00982F6F"/>
    <w:rsid w:val="00985DC5"/>
    <w:rsid w:val="009873B1"/>
    <w:rsid w:val="00990FE3"/>
    <w:rsid w:val="009958A3"/>
    <w:rsid w:val="009976DA"/>
    <w:rsid w:val="009A220D"/>
    <w:rsid w:val="009A22EA"/>
    <w:rsid w:val="009A7E0E"/>
    <w:rsid w:val="009B0A61"/>
    <w:rsid w:val="009B12DE"/>
    <w:rsid w:val="009C6878"/>
    <w:rsid w:val="009C6BAE"/>
    <w:rsid w:val="009F5083"/>
    <w:rsid w:val="009F71E2"/>
    <w:rsid w:val="00A024E1"/>
    <w:rsid w:val="00A03A42"/>
    <w:rsid w:val="00A1104A"/>
    <w:rsid w:val="00A17558"/>
    <w:rsid w:val="00A20302"/>
    <w:rsid w:val="00A2413E"/>
    <w:rsid w:val="00A25725"/>
    <w:rsid w:val="00A263FF"/>
    <w:rsid w:val="00A67F34"/>
    <w:rsid w:val="00A82F30"/>
    <w:rsid w:val="00A84912"/>
    <w:rsid w:val="00A85B7C"/>
    <w:rsid w:val="00A91EDC"/>
    <w:rsid w:val="00AA2075"/>
    <w:rsid w:val="00AA46F8"/>
    <w:rsid w:val="00AB2F24"/>
    <w:rsid w:val="00AB3C30"/>
    <w:rsid w:val="00AC1C0E"/>
    <w:rsid w:val="00AC371E"/>
    <w:rsid w:val="00AC5668"/>
    <w:rsid w:val="00AC6685"/>
    <w:rsid w:val="00AD4134"/>
    <w:rsid w:val="00AD7E60"/>
    <w:rsid w:val="00AF58E2"/>
    <w:rsid w:val="00AF7615"/>
    <w:rsid w:val="00B207FF"/>
    <w:rsid w:val="00B2270A"/>
    <w:rsid w:val="00B30B14"/>
    <w:rsid w:val="00B34035"/>
    <w:rsid w:val="00B35CBD"/>
    <w:rsid w:val="00B40C58"/>
    <w:rsid w:val="00B5132A"/>
    <w:rsid w:val="00B673F8"/>
    <w:rsid w:val="00B72BC4"/>
    <w:rsid w:val="00B77356"/>
    <w:rsid w:val="00B83927"/>
    <w:rsid w:val="00B84FF1"/>
    <w:rsid w:val="00B935FA"/>
    <w:rsid w:val="00B967ED"/>
    <w:rsid w:val="00BA0CAC"/>
    <w:rsid w:val="00BA0DA7"/>
    <w:rsid w:val="00BA0EAE"/>
    <w:rsid w:val="00BB2CFA"/>
    <w:rsid w:val="00BC0636"/>
    <w:rsid w:val="00BC5EAF"/>
    <w:rsid w:val="00BC717C"/>
    <w:rsid w:val="00BD14A4"/>
    <w:rsid w:val="00BD70B2"/>
    <w:rsid w:val="00BD7F45"/>
    <w:rsid w:val="00BE2A9D"/>
    <w:rsid w:val="00BF0016"/>
    <w:rsid w:val="00BF2271"/>
    <w:rsid w:val="00BF3ED7"/>
    <w:rsid w:val="00C062C0"/>
    <w:rsid w:val="00C146B2"/>
    <w:rsid w:val="00C20818"/>
    <w:rsid w:val="00C32BFA"/>
    <w:rsid w:val="00C45E4B"/>
    <w:rsid w:val="00C46FF6"/>
    <w:rsid w:val="00C51862"/>
    <w:rsid w:val="00C521D7"/>
    <w:rsid w:val="00C5416F"/>
    <w:rsid w:val="00C56FF1"/>
    <w:rsid w:val="00C64B37"/>
    <w:rsid w:val="00C658DD"/>
    <w:rsid w:val="00C87555"/>
    <w:rsid w:val="00C87F7D"/>
    <w:rsid w:val="00C97B57"/>
    <w:rsid w:val="00C97FFA"/>
    <w:rsid w:val="00CA3851"/>
    <w:rsid w:val="00CB1430"/>
    <w:rsid w:val="00CB7AB2"/>
    <w:rsid w:val="00CC15C7"/>
    <w:rsid w:val="00CC31F9"/>
    <w:rsid w:val="00CC4738"/>
    <w:rsid w:val="00CC6B0D"/>
    <w:rsid w:val="00CC70C4"/>
    <w:rsid w:val="00CD671C"/>
    <w:rsid w:val="00CD726A"/>
    <w:rsid w:val="00CE002D"/>
    <w:rsid w:val="00CE3FA4"/>
    <w:rsid w:val="00CE4398"/>
    <w:rsid w:val="00CE5E2F"/>
    <w:rsid w:val="00D01EB6"/>
    <w:rsid w:val="00D04D2A"/>
    <w:rsid w:val="00D15E37"/>
    <w:rsid w:val="00D22327"/>
    <w:rsid w:val="00D45EF8"/>
    <w:rsid w:val="00D5736B"/>
    <w:rsid w:val="00D60A6A"/>
    <w:rsid w:val="00D6195C"/>
    <w:rsid w:val="00D63B07"/>
    <w:rsid w:val="00D700C2"/>
    <w:rsid w:val="00D74712"/>
    <w:rsid w:val="00D93D8B"/>
    <w:rsid w:val="00DA053F"/>
    <w:rsid w:val="00DA1D43"/>
    <w:rsid w:val="00DC0062"/>
    <w:rsid w:val="00DC23BF"/>
    <w:rsid w:val="00DC3F90"/>
    <w:rsid w:val="00DD2684"/>
    <w:rsid w:val="00DE217B"/>
    <w:rsid w:val="00DE2272"/>
    <w:rsid w:val="00DF04E0"/>
    <w:rsid w:val="00DF4BD8"/>
    <w:rsid w:val="00DF4EAE"/>
    <w:rsid w:val="00DF601E"/>
    <w:rsid w:val="00E04663"/>
    <w:rsid w:val="00E05757"/>
    <w:rsid w:val="00E076FD"/>
    <w:rsid w:val="00E15D60"/>
    <w:rsid w:val="00E204AC"/>
    <w:rsid w:val="00E2511C"/>
    <w:rsid w:val="00E255F3"/>
    <w:rsid w:val="00E34A12"/>
    <w:rsid w:val="00E36A55"/>
    <w:rsid w:val="00E4263F"/>
    <w:rsid w:val="00E45FBB"/>
    <w:rsid w:val="00E52080"/>
    <w:rsid w:val="00E62499"/>
    <w:rsid w:val="00E73CEF"/>
    <w:rsid w:val="00E73ECD"/>
    <w:rsid w:val="00E83FFD"/>
    <w:rsid w:val="00EA1C74"/>
    <w:rsid w:val="00EA75B4"/>
    <w:rsid w:val="00EB0635"/>
    <w:rsid w:val="00EB339E"/>
    <w:rsid w:val="00EC1A9B"/>
    <w:rsid w:val="00EC203A"/>
    <w:rsid w:val="00EC3F44"/>
    <w:rsid w:val="00ED1E73"/>
    <w:rsid w:val="00ED4C76"/>
    <w:rsid w:val="00ED571B"/>
    <w:rsid w:val="00EE0352"/>
    <w:rsid w:val="00EE34E1"/>
    <w:rsid w:val="00EF14DE"/>
    <w:rsid w:val="00EF7ACF"/>
    <w:rsid w:val="00F0147C"/>
    <w:rsid w:val="00F11527"/>
    <w:rsid w:val="00F27D08"/>
    <w:rsid w:val="00F32A09"/>
    <w:rsid w:val="00F35F3E"/>
    <w:rsid w:val="00F366E2"/>
    <w:rsid w:val="00F80C9B"/>
    <w:rsid w:val="00F83833"/>
    <w:rsid w:val="00F93715"/>
    <w:rsid w:val="00F94B61"/>
    <w:rsid w:val="00FA18D8"/>
    <w:rsid w:val="00FA2D0E"/>
    <w:rsid w:val="00FB46DE"/>
    <w:rsid w:val="00FD5A4E"/>
    <w:rsid w:val="00FD6D3B"/>
    <w:rsid w:val="00FE20FF"/>
    <w:rsid w:val="00FF7A48"/>
    <w:rsid w:val="016C5840"/>
    <w:rsid w:val="016D0971"/>
    <w:rsid w:val="01B37648"/>
    <w:rsid w:val="02756840"/>
    <w:rsid w:val="0297743D"/>
    <w:rsid w:val="02A80B59"/>
    <w:rsid w:val="03237D1B"/>
    <w:rsid w:val="03E26650"/>
    <w:rsid w:val="03F15029"/>
    <w:rsid w:val="04817AE7"/>
    <w:rsid w:val="059738CB"/>
    <w:rsid w:val="059B76E0"/>
    <w:rsid w:val="05B91B6D"/>
    <w:rsid w:val="05BE211F"/>
    <w:rsid w:val="05CA686F"/>
    <w:rsid w:val="06210D4D"/>
    <w:rsid w:val="071C6FC5"/>
    <w:rsid w:val="07673542"/>
    <w:rsid w:val="084F3999"/>
    <w:rsid w:val="08B76DB9"/>
    <w:rsid w:val="0A173D42"/>
    <w:rsid w:val="0A382225"/>
    <w:rsid w:val="0A4C5ADC"/>
    <w:rsid w:val="0B4B7934"/>
    <w:rsid w:val="0B7F4AEE"/>
    <w:rsid w:val="0B9D7DEA"/>
    <w:rsid w:val="0BD81F60"/>
    <w:rsid w:val="0BF164E4"/>
    <w:rsid w:val="0C026CCE"/>
    <w:rsid w:val="0C93684D"/>
    <w:rsid w:val="0C937383"/>
    <w:rsid w:val="0C996D14"/>
    <w:rsid w:val="0DD03163"/>
    <w:rsid w:val="0DE76247"/>
    <w:rsid w:val="0E034A3B"/>
    <w:rsid w:val="0E0425F9"/>
    <w:rsid w:val="0E1F16D5"/>
    <w:rsid w:val="0E611762"/>
    <w:rsid w:val="0F1B7D6C"/>
    <w:rsid w:val="0F2043E2"/>
    <w:rsid w:val="0F60337D"/>
    <w:rsid w:val="0FA86F8A"/>
    <w:rsid w:val="0FD87D68"/>
    <w:rsid w:val="100930A3"/>
    <w:rsid w:val="10235368"/>
    <w:rsid w:val="10831878"/>
    <w:rsid w:val="10BC7360"/>
    <w:rsid w:val="10EB0599"/>
    <w:rsid w:val="11361BF9"/>
    <w:rsid w:val="115B2BCA"/>
    <w:rsid w:val="124445BA"/>
    <w:rsid w:val="125A651E"/>
    <w:rsid w:val="12A544A2"/>
    <w:rsid w:val="12DF778B"/>
    <w:rsid w:val="12E34640"/>
    <w:rsid w:val="133236CD"/>
    <w:rsid w:val="136E389A"/>
    <w:rsid w:val="14493D59"/>
    <w:rsid w:val="14C021D9"/>
    <w:rsid w:val="152B4E64"/>
    <w:rsid w:val="155943A7"/>
    <w:rsid w:val="15D42171"/>
    <w:rsid w:val="16050CEC"/>
    <w:rsid w:val="163634D4"/>
    <w:rsid w:val="163B27DE"/>
    <w:rsid w:val="16826D4F"/>
    <w:rsid w:val="168E3582"/>
    <w:rsid w:val="16C15690"/>
    <w:rsid w:val="16F2564D"/>
    <w:rsid w:val="18F27B86"/>
    <w:rsid w:val="19026F8D"/>
    <w:rsid w:val="1967357D"/>
    <w:rsid w:val="19F13333"/>
    <w:rsid w:val="1AB8095B"/>
    <w:rsid w:val="1ABA0B77"/>
    <w:rsid w:val="1B131D4F"/>
    <w:rsid w:val="1B8E65C7"/>
    <w:rsid w:val="1BC71575"/>
    <w:rsid w:val="1C4814A3"/>
    <w:rsid w:val="1D563F66"/>
    <w:rsid w:val="1D5E3A23"/>
    <w:rsid w:val="1DDB4DCD"/>
    <w:rsid w:val="1DE101C9"/>
    <w:rsid w:val="1DF95513"/>
    <w:rsid w:val="1E302B54"/>
    <w:rsid w:val="1E326C77"/>
    <w:rsid w:val="1E8021D9"/>
    <w:rsid w:val="1F224F5E"/>
    <w:rsid w:val="1FBC447A"/>
    <w:rsid w:val="1FCA4DB5"/>
    <w:rsid w:val="20195194"/>
    <w:rsid w:val="205D4418"/>
    <w:rsid w:val="20C64363"/>
    <w:rsid w:val="20F74921"/>
    <w:rsid w:val="216A3AFC"/>
    <w:rsid w:val="216B39E8"/>
    <w:rsid w:val="21821C7B"/>
    <w:rsid w:val="22C22D4D"/>
    <w:rsid w:val="22C328AA"/>
    <w:rsid w:val="231E37D1"/>
    <w:rsid w:val="23965063"/>
    <w:rsid w:val="24111849"/>
    <w:rsid w:val="241450E7"/>
    <w:rsid w:val="24C366CC"/>
    <w:rsid w:val="25575658"/>
    <w:rsid w:val="25C64958"/>
    <w:rsid w:val="25F30BE6"/>
    <w:rsid w:val="2608403D"/>
    <w:rsid w:val="262C75C1"/>
    <w:rsid w:val="26775535"/>
    <w:rsid w:val="26CC7C68"/>
    <w:rsid w:val="26E933FA"/>
    <w:rsid w:val="273738C4"/>
    <w:rsid w:val="27B54EBB"/>
    <w:rsid w:val="28653466"/>
    <w:rsid w:val="28DC3B08"/>
    <w:rsid w:val="29064F5D"/>
    <w:rsid w:val="29166787"/>
    <w:rsid w:val="2A1D3D54"/>
    <w:rsid w:val="2A770BCB"/>
    <w:rsid w:val="2AB9105F"/>
    <w:rsid w:val="2BD0601C"/>
    <w:rsid w:val="2C3167C0"/>
    <w:rsid w:val="2C457A4A"/>
    <w:rsid w:val="2C4A4F99"/>
    <w:rsid w:val="2C605DE0"/>
    <w:rsid w:val="2C64231A"/>
    <w:rsid w:val="2C7E6581"/>
    <w:rsid w:val="2CAB70DA"/>
    <w:rsid w:val="2CFC63A5"/>
    <w:rsid w:val="2D7A22F0"/>
    <w:rsid w:val="2E213D7B"/>
    <w:rsid w:val="2E270F88"/>
    <w:rsid w:val="2E2E2FB7"/>
    <w:rsid w:val="2E570D90"/>
    <w:rsid w:val="2E652751"/>
    <w:rsid w:val="2E864DD8"/>
    <w:rsid w:val="300C7482"/>
    <w:rsid w:val="305D7B83"/>
    <w:rsid w:val="309F1F4A"/>
    <w:rsid w:val="31967FB8"/>
    <w:rsid w:val="321B03D3"/>
    <w:rsid w:val="32224069"/>
    <w:rsid w:val="328F4E93"/>
    <w:rsid w:val="32DC0722"/>
    <w:rsid w:val="32E35368"/>
    <w:rsid w:val="32F16369"/>
    <w:rsid w:val="32F51F7D"/>
    <w:rsid w:val="33131E56"/>
    <w:rsid w:val="338B4321"/>
    <w:rsid w:val="33A1074F"/>
    <w:rsid w:val="33A1607D"/>
    <w:rsid w:val="33EC114E"/>
    <w:rsid w:val="340A2C7D"/>
    <w:rsid w:val="343A1261"/>
    <w:rsid w:val="346A6CAE"/>
    <w:rsid w:val="34F41002"/>
    <w:rsid w:val="351B7189"/>
    <w:rsid w:val="35427981"/>
    <w:rsid w:val="355A210D"/>
    <w:rsid w:val="35FC0DE6"/>
    <w:rsid w:val="365870D3"/>
    <w:rsid w:val="368C0490"/>
    <w:rsid w:val="369F5373"/>
    <w:rsid w:val="37223570"/>
    <w:rsid w:val="3741687A"/>
    <w:rsid w:val="379C7A8F"/>
    <w:rsid w:val="37B50546"/>
    <w:rsid w:val="37BE2B1E"/>
    <w:rsid w:val="37E9399E"/>
    <w:rsid w:val="38105333"/>
    <w:rsid w:val="38D471BF"/>
    <w:rsid w:val="38E9222D"/>
    <w:rsid w:val="39435D27"/>
    <w:rsid w:val="394C72B1"/>
    <w:rsid w:val="395174BE"/>
    <w:rsid w:val="398668B2"/>
    <w:rsid w:val="3ABE5170"/>
    <w:rsid w:val="3ACF322D"/>
    <w:rsid w:val="3AD31E7F"/>
    <w:rsid w:val="3AD36929"/>
    <w:rsid w:val="3B3C3AFD"/>
    <w:rsid w:val="3B486353"/>
    <w:rsid w:val="3B752F28"/>
    <w:rsid w:val="3B932780"/>
    <w:rsid w:val="3BC65F01"/>
    <w:rsid w:val="3BCB17AB"/>
    <w:rsid w:val="3BD71679"/>
    <w:rsid w:val="3BE6763F"/>
    <w:rsid w:val="3C132139"/>
    <w:rsid w:val="3C3F5E9C"/>
    <w:rsid w:val="3D43791C"/>
    <w:rsid w:val="3D833920"/>
    <w:rsid w:val="3D8765FE"/>
    <w:rsid w:val="3DD903E8"/>
    <w:rsid w:val="3DFC38F7"/>
    <w:rsid w:val="3E216B7E"/>
    <w:rsid w:val="3E9C34EF"/>
    <w:rsid w:val="3EAE46D3"/>
    <w:rsid w:val="3EEC1065"/>
    <w:rsid w:val="3F393D09"/>
    <w:rsid w:val="3F455D9F"/>
    <w:rsid w:val="3FA76219"/>
    <w:rsid w:val="3FB85CBF"/>
    <w:rsid w:val="4006103B"/>
    <w:rsid w:val="40143BAC"/>
    <w:rsid w:val="40213D14"/>
    <w:rsid w:val="40626923"/>
    <w:rsid w:val="407F630B"/>
    <w:rsid w:val="40C447AA"/>
    <w:rsid w:val="40F72C55"/>
    <w:rsid w:val="40FC4631"/>
    <w:rsid w:val="40FF1225"/>
    <w:rsid w:val="411263EA"/>
    <w:rsid w:val="42F863BC"/>
    <w:rsid w:val="42FF1201"/>
    <w:rsid w:val="43256492"/>
    <w:rsid w:val="432C29F7"/>
    <w:rsid w:val="433544D2"/>
    <w:rsid w:val="433A3D54"/>
    <w:rsid w:val="436409AC"/>
    <w:rsid w:val="43713C1A"/>
    <w:rsid w:val="43B909DE"/>
    <w:rsid w:val="44027B4F"/>
    <w:rsid w:val="440A125A"/>
    <w:rsid w:val="440C13BC"/>
    <w:rsid w:val="449F13EB"/>
    <w:rsid w:val="44D829E9"/>
    <w:rsid w:val="45255607"/>
    <w:rsid w:val="45463D49"/>
    <w:rsid w:val="457C4AF8"/>
    <w:rsid w:val="458200AF"/>
    <w:rsid w:val="45A2455E"/>
    <w:rsid w:val="45EB04E4"/>
    <w:rsid w:val="46416525"/>
    <w:rsid w:val="46560EA5"/>
    <w:rsid w:val="46D96E31"/>
    <w:rsid w:val="47D279FA"/>
    <w:rsid w:val="480F7AE3"/>
    <w:rsid w:val="488E40A8"/>
    <w:rsid w:val="49110566"/>
    <w:rsid w:val="49941F85"/>
    <w:rsid w:val="49D36FD8"/>
    <w:rsid w:val="49E512F6"/>
    <w:rsid w:val="4A004457"/>
    <w:rsid w:val="4A507953"/>
    <w:rsid w:val="4AA251CE"/>
    <w:rsid w:val="4AB223A6"/>
    <w:rsid w:val="4ADF1272"/>
    <w:rsid w:val="4B045373"/>
    <w:rsid w:val="4B221C9D"/>
    <w:rsid w:val="4B271062"/>
    <w:rsid w:val="4B331E13"/>
    <w:rsid w:val="4B5856BF"/>
    <w:rsid w:val="4B6576DA"/>
    <w:rsid w:val="4BD43407"/>
    <w:rsid w:val="4BD6609F"/>
    <w:rsid w:val="4C2D26A8"/>
    <w:rsid w:val="4C4F552C"/>
    <w:rsid w:val="4C5162CB"/>
    <w:rsid w:val="4CDF3BF1"/>
    <w:rsid w:val="4D0C11C7"/>
    <w:rsid w:val="4D311E04"/>
    <w:rsid w:val="4D6A7124"/>
    <w:rsid w:val="4D7744D8"/>
    <w:rsid w:val="4D902529"/>
    <w:rsid w:val="4E545BD8"/>
    <w:rsid w:val="4EE54365"/>
    <w:rsid w:val="4F1E452A"/>
    <w:rsid w:val="4F3063F6"/>
    <w:rsid w:val="4F4032E2"/>
    <w:rsid w:val="4FC415F0"/>
    <w:rsid w:val="50E37137"/>
    <w:rsid w:val="51847D79"/>
    <w:rsid w:val="51871489"/>
    <w:rsid w:val="51B75232"/>
    <w:rsid w:val="521C69F4"/>
    <w:rsid w:val="52973710"/>
    <w:rsid w:val="5299375D"/>
    <w:rsid w:val="53034162"/>
    <w:rsid w:val="5382777D"/>
    <w:rsid w:val="543450F9"/>
    <w:rsid w:val="54C87209"/>
    <w:rsid w:val="55006019"/>
    <w:rsid w:val="550C1A7A"/>
    <w:rsid w:val="55486807"/>
    <w:rsid w:val="555A3298"/>
    <w:rsid w:val="556E28FF"/>
    <w:rsid w:val="55BD1FBD"/>
    <w:rsid w:val="56347D37"/>
    <w:rsid w:val="564A67FF"/>
    <w:rsid w:val="579E52AC"/>
    <w:rsid w:val="58306B5A"/>
    <w:rsid w:val="587F10C8"/>
    <w:rsid w:val="589A3C73"/>
    <w:rsid w:val="58A93943"/>
    <w:rsid w:val="598C283B"/>
    <w:rsid w:val="59B95475"/>
    <w:rsid w:val="59DB41B3"/>
    <w:rsid w:val="5A357EDB"/>
    <w:rsid w:val="5A881BF3"/>
    <w:rsid w:val="5ABF7C1C"/>
    <w:rsid w:val="5B293E0E"/>
    <w:rsid w:val="5B861CD8"/>
    <w:rsid w:val="5B920779"/>
    <w:rsid w:val="5B98021F"/>
    <w:rsid w:val="5BB31893"/>
    <w:rsid w:val="5D2D4D99"/>
    <w:rsid w:val="5D7800A9"/>
    <w:rsid w:val="5E2F077C"/>
    <w:rsid w:val="5E741C42"/>
    <w:rsid w:val="5E777A1D"/>
    <w:rsid w:val="5EEC3C3A"/>
    <w:rsid w:val="5FB9136B"/>
    <w:rsid w:val="5FEC0684"/>
    <w:rsid w:val="60CC0ED3"/>
    <w:rsid w:val="614874A5"/>
    <w:rsid w:val="61CA72C2"/>
    <w:rsid w:val="61DA672F"/>
    <w:rsid w:val="6231659D"/>
    <w:rsid w:val="62332C93"/>
    <w:rsid w:val="62560479"/>
    <w:rsid w:val="62A75DC7"/>
    <w:rsid w:val="62E25EC5"/>
    <w:rsid w:val="634D25BC"/>
    <w:rsid w:val="63556DFF"/>
    <w:rsid w:val="636C7527"/>
    <w:rsid w:val="63780DF6"/>
    <w:rsid w:val="642F1E02"/>
    <w:rsid w:val="64514D24"/>
    <w:rsid w:val="6485434B"/>
    <w:rsid w:val="64B31FAD"/>
    <w:rsid w:val="64EC39E8"/>
    <w:rsid w:val="65A958CB"/>
    <w:rsid w:val="65FF07B9"/>
    <w:rsid w:val="66012E77"/>
    <w:rsid w:val="66181E3F"/>
    <w:rsid w:val="664E200A"/>
    <w:rsid w:val="669058B5"/>
    <w:rsid w:val="66F263D4"/>
    <w:rsid w:val="676E0F01"/>
    <w:rsid w:val="67924DD9"/>
    <w:rsid w:val="682569E8"/>
    <w:rsid w:val="68B803F9"/>
    <w:rsid w:val="68DC2552"/>
    <w:rsid w:val="68FB2DEF"/>
    <w:rsid w:val="692A44A8"/>
    <w:rsid w:val="69A53088"/>
    <w:rsid w:val="69CE430B"/>
    <w:rsid w:val="6A2912F4"/>
    <w:rsid w:val="6A336436"/>
    <w:rsid w:val="6A550030"/>
    <w:rsid w:val="6B0B7C00"/>
    <w:rsid w:val="6B4849B1"/>
    <w:rsid w:val="6B785AE3"/>
    <w:rsid w:val="6B824AD0"/>
    <w:rsid w:val="6BDC2394"/>
    <w:rsid w:val="6C5D623A"/>
    <w:rsid w:val="6C8600BC"/>
    <w:rsid w:val="6C951E0A"/>
    <w:rsid w:val="6CD164CD"/>
    <w:rsid w:val="6CF05300"/>
    <w:rsid w:val="6D4D1AFA"/>
    <w:rsid w:val="6E0B53FA"/>
    <w:rsid w:val="6E101AE0"/>
    <w:rsid w:val="6E671ED8"/>
    <w:rsid w:val="6F13197C"/>
    <w:rsid w:val="6FCA5DEF"/>
    <w:rsid w:val="704418A0"/>
    <w:rsid w:val="704445AF"/>
    <w:rsid w:val="71151016"/>
    <w:rsid w:val="71163237"/>
    <w:rsid w:val="711F6CFC"/>
    <w:rsid w:val="71291948"/>
    <w:rsid w:val="71483401"/>
    <w:rsid w:val="71877F2B"/>
    <w:rsid w:val="71B34A79"/>
    <w:rsid w:val="71BB2380"/>
    <w:rsid w:val="726227FC"/>
    <w:rsid w:val="732130B9"/>
    <w:rsid w:val="74156A83"/>
    <w:rsid w:val="74327D69"/>
    <w:rsid w:val="75072E16"/>
    <w:rsid w:val="7524643D"/>
    <w:rsid w:val="753D4E5A"/>
    <w:rsid w:val="75C20B72"/>
    <w:rsid w:val="769963C7"/>
    <w:rsid w:val="76CE65F1"/>
    <w:rsid w:val="776950C2"/>
    <w:rsid w:val="77CC1E6A"/>
    <w:rsid w:val="78111F25"/>
    <w:rsid w:val="78542972"/>
    <w:rsid w:val="789814E8"/>
    <w:rsid w:val="79181E66"/>
    <w:rsid w:val="798B060F"/>
    <w:rsid w:val="7A143707"/>
    <w:rsid w:val="7A243353"/>
    <w:rsid w:val="7A321B2B"/>
    <w:rsid w:val="7A5F5873"/>
    <w:rsid w:val="7A867AEA"/>
    <w:rsid w:val="7AA51CEE"/>
    <w:rsid w:val="7AC35E02"/>
    <w:rsid w:val="7B034EB4"/>
    <w:rsid w:val="7B57541E"/>
    <w:rsid w:val="7B736685"/>
    <w:rsid w:val="7C0903C4"/>
    <w:rsid w:val="7C0D22DA"/>
    <w:rsid w:val="7C2C5C26"/>
    <w:rsid w:val="7C8507C0"/>
    <w:rsid w:val="7D171496"/>
    <w:rsid w:val="7D2E4430"/>
    <w:rsid w:val="7DA42E94"/>
    <w:rsid w:val="7DAB00AE"/>
    <w:rsid w:val="7DEA1C6E"/>
    <w:rsid w:val="7E1D6F1F"/>
    <w:rsid w:val="7E4F123D"/>
    <w:rsid w:val="7E88155A"/>
    <w:rsid w:val="7E9F26E2"/>
    <w:rsid w:val="7F032C71"/>
    <w:rsid w:val="7F0F3632"/>
    <w:rsid w:val="7F317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link w:val="24"/>
    <w:unhideWhenUsed/>
    <w:qFormat/>
    <w:uiPriority w:val="9"/>
    <w:pPr>
      <w:keepLines/>
      <w:spacing w:before="120" w:after="120"/>
      <w:outlineLvl w:val="1"/>
    </w:pPr>
    <w:rPr>
      <w:rFonts w:asciiTheme="majorHAnsi" w:hAnsiTheme="majorHAnsi" w:cstheme="majorBidi"/>
      <w:b/>
      <w:bCs/>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unhideWhenUsed/>
    <w:qFormat/>
    <w:uiPriority w:val="99"/>
    <w:pPr>
      <w:spacing w:line="600" w:lineRule="atLeast"/>
      <w:ind w:firstLine="200" w:firstLineChars="200"/>
      <w:jc w:val="left"/>
    </w:pPr>
    <w:rPr>
      <w:rFonts w:ascii="Calibri" w:hAnsi="Calibri" w:eastAsia="仿宋_GB2312" w:cs="Times New Roman"/>
      <w:sz w:val="32"/>
      <w:szCs w:val="24"/>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before="60" w:after="60"/>
      <w:jc w:val="center"/>
      <w:outlineLvl w:val="0"/>
    </w:pPr>
    <w:rPr>
      <w:rFonts w:asciiTheme="majorHAnsi" w:hAnsiTheme="majorHAnsi" w:eastAsiaTheme="majorEastAsia" w:cstheme="majorBidi"/>
      <w:b/>
      <w:bCs/>
      <w:sz w:val="32"/>
      <w:szCs w:val="3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页眉 Char"/>
    <w:basedOn w:val="12"/>
    <w:link w:val="7"/>
    <w:qFormat/>
    <w:uiPriority w:val="99"/>
    <w:rPr>
      <w:sz w:val="18"/>
      <w:szCs w:val="18"/>
    </w:rPr>
  </w:style>
  <w:style w:type="character" w:customStyle="1" w:styleId="15">
    <w:name w:val="页脚 Char"/>
    <w:basedOn w:val="12"/>
    <w:link w:val="6"/>
    <w:qFormat/>
    <w:uiPriority w:val="99"/>
    <w:rPr>
      <w:sz w:val="18"/>
      <w:szCs w:val="18"/>
    </w:rPr>
  </w:style>
  <w:style w:type="paragraph" w:styleId="16">
    <w:name w:val="List Paragraph"/>
    <w:basedOn w:val="1"/>
    <w:qFormat/>
    <w:uiPriority w:val="34"/>
    <w:pPr>
      <w:spacing w:line="600" w:lineRule="atLeast"/>
      <w:ind w:firstLine="420" w:firstLineChars="200"/>
      <w:jc w:val="left"/>
    </w:pPr>
    <w:rPr>
      <w:rFonts w:ascii="Calibri" w:hAnsi="Calibri" w:eastAsia="仿宋_GB2312" w:cs="Times New Roman"/>
      <w:sz w:val="32"/>
      <w:szCs w:val="24"/>
    </w:rPr>
  </w:style>
  <w:style w:type="character" w:customStyle="1" w:styleId="17">
    <w:name w:val="批注文字 Char"/>
    <w:basedOn w:val="12"/>
    <w:link w:val="4"/>
    <w:qFormat/>
    <w:uiPriority w:val="99"/>
    <w:rPr>
      <w:rFonts w:ascii="Calibri" w:hAnsi="Calibri" w:eastAsia="仿宋_GB2312" w:cs="Times New Roman"/>
      <w:sz w:val="32"/>
      <w:szCs w:val="24"/>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框文本 Char"/>
    <w:basedOn w:val="12"/>
    <w:link w:val="5"/>
    <w:semiHidden/>
    <w:qFormat/>
    <w:uiPriority w:val="99"/>
    <w:rPr>
      <w:sz w:val="18"/>
      <w:szCs w:val="18"/>
    </w:rPr>
  </w:style>
  <w:style w:type="paragraph" w:customStyle="1" w:styleId="2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msolistparagraph"/>
    <w:basedOn w:val="1"/>
    <w:qFormat/>
    <w:uiPriority w:val="0"/>
    <w:pPr>
      <w:ind w:firstLine="420" w:firstLineChars="200"/>
    </w:pPr>
    <w:rPr>
      <w:rFonts w:hint="eastAsia" w:ascii="Cambria" w:hAnsi="Cambria" w:eastAsia="宋体" w:cs="Times New Roman"/>
      <w:sz w:val="24"/>
      <w:szCs w:val="24"/>
    </w:rPr>
  </w:style>
  <w:style w:type="paragraph" w:customStyle="1" w:styleId="22">
    <w:name w:val="修订3"/>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fontstyle01"/>
    <w:basedOn w:val="12"/>
    <w:qFormat/>
    <w:uiPriority w:val="0"/>
    <w:rPr>
      <w:rFonts w:hint="eastAsia" w:ascii="宋体" w:hAnsi="宋体" w:eastAsia="宋体" w:cs="宋体"/>
      <w:color w:val="000000"/>
      <w:sz w:val="24"/>
      <w:szCs w:val="24"/>
    </w:rPr>
  </w:style>
  <w:style w:type="character" w:customStyle="1" w:styleId="24">
    <w:name w:val="标题 2 Char"/>
    <w:basedOn w:val="12"/>
    <w:link w:val="2"/>
    <w:qFormat/>
    <w:uiPriority w:val="0"/>
    <w:rPr>
      <w:rFonts w:ascii="等线 Light" w:hAnsi="等线 Light" w:eastAsia="等线 Light" w:cs="Times New Roman"/>
      <w:b/>
      <w:bCs/>
      <w:kern w:val="2"/>
      <w:sz w:val="32"/>
      <w:szCs w:val="32"/>
    </w:rPr>
  </w:style>
  <w:style w:type="paragraph" w:customStyle="1" w:styleId="25">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6">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7">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8">
    <w:name w:val="修订7"/>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A81E97-4818-4ADC-B081-24E4A1EA79DB}">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3300</Words>
  <Characters>3347</Characters>
  <Lines>24</Lines>
  <Paragraphs>6</Paragraphs>
  <TotalTime>0</TotalTime>
  <ScaleCrop>false</ScaleCrop>
  <LinksUpToDate>false</LinksUpToDate>
  <CharactersWithSpaces>3347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2022-02-14T09:17:00Z</dcterms:created>
  <dc:creator>孙 蔷蔷</dc:creator>
  <cp:lastModifiedBy>静心</cp:lastModifiedBy>
  <cp:lastPrinted>2022-02-07T01:19:00Z</cp:lastPrinted>
  <dcterms:modified xsi:type="dcterms:W3CDTF">2022-08-12T01:49:48Z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3B1BA1802E2E4054A57680EF5D04EEB9</vt:lpwstr>
  </property>
</Properties>
</file>