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00"/>
          <w:tab w:val="left" w:pos="4394"/>
        </w:tabs>
        <w:autoSpaceDE w:val="0"/>
        <w:autoSpaceDN w:val="0"/>
        <w:spacing w:line="620" w:lineRule="exact"/>
        <w:jc w:val="center"/>
        <w:rPr>
          <w:rFonts w:eastAsia="仿宋_GB2312"/>
          <w:sz w:val="32"/>
          <w:szCs w:val="32"/>
        </w:rPr>
      </w:pPr>
    </w:p>
    <w:p>
      <w:pPr>
        <w:tabs>
          <w:tab w:val="left" w:pos="2500"/>
          <w:tab w:val="left" w:pos="4394"/>
        </w:tabs>
        <w:autoSpaceDE w:val="0"/>
        <w:autoSpaceDN w:val="0"/>
        <w:spacing w:line="620" w:lineRule="exact"/>
        <w:jc w:val="center"/>
        <w:rPr>
          <w:rFonts w:eastAsia="仿宋_GB2312"/>
          <w:sz w:val="32"/>
          <w:szCs w:val="32"/>
        </w:rPr>
      </w:pPr>
    </w:p>
    <w:p>
      <w:pPr>
        <w:tabs>
          <w:tab w:val="left" w:pos="2500"/>
          <w:tab w:val="left" w:pos="4394"/>
        </w:tabs>
        <w:autoSpaceDE w:val="0"/>
        <w:autoSpaceDN w:val="0"/>
        <w:spacing w:line="620" w:lineRule="exact"/>
        <w:jc w:val="center"/>
        <w:rPr>
          <w:rFonts w:eastAsia="仿宋_GB2312"/>
          <w:sz w:val="32"/>
          <w:szCs w:val="32"/>
        </w:rPr>
      </w:pPr>
    </w:p>
    <w:p>
      <w:pPr>
        <w:tabs>
          <w:tab w:val="left" w:pos="2500"/>
          <w:tab w:val="left" w:pos="4394"/>
        </w:tabs>
        <w:autoSpaceDE w:val="0"/>
        <w:autoSpaceDN w:val="0"/>
        <w:spacing w:line="620" w:lineRule="exact"/>
        <w:jc w:val="center"/>
        <w:rPr>
          <w:rFonts w:eastAsia="仿宋_GB2312"/>
          <w:sz w:val="32"/>
          <w:szCs w:val="32"/>
        </w:rPr>
      </w:pPr>
    </w:p>
    <w:p>
      <w:pPr>
        <w:tabs>
          <w:tab w:val="left" w:pos="2500"/>
          <w:tab w:val="left" w:pos="4394"/>
        </w:tabs>
        <w:autoSpaceDE w:val="0"/>
        <w:autoSpaceDN w:val="0"/>
        <w:spacing w:line="620" w:lineRule="exact"/>
        <w:jc w:val="center"/>
        <w:rPr>
          <w:rFonts w:eastAsia="仿宋_GB2312"/>
          <w:sz w:val="32"/>
          <w:szCs w:val="32"/>
        </w:rPr>
      </w:pPr>
    </w:p>
    <w:p>
      <w:pPr>
        <w:tabs>
          <w:tab w:val="left" w:pos="2500"/>
          <w:tab w:val="left" w:pos="4394"/>
        </w:tabs>
        <w:autoSpaceDE w:val="0"/>
        <w:autoSpaceDN w:val="0"/>
        <w:spacing w:line="620" w:lineRule="exact"/>
        <w:jc w:val="center"/>
        <w:rPr>
          <w:rFonts w:eastAsia="仿宋_GB2312"/>
          <w:sz w:val="32"/>
          <w:szCs w:val="32"/>
        </w:rPr>
      </w:pPr>
    </w:p>
    <w:p>
      <w:pPr>
        <w:tabs>
          <w:tab w:val="left" w:pos="2500"/>
          <w:tab w:val="left" w:pos="4394"/>
        </w:tabs>
        <w:autoSpaceDE w:val="0"/>
        <w:autoSpaceDN w:val="0"/>
        <w:spacing w:line="580" w:lineRule="exact"/>
        <w:jc w:val="center"/>
        <w:rPr>
          <w:rFonts w:eastAsia="仿宋_GB2312"/>
          <w:snapToGrid w:val="0"/>
          <w:sz w:val="32"/>
          <w:szCs w:val="32"/>
        </w:rPr>
      </w:pPr>
      <w:r>
        <w:rPr>
          <w:rFonts w:eastAsia="仿宋_GB2312"/>
          <w:snapToGrid w:val="0"/>
          <w:sz w:val="32"/>
          <w:szCs w:val="32"/>
        </w:rPr>
        <w:t>济天政字〔2023〕</w:t>
      </w:r>
      <w:r>
        <w:rPr>
          <w:rFonts w:hint="eastAsia" w:eastAsia="仿宋_GB2312"/>
          <w:snapToGrid w:val="0"/>
          <w:sz w:val="32"/>
          <w:szCs w:val="32"/>
        </w:rPr>
        <w:t>10</w:t>
      </w:r>
      <w:r>
        <w:rPr>
          <w:rFonts w:eastAsia="仿宋_GB2312"/>
          <w:snapToGrid w:val="0"/>
          <w:sz w:val="32"/>
          <w:szCs w:val="32"/>
        </w:rPr>
        <w:t>号</w:t>
      </w:r>
    </w:p>
    <w:p>
      <w:pPr>
        <w:tabs>
          <w:tab w:val="left" w:pos="2500"/>
          <w:tab w:val="left" w:pos="4394"/>
        </w:tabs>
        <w:autoSpaceDE w:val="0"/>
        <w:autoSpaceDN w:val="0"/>
        <w:spacing w:line="580" w:lineRule="exact"/>
        <w:jc w:val="center"/>
        <w:rPr>
          <w:rFonts w:eastAsia="方正小标宋_GBK"/>
          <w:snapToGrid w:val="0"/>
          <w:sz w:val="44"/>
          <w:szCs w:val="44"/>
        </w:rPr>
      </w:pPr>
    </w:p>
    <w:p>
      <w:pPr>
        <w:tabs>
          <w:tab w:val="left" w:pos="2500"/>
          <w:tab w:val="left" w:pos="4394"/>
        </w:tabs>
        <w:autoSpaceDE w:val="0"/>
        <w:autoSpaceDN w:val="0"/>
        <w:spacing w:line="580" w:lineRule="exact"/>
        <w:jc w:val="center"/>
        <w:rPr>
          <w:rFonts w:eastAsia="方正小标宋_GBK"/>
          <w:snapToGrid w:val="0"/>
          <w:sz w:val="44"/>
          <w:szCs w:val="44"/>
        </w:rPr>
      </w:pPr>
      <w:r>
        <w:rPr>
          <w:rFonts w:eastAsia="方正小标宋_GBK"/>
          <w:snapToGrid w:val="0"/>
          <w:sz w:val="44"/>
          <w:szCs w:val="44"/>
        </w:rPr>
        <w:t>济南市天桥区人民政府</w:t>
      </w:r>
    </w:p>
    <w:p>
      <w:pPr>
        <w:tabs>
          <w:tab w:val="left" w:pos="2500"/>
          <w:tab w:val="left" w:pos="4394"/>
        </w:tabs>
        <w:autoSpaceDE w:val="0"/>
        <w:autoSpaceDN w:val="0"/>
        <w:spacing w:line="580" w:lineRule="exact"/>
        <w:jc w:val="center"/>
        <w:rPr>
          <w:rFonts w:eastAsia="方正小标宋_GBK"/>
          <w:snapToGrid w:val="0"/>
          <w:sz w:val="44"/>
          <w:szCs w:val="44"/>
        </w:rPr>
      </w:pPr>
      <w:r>
        <w:rPr>
          <w:rFonts w:eastAsia="方正小标宋_GBK"/>
          <w:snapToGrid w:val="0"/>
          <w:sz w:val="44"/>
          <w:szCs w:val="44"/>
        </w:rPr>
        <w:t>关于印发天桥区“无废城市”建设实施方案(2023－2025年)的通知</w:t>
      </w:r>
    </w:p>
    <w:p>
      <w:pPr>
        <w:tabs>
          <w:tab w:val="left" w:pos="2500"/>
          <w:tab w:val="left" w:pos="4394"/>
        </w:tabs>
        <w:autoSpaceDE w:val="0"/>
        <w:autoSpaceDN w:val="0"/>
        <w:spacing w:line="580" w:lineRule="exact"/>
        <w:jc w:val="center"/>
        <w:rPr>
          <w:rFonts w:eastAsia="方正小标宋_GBK"/>
          <w:snapToGrid w:val="0"/>
          <w:sz w:val="44"/>
          <w:szCs w:val="44"/>
        </w:rPr>
      </w:pPr>
    </w:p>
    <w:p>
      <w:pPr>
        <w:tabs>
          <w:tab w:val="left" w:pos="2500"/>
          <w:tab w:val="left" w:pos="4394"/>
        </w:tabs>
        <w:autoSpaceDE w:val="0"/>
        <w:autoSpaceDN w:val="0"/>
        <w:adjustRightInd w:val="0"/>
        <w:snapToGrid w:val="0"/>
        <w:spacing w:line="580" w:lineRule="exact"/>
        <w:jc w:val="left"/>
        <w:rPr>
          <w:rFonts w:eastAsia="仿宋_GB2312"/>
          <w:snapToGrid w:val="0"/>
          <w:sz w:val="32"/>
          <w:szCs w:val="32"/>
        </w:rPr>
      </w:pPr>
      <w:r>
        <w:rPr>
          <w:rFonts w:eastAsia="仿宋_GB2312"/>
          <w:snapToGrid w:val="0"/>
          <w:sz w:val="32"/>
          <w:szCs w:val="32"/>
        </w:rPr>
        <w:t>各街道办事处,区政府各部门(单位):</w:t>
      </w:r>
    </w:p>
    <w:p>
      <w:pPr>
        <w:tabs>
          <w:tab w:val="left" w:pos="2500"/>
          <w:tab w:val="left" w:pos="4394"/>
        </w:tabs>
        <w:autoSpaceDE w:val="0"/>
        <w:autoSpaceDN w:val="0"/>
        <w:adjustRightInd w:val="0"/>
        <w:snapToGrid w:val="0"/>
        <w:spacing w:line="580" w:lineRule="exact"/>
        <w:ind w:firstLine="640" w:firstLineChars="200"/>
        <w:jc w:val="left"/>
        <w:rPr>
          <w:rFonts w:eastAsia="仿宋_GB2312"/>
          <w:snapToGrid w:val="0"/>
          <w:sz w:val="32"/>
          <w:szCs w:val="32"/>
        </w:rPr>
      </w:pPr>
      <w:r>
        <w:rPr>
          <w:rFonts w:eastAsia="仿宋_GB2312"/>
          <w:snapToGrid w:val="0"/>
          <w:sz w:val="32"/>
          <w:szCs w:val="32"/>
        </w:rPr>
        <w:t>现将《天桥区“无废城市”建设实施方案(2023－2025年)》印发给你们,请认真组织实施。</w:t>
      </w:r>
    </w:p>
    <w:p>
      <w:pPr>
        <w:tabs>
          <w:tab w:val="left" w:pos="2500"/>
          <w:tab w:val="left" w:pos="4394"/>
        </w:tabs>
        <w:autoSpaceDE w:val="0"/>
        <w:autoSpaceDN w:val="0"/>
        <w:adjustRightInd w:val="0"/>
        <w:snapToGrid w:val="0"/>
        <w:spacing w:line="580" w:lineRule="exact"/>
        <w:jc w:val="center"/>
        <w:rPr>
          <w:rFonts w:eastAsia="仿宋_GB2312"/>
          <w:snapToGrid w:val="0"/>
          <w:sz w:val="32"/>
          <w:szCs w:val="32"/>
        </w:rPr>
      </w:pPr>
    </w:p>
    <w:p>
      <w:pPr>
        <w:tabs>
          <w:tab w:val="left" w:pos="2500"/>
          <w:tab w:val="left" w:pos="4394"/>
        </w:tabs>
        <w:autoSpaceDE w:val="0"/>
        <w:autoSpaceDN w:val="0"/>
        <w:adjustRightInd w:val="0"/>
        <w:snapToGrid w:val="0"/>
        <w:spacing w:line="580" w:lineRule="exact"/>
        <w:jc w:val="center"/>
        <w:rPr>
          <w:rFonts w:eastAsia="仿宋_GB2312"/>
          <w:snapToGrid w:val="0"/>
          <w:sz w:val="32"/>
          <w:szCs w:val="32"/>
        </w:rPr>
      </w:pPr>
    </w:p>
    <w:p>
      <w:pPr>
        <w:tabs>
          <w:tab w:val="left" w:pos="2500"/>
          <w:tab w:val="left" w:pos="4394"/>
        </w:tabs>
        <w:autoSpaceDE w:val="0"/>
        <w:autoSpaceDN w:val="0"/>
        <w:adjustRightInd w:val="0"/>
        <w:snapToGrid w:val="0"/>
        <w:spacing w:line="580" w:lineRule="exact"/>
        <w:jc w:val="center"/>
        <w:rPr>
          <w:rFonts w:eastAsia="仿宋_GB2312"/>
          <w:snapToGrid w:val="0"/>
          <w:sz w:val="32"/>
          <w:szCs w:val="32"/>
        </w:rPr>
      </w:pPr>
      <w:r>
        <w:rPr>
          <w:rFonts w:eastAsia="仿宋_GB2312"/>
          <w:snapToGrid w:val="0"/>
          <w:sz w:val="32"/>
          <w:szCs w:val="32"/>
        </w:rPr>
        <w:t xml:space="preserve">                            济南市天桥区人民政府    </w:t>
      </w:r>
    </w:p>
    <w:p>
      <w:pPr>
        <w:tabs>
          <w:tab w:val="left" w:pos="2500"/>
          <w:tab w:val="left" w:pos="4394"/>
        </w:tabs>
        <w:autoSpaceDE w:val="0"/>
        <w:autoSpaceDN w:val="0"/>
        <w:adjustRightInd w:val="0"/>
        <w:snapToGrid w:val="0"/>
        <w:spacing w:line="580" w:lineRule="exact"/>
        <w:jc w:val="center"/>
        <w:rPr>
          <w:rFonts w:eastAsia="仿宋_GB2312"/>
          <w:snapToGrid w:val="0"/>
          <w:sz w:val="32"/>
          <w:szCs w:val="32"/>
        </w:rPr>
      </w:pPr>
      <w:r>
        <w:rPr>
          <w:rFonts w:eastAsia="仿宋_GB2312"/>
          <w:snapToGrid w:val="0"/>
          <w:sz w:val="32"/>
          <w:szCs w:val="32"/>
        </w:rPr>
        <w:t xml:space="preserve">                              2023年4月18日</w:t>
      </w:r>
    </w:p>
    <w:p>
      <w:pPr>
        <w:pStyle w:val="2"/>
        <w:adjustRightInd w:val="0"/>
        <w:snapToGrid w:val="0"/>
        <w:spacing w:after="0" w:line="580" w:lineRule="exact"/>
      </w:pPr>
    </w:p>
    <w:p>
      <w:pPr>
        <w:tabs>
          <w:tab w:val="left" w:pos="2500"/>
          <w:tab w:val="left" w:pos="4394"/>
        </w:tabs>
        <w:autoSpaceDE w:val="0"/>
        <w:autoSpaceDN w:val="0"/>
        <w:adjustRightInd w:val="0"/>
        <w:snapToGrid w:val="0"/>
        <w:spacing w:line="580" w:lineRule="exact"/>
        <w:jc w:val="center"/>
        <w:rPr>
          <w:rFonts w:eastAsia="仿宋_GB2312"/>
          <w:snapToGrid w:val="0"/>
          <w:sz w:val="32"/>
          <w:szCs w:val="32"/>
        </w:rPr>
      </w:pPr>
    </w:p>
    <w:p>
      <w:pPr>
        <w:tabs>
          <w:tab w:val="left" w:pos="2500"/>
          <w:tab w:val="left" w:pos="4394"/>
        </w:tabs>
        <w:autoSpaceDE w:val="0"/>
        <w:autoSpaceDN w:val="0"/>
        <w:spacing w:line="580" w:lineRule="exact"/>
        <w:ind w:firstLine="640" w:firstLineChars="200"/>
        <w:rPr>
          <w:rFonts w:eastAsia="仿宋_GB2312"/>
          <w:snapToGrid w:val="0"/>
          <w:sz w:val="32"/>
          <w:szCs w:val="32"/>
        </w:rPr>
      </w:pPr>
      <w:r>
        <w:rPr>
          <w:rFonts w:eastAsia="仿宋_GB2312"/>
          <w:snapToGrid w:val="0"/>
          <w:sz w:val="32"/>
          <w:szCs w:val="32"/>
        </w:rPr>
        <w:t>(联系电话:市生态环境局天桥分局管理三科,86926017)</w:t>
      </w:r>
    </w:p>
    <w:p>
      <w:pPr>
        <w:tabs>
          <w:tab w:val="left" w:pos="2500"/>
          <w:tab w:val="left" w:pos="4394"/>
        </w:tabs>
        <w:autoSpaceDE w:val="0"/>
        <w:autoSpaceDN w:val="0"/>
        <w:spacing w:line="580" w:lineRule="exact"/>
        <w:ind w:firstLine="640" w:firstLineChars="200"/>
        <w:rPr>
          <w:rFonts w:eastAsia="仿宋_GB2312"/>
          <w:snapToGrid w:val="0"/>
          <w:sz w:val="32"/>
          <w:szCs w:val="32"/>
        </w:rPr>
      </w:pPr>
      <w:r>
        <w:rPr>
          <w:rFonts w:eastAsia="仿宋_GB2312"/>
          <w:snapToGrid w:val="0"/>
          <w:sz w:val="32"/>
          <w:szCs w:val="32"/>
        </w:rPr>
        <w:t>(此件公开发布)</w:t>
      </w:r>
    </w:p>
    <w:p>
      <w:pPr>
        <w:tabs>
          <w:tab w:val="left" w:pos="2500"/>
          <w:tab w:val="left" w:pos="4394"/>
        </w:tabs>
        <w:autoSpaceDE w:val="0"/>
        <w:autoSpaceDN w:val="0"/>
        <w:spacing w:line="580" w:lineRule="exact"/>
        <w:rPr>
          <w:rFonts w:eastAsia="仿宋_GB2312"/>
          <w:snapToGrid w:val="0"/>
          <w:sz w:val="32"/>
          <w:szCs w:val="32"/>
        </w:rPr>
        <w:sectPr>
          <w:footerReference r:id="rId3" w:type="default"/>
          <w:footerReference r:id="rId4" w:type="even"/>
          <w:pgSz w:w="11906" w:h="16838"/>
          <w:pgMar w:top="2098" w:right="1474" w:bottom="1985" w:left="1588" w:header="0" w:footer="1361" w:gutter="0"/>
          <w:cols w:space="720" w:num="1"/>
        </w:sectPr>
      </w:pPr>
    </w:p>
    <w:p>
      <w:pPr>
        <w:adjustRightInd w:val="0"/>
        <w:snapToGrid w:val="0"/>
        <w:spacing w:line="580" w:lineRule="exact"/>
        <w:jc w:val="center"/>
        <w:rPr>
          <w:rFonts w:eastAsia="方正小标宋_GBK"/>
          <w:sz w:val="44"/>
          <w:szCs w:val="44"/>
        </w:rPr>
      </w:pPr>
      <w:r>
        <w:rPr>
          <w:rFonts w:eastAsia="方正小标宋_GBK"/>
          <w:sz w:val="44"/>
          <w:szCs w:val="44"/>
        </w:rPr>
        <w:t>天桥区“无废城市”建设实施方案</w:t>
      </w:r>
    </w:p>
    <w:p>
      <w:pPr>
        <w:adjustRightInd w:val="0"/>
        <w:snapToGrid w:val="0"/>
        <w:spacing w:line="580" w:lineRule="exact"/>
        <w:jc w:val="center"/>
        <w:rPr>
          <w:rFonts w:eastAsia="方正小标宋_GBK"/>
          <w:sz w:val="44"/>
          <w:szCs w:val="44"/>
        </w:rPr>
      </w:pPr>
      <w:r>
        <w:rPr>
          <w:rFonts w:eastAsia="方正小标宋_GBK"/>
          <w:sz w:val="44"/>
          <w:szCs w:val="44"/>
        </w:rPr>
        <w:t>(2023—2025年)</w:t>
      </w:r>
    </w:p>
    <w:p>
      <w:pPr>
        <w:adjustRightInd w:val="0"/>
        <w:snapToGrid w:val="0"/>
        <w:spacing w:line="580" w:lineRule="exact"/>
        <w:ind w:firstLine="420" w:firstLineChars="200"/>
        <w:rPr>
          <w:szCs w:val="32"/>
        </w:rPr>
      </w:pPr>
    </w:p>
    <w:p>
      <w:pPr>
        <w:adjustRightInd w:val="0"/>
        <w:snapToGrid w:val="0"/>
        <w:spacing w:line="580" w:lineRule="exact"/>
        <w:ind w:firstLine="640" w:firstLineChars="200"/>
        <w:rPr>
          <w:szCs w:val="32"/>
        </w:rPr>
      </w:pPr>
      <w:r>
        <w:rPr>
          <w:rFonts w:eastAsia="仿宋_GB2312"/>
          <w:sz w:val="32"/>
          <w:szCs w:val="32"/>
        </w:rPr>
        <w:t>为深入贯彻习近平生态文明思想，推动固体废物源头减量和资源化利用，最大限度减少填埋量，促进城市绿色转型和高质量发展，根据《“十四五”时期“无废城市”建设工作方案》、《山东省“无废城市”建设工作方案》和《济南市“无废城市”建设实施方案（2022-2025年）》有关要求，结合我区实际，制定本方案。</w:t>
      </w:r>
    </w:p>
    <w:p>
      <w:pPr>
        <w:adjustRightInd w:val="0"/>
        <w:snapToGrid w:val="0"/>
        <w:spacing w:line="580" w:lineRule="exact"/>
        <w:ind w:firstLine="640" w:firstLineChars="200"/>
        <w:rPr>
          <w:rFonts w:eastAsia="黑体"/>
          <w:szCs w:val="32"/>
        </w:rPr>
      </w:pPr>
      <w:r>
        <w:rPr>
          <w:rFonts w:eastAsia="黑体"/>
          <w:sz w:val="32"/>
          <w:szCs w:val="32"/>
        </w:rPr>
        <w:t>一、总体要求</w:t>
      </w:r>
    </w:p>
    <w:p>
      <w:pPr>
        <w:adjustRightInd w:val="0"/>
        <w:snapToGrid w:val="0"/>
        <w:spacing w:line="580" w:lineRule="exact"/>
        <w:ind w:firstLine="640" w:firstLineChars="200"/>
        <w:rPr>
          <w:szCs w:val="32"/>
        </w:rPr>
      </w:pPr>
      <w:r>
        <w:rPr>
          <w:rFonts w:eastAsia="楷体_GB2312"/>
          <w:sz w:val="32"/>
          <w:szCs w:val="32"/>
        </w:rPr>
        <w:t>(一)指导思想。</w:t>
      </w:r>
      <w:r>
        <w:rPr>
          <w:rFonts w:eastAsia="仿宋_GB2312"/>
          <w:sz w:val="32"/>
          <w:szCs w:val="32"/>
        </w:rPr>
        <w:t>以习近平新时代中国特色社会主义思想为指导，全面贯彻党的二十大精神，立足新发展阶段，完整、准确、全面贯彻新发展理念，服务和融入新发展格局，统筹城市发展与固体废物管理，完善制度、技术、市场、监管四大体系，建立固体废物产生强度低、循环利用水平高、填埋处置量少、环境风险小的长效管理机制，推进固体废物领域治理体系和治理能力现代化，提升城市生态环境质量和精细化管理水平，实现减污降碳协同增效。</w:t>
      </w:r>
    </w:p>
    <w:p>
      <w:pPr>
        <w:adjustRightInd w:val="0"/>
        <w:snapToGrid w:val="0"/>
        <w:spacing w:line="580" w:lineRule="exact"/>
        <w:ind w:firstLine="640" w:firstLineChars="200"/>
        <w:rPr>
          <w:rFonts w:eastAsia="楷体_GB2312"/>
          <w:szCs w:val="32"/>
        </w:rPr>
      </w:pPr>
      <w:r>
        <w:rPr>
          <w:rFonts w:eastAsia="楷体_GB2312"/>
          <w:sz w:val="32"/>
          <w:szCs w:val="32"/>
        </w:rPr>
        <w:t>(二)基本原则</w:t>
      </w:r>
    </w:p>
    <w:p>
      <w:pPr>
        <w:adjustRightInd w:val="0"/>
        <w:snapToGrid w:val="0"/>
        <w:spacing w:line="580" w:lineRule="exact"/>
        <w:ind w:firstLine="640" w:firstLineChars="200"/>
        <w:rPr>
          <w:szCs w:val="32"/>
        </w:rPr>
      </w:pPr>
      <w:r>
        <w:rPr>
          <w:rFonts w:eastAsia="仿宋_GB2312"/>
          <w:sz w:val="32"/>
          <w:szCs w:val="32"/>
        </w:rPr>
        <w:t>1.系统谋划、一体推进。统筹谋划“十四五”时期“无废城市”建设路线，明确目标任务，强化责任落实，加快推动经济社会发展绿色转型，提升城市固体废物精细化管理水平，协同推进黄河流域生态保护和高质量发展、新旧动能转换、碳达峰碳中和等重大战略实施，实现减污降碳协同增效。</w:t>
      </w:r>
    </w:p>
    <w:p>
      <w:pPr>
        <w:adjustRightInd w:val="0"/>
        <w:snapToGrid w:val="0"/>
        <w:spacing w:line="580" w:lineRule="exact"/>
        <w:ind w:firstLine="640" w:firstLineChars="200"/>
        <w:rPr>
          <w:szCs w:val="32"/>
        </w:rPr>
      </w:pPr>
      <w:r>
        <w:rPr>
          <w:rFonts w:eastAsia="仿宋_GB2312"/>
          <w:sz w:val="32"/>
          <w:szCs w:val="32"/>
        </w:rPr>
        <w:t>2.问题导向、因地制宜。以解决部分固体废物资源化利用水平低、处置方式单一和信息化管理水平滞后等突出问题为重点，结合我区产业结构和发展阶段，强弱项、补短板，精准定位瓶颈问题，持续推动工业固体废物、农业废弃物、生活源固体废物和危险废物等各领域固体废物减量化、资源化和无害化。</w:t>
      </w:r>
    </w:p>
    <w:p>
      <w:pPr>
        <w:adjustRightInd w:val="0"/>
        <w:snapToGrid w:val="0"/>
        <w:spacing w:line="580" w:lineRule="exact"/>
        <w:ind w:firstLine="640" w:firstLineChars="200"/>
        <w:rPr>
          <w:szCs w:val="32"/>
        </w:rPr>
      </w:pPr>
      <w:r>
        <w:rPr>
          <w:rFonts w:eastAsia="仿宋_GB2312"/>
          <w:sz w:val="32"/>
          <w:szCs w:val="32"/>
        </w:rPr>
        <w:t>3.改革创新、多方共建。加快制度、机制、模式和技术创新，推动实现重点突破与整体创新，探索建立一批可复制、可推广的特色模式和亮点项目。引导企业落实环境治理主体责任，发挥公众和社会组织监督作用，构建党委领导、政府主导、企业主体、社会组织和公众共同参与的“无废城市”建设工作格局。</w:t>
      </w:r>
    </w:p>
    <w:p>
      <w:pPr>
        <w:adjustRightInd w:val="0"/>
        <w:snapToGrid w:val="0"/>
        <w:spacing w:line="580" w:lineRule="exact"/>
        <w:ind w:firstLine="640" w:firstLineChars="200"/>
        <w:rPr>
          <w:szCs w:val="32"/>
        </w:rPr>
      </w:pPr>
      <w:r>
        <w:rPr>
          <w:rFonts w:eastAsia="楷体_GB2312"/>
          <w:sz w:val="32"/>
          <w:szCs w:val="32"/>
        </w:rPr>
        <w:t>(三)建设目标。</w:t>
      </w:r>
      <w:r>
        <w:rPr>
          <w:rFonts w:eastAsia="仿宋_GB2312"/>
          <w:sz w:val="32"/>
          <w:szCs w:val="32"/>
        </w:rPr>
        <w:t>到2025年，“无废城市”建设工作稳步推进，生产生活方式绿色转型成效显著，固体废物产生强度较快下降，综合利用水平和无害化处置能力显著提升，固体废物治理体系和治理能力进一步强化，减污降碳协同增效作用初步显现，“无废城市”四大体系基本建立，“无废”理念得到广泛认同。到2035年，广泛形成绿色低碳生产生活方式，建立完善的固体废物精细化管理体系，碳排放达峰后稳中有降，“无废城市”理念深入人心。</w:t>
      </w:r>
    </w:p>
    <w:p>
      <w:pPr>
        <w:adjustRightInd w:val="0"/>
        <w:snapToGrid w:val="0"/>
        <w:spacing w:line="580" w:lineRule="exact"/>
        <w:ind w:firstLine="640" w:firstLineChars="200"/>
        <w:rPr>
          <w:szCs w:val="32"/>
        </w:rPr>
      </w:pPr>
      <w:r>
        <w:rPr>
          <w:rFonts w:eastAsia="楷体_GB2312"/>
          <w:sz w:val="32"/>
          <w:szCs w:val="32"/>
        </w:rPr>
        <w:t>(四)指标体系。</w:t>
      </w:r>
      <w:r>
        <w:rPr>
          <w:rFonts w:eastAsia="仿宋_GB2312"/>
          <w:sz w:val="32"/>
          <w:szCs w:val="32"/>
        </w:rPr>
        <w:t>按照《“无废城市”建设指标体系(2021年版)》要求，建立“无废城市”建设指标体系，包括5个一级指标、16个二级指标和4</w:t>
      </w:r>
      <w:r>
        <w:rPr>
          <w:sz w:val="32"/>
          <w:szCs w:val="32"/>
        </w:rPr>
        <w:t>7</w:t>
      </w:r>
      <w:r>
        <w:rPr>
          <w:rFonts w:eastAsia="仿宋_GB2312"/>
          <w:sz w:val="32"/>
          <w:szCs w:val="32"/>
        </w:rPr>
        <w:t>个三级指标。</w:t>
      </w:r>
    </w:p>
    <w:p>
      <w:pPr>
        <w:adjustRightInd w:val="0"/>
        <w:snapToGrid w:val="0"/>
        <w:spacing w:line="580" w:lineRule="exact"/>
        <w:ind w:firstLine="640" w:firstLineChars="200"/>
        <w:rPr>
          <w:szCs w:val="32"/>
        </w:rPr>
      </w:pPr>
      <w:r>
        <w:rPr>
          <w:rFonts w:eastAsia="楷体_GB2312"/>
          <w:color w:val="000000" w:themeColor="text1"/>
          <w:sz w:val="32"/>
          <w:szCs w:val="32"/>
          <w14:textFill>
            <w14:solidFill>
              <w14:schemeClr w14:val="tx1"/>
            </w14:solidFill>
          </w14:textFill>
        </w:rPr>
        <w:t>(五)实施范围及时间。</w:t>
      </w:r>
      <w:r>
        <w:rPr>
          <w:rFonts w:eastAsia="仿宋_GB2312"/>
          <w:sz w:val="32"/>
          <w:szCs w:val="32"/>
        </w:rPr>
        <w:t>本方案适用于我区管辖区域，方案编制基准年为2020年，建设时限为2023—2025年。</w:t>
      </w:r>
    </w:p>
    <w:p>
      <w:pPr>
        <w:adjustRightInd w:val="0"/>
        <w:snapToGrid w:val="0"/>
        <w:spacing w:line="580" w:lineRule="exact"/>
        <w:ind w:firstLine="640" w:firstLineChars="200"/>
        <w:rPr>
          <w:rFonts w:eastAsia="黑体"/>
          <w:szCs w:val="32"/>
        </w:rPr>
      </w:pPr>
      <w:r>
        <w:rPr>
          <w:rFonts w:eastAsia="黑体"/>
          <w:sz w:val="32"/>
          <w:szCs w:val="32"/>
        </w:rPr>
        <w:t>二、重点任务</w:t>
      </w:r>
    </w:p>
    <w:p>
      <w:pPr>
        <w:adjustRightInd w:val="0"/>
        <w:snapToGrid w:val="0"/>
        <w:spacing w:line="580" w:lineRule="exact"/>
        <w:ind w:firstLine="640" w:firstLineChars="200"/>
        <w:rPr>
          <w:rFonts w:eastAsia="楷体_GB2312"/>
          <w:szCs w:val="32"/>
        </w:rPr>
      </w:pPr>
      <w:r>
        <w:rPr>
          <w:rFonts w:eastAsia="楷体_GB2312"/>
          <w:sz w:val="32"/>
          <w:szCs w:val="32"/>
        </w:rPr>
        <w:t>(一)推进“无废城市”建设。</w:t>
      </w:r>
    </w:p>
    <w:p>
      <w:pPr>
        <w:adjustRightInd w:val="0"/>
        <w:snapToGrid w:val="0"/>
        <w:spacing w:line="580" w:lineRule="exact"/>
        <w:ind w:firstLine="640" w:firstLineChars="200"/>
        <w:rPr>
          <w:szCs w:val="32"/>
        </w:rPr>
      </w:pPr>
      <w:r>
        <w:rPr>
          <w:rFonts w:eastAsia="仿宋_GB2312"/>
          <w:sz w:val="32"/>
          <w:szCs w:val="32"/>
        </w:rPr>
        <w:t>1.加强总体设计。针对各类固体废物产生、收集、转移、利用、处置等环节，明确相关部门职责边界，结合“无废城市”建设各项任务，制定责任清单。将固体废物分类收集纳入环境设施和公共设施范围，保障设施用地。构建集垃圾、固体废物、危险废物、医疗废物收集设施和监测监管能力于一体的环境基础设施体系。(责任单位：区政府有关部门、单位，各街道办事处，以下责任单位均包括各街道办事处，不再逐一列出)</w:t>
      </w:r>
    </w:p>
    <w:p>
      <w:pPr>
        <w:adjustRightInd w:val="0"/>
        <w:snapToGrid w:val="0"/>
        <w:spacing w:line="580" w:lineRule="exact"/>
        <w:ind w:firstLine="640" w:firstLineChars="200"/>
        <w:rPr>
          <w:szCs w:val="32"/>
        </w:rPr>
      </w:pPr>
      <w:r>
        <w:rPr>
          <w:rFonts w:eastAsia="仿宋_GB2312"/>
          <w:sz w:val="32"/>
          <w:szCs w:val="32"/>
        </w:rPr>
        <w:t>2.着力加强制度、技术、市场、监管四大体系建设。探索固体废物治理新模式，推动工业固体废物、农业废弃物、生活源固体废物和危险废物等各领域“无废”化。(责任单位：区政府有关部门、单位)</w:t>
      </w:r>
    </w:p>
    <w:p>
      <w:pPr>
        <w:adjustRightInd w:val="0"/>
        <w:snapToGrid w:val="0"/>
        <w:spacing w:line="580" w:lineRule="exact"/>
        <w:ind w:firstLine="640" w:firstLineChars="200"/>
        <w:rPr>
          <w:szCs w:val="32"/>
        </w:rPr>
      </w:pPr>
      <w:r>
        <w:rPr>
          <w:rFonts w:eastAsia="仿宋_GB2312"/>
          <w:sz w:val="32"/>
          <w:szCs w:val="32"/>
        </w:rPr>
        <w:t>3.打造黄河流域生态样板。落实《济南市黄河流域生态保护和高质量发展规划》任务要求。推进固体废物污染防治协同控制，通过“三化”助力减污降碳协同增效。完善分类指导的碳排放强度控制，深化低碳试点建设，开展低碳、近零碳排放示范工程建设。实施新一轮“四减四增”行动，深入推进产业、能源、运输和农业投入结构调整。(责任单位：区政府有关部门、单位)</w:t>
      </w:r>
    </w:p>
    <w:p>
      <w:pPr>
        <w:adjustRightInd w:val="0"/>
        <w:snapToGrid w:val="0"/>
        <w:spacing w:line="580" w:lineRule="exact"/>
        <w:ind w:firstLine="640" w:firstLineChars="200"/>
        <w:rPr>
          <w:rFonts w:eastAsia="楷体_GB2312"/>
          <w:szCs w:val="32"/>
        </w:rPr>
      </w:pPr>
      <w:r>
        <w:rPr>
          <w:rFonts w:eastAsia="楷体_GB2312"/>
          <w:sz w:val="32"/>
          <w:szCs w:val="32"/>
        </w:rPr>
        <w:t>(二)打造“无废细胞”工程。</w:t>
      </w:r>
    </w:p>
    <w:p>
      <w:pPr>
        <w:adjustRightInd w:val="0"/>
        <w:snapToGrid w:val="0"/>
        <w:spacing w:line="580" w:lineRule="exact"/>
        <w:ind w:firstLine="640" w:firstLineChars="200"/>
        <w:rPr>
          <w:szCs w:val="32"/>
        </w:rPr>
      </w:pPr>
      <w:r>
        <w:rPr>
          <w:rFonts w:eastAsia="仿宋_GB2312"/>
          <w:sz w:val="32"/>
          <w:szCs w:val="32"/>
        </w:rPr>
        <w:t>1.“无废”农村。</w:t>
      </w:r>
    </w:p>
    <w:p>
      <w:pPr>
        <w:adjustRightInd w:val="0"/>
        <w:snapToGrid w:val="0"/>
        <w:spacing w:line="580" w:lineRule="exact"/>
        <w:ind w:firstLine="640" w:firstLineChars="200"/>
        <w:rPr>
          <w:szCs w:val="32"/>
        </w:rPr>
      </w:pPr>
      <w:r>
        <w:rPr>
          <w:rFonts w:eastAsia="仿宋_GB2312"/>
          <w:sz w:val="32"/>
          <w:szCs w:val="32"/>
        </w:rPr>
        <w:t>以生活垃圾分类为重点，完善农村生活垃圾分类投放、收集、运输等管理运行体系，2025年年底前，建成小马村、大郑村等40个以生活垃圾分类为特色的村庄。(责任单位：区环境卫生管护服务中心)以农业固体废物资源化利用为重点，探索开展畜禽粪污、农业生产废弃物等就近就地资源化利用工作，2025年年底前，建设小郑村等以农业固体废物资源化利用为特色的村庄。(责任单位：区农业农村局)</w:t>
      </w:r>
    </w:p>
    <w:p>
      <w:pPr>
        <w:adjustRightInd w:val="0"/>
        <w:snapToGrid w:val="0"/>
        <w:spacing w:line="580" w:lineRule="exact"/>
        <w:ind w:firstLine="640" w:firstLineChars="200"/>
        <w:rPr>
          <w:szCs w:val="32"/>
        </w:rPr>
      </w:pPr>
      <w:r>
        <w:rPr>
          <w:rFonts w:eastAsia="仿宋_GB2312"/>
          <w:sz w:val="32"/>
          <w:szCs w:val="32"/>
        </w:rPr>
        <w:t>2.“无废”工业。</w:t>
      </w:r>
    </w:p>
    <w:p>
      <w:pPr>
        <w:adjustRightInd w:val="0"/>
        <w:snapToGrid w:val="0"/>
        <w:spacing w:line="580" w:lineRule="exact"/>
        <w:ind w:firstLine="640" w:firstLineChars="200"/>
        <w:rPr>
          <w:szCs w:val="32"/>
        </w:rPr>
      </w:pPr>
      <w:r>
        <w:rPr>
          <w:rFonts w:eastAsia="仿宋_GB2312"/>
          <w:sz w:val="32"/>
          <w:szCs w:val="32"/>
        </w:rPr>
        <w:t>“无废工厂”建设。坚持固体废物减量化、资源化、无害化的原则，引导济南裕兴化工有限责任公司在废酸综合利用等项目基础上，探索建设综合利用钛石膏生产免烧砖项目。通过采取工艺设备改造、拓宽工业固废综合利用途径、加强危险废物规范化管理等措施，实现固体废物能减则减、可用尽用、应分尽分的管理模式，力争建设“无废工厂”。(牵头单位：市生态环境局天桥分局；责任单位：区工业和信息化局)</w:t>
      </w:r>
    </w:p>
    <w:p>
      <w:pPr>
        <w:adjustRightInd w:val="0"/>
        <w:snapToGrid w:val="0"/>
        <w:spacing w:line="580" w:lineRule="exact"/>
        <w:ind w:firstLine="640" w:firstLineChars="200"/>
        <w:rPr>
          <w:szCs w:val="32"/>
        </w:rPr>
      </w:pPr>
      <w:r>
        <w:rPr>
          <w:rFonts w:eastAsia="仿宋_GB2312"/>
          <w:sz w:val="32"/>
          <w:szCs w:val="32"/>
        </w:rPr>
        <w:t>“无废园区”建设。引导济南新材料产业园区通过加大固体废物综合利用、规范企业固废管理和完善园区环境管理制度体系等措施，促进原料投入和废物排放减量化、资源化、无害化，实现各环节产生的固体废物“吃干榨净”、“资源耦合”</w:t>
      </w:r>
      <w:r>
        <w:rPr>
          <w:sz w:val="32"/>
          <w:szCs w:val="32"/>
        </w:rPr>
        <w:t>，</w:t>
      </w:r>
      <w:r>
        <w:rPr>
          <w:rFonts w:eastAsia="仿宋_GB2312"/>
          <w:sz w:val="32"/>
          <w:szCs w:val="32"/>
        </w:rPr>
        <w:t>力争创建“无废园区”。(牵头单位：市生态环境局天桥分局、济南新材料产业园区管理委员会；责任单位：区工业和信息化局、区发展和改革局)</w:t>
      </w:r>
    </w:p>
    <w:p>
      <w:pPr>
        <w:adjustRightInd w:val="0"/>
        <w:snapToGrid w:val="0"/>
        <w:spacing w:line="580" w:lineRule="exact"/>
        <w:ind w:firstLine="640" w:firstLineChars="200"/>
        <w:rPr>
          <w:szCs w:val="32"/>
        </w:rPr>
      </w:pPr>
      <w:r>
        <w:rPr>
          <w:rFonts w:eastAsia="仿宋_GB2312"/>
          <w:sz w:val="32"/>
          <w:szCs w:val="32"/>
        </w:rPr>
        <w:t>3.“无废”第三产业与生活。</w:t>
      </w:r>
    </w:p>
    <w:p>
      <w:pPr>
        <w:adjustRightInd w:val="0"/>
        <w:snapToGrid w:val="0"/>
        <w:spacing w:line="580" w:lineRule="exact"/>
        <w:ind w:firstLine="640" w:firstLineChars="200"/>
        <w:rPr>
          <w:szCs w:val="32"/>
        </w:rPr>
      </w:pPr>
      <w:r>
        <w:rPr>
          <w:rFonts w:eastAsia="仿宋_GB2312"/>
          <w:sz w:val="32"/>
          <w:szCs w:val="32"/>
        </w:rPr>
        <w:t>服务业“无废细胞”建设。结合“无废细胞”建设要求，进一步促进生活垃圾分类，健全厨余垃圾“集中+就地”处理体系，推广并优化分类收运“公交专线”、“音乐专线”等。2025年年底前，引导培育银座超市（北园店）、银座超市（金牛店）建设“无废商超”</w:t>
      </w:r>
      <w:r>
        <w:rPr>
          <w:sz w:val="32"/>
          <w:szCs w:val="32"/>
        </w:rPr>
        <w:t>；</w:t>
      </w:r>
      <w:bookmarkStart w:id="0" w:name="_GoBack"/>
      <w:r>
        <w:rPr>
          <w:rFonts w:eastAsia="仿宋_GB2312"/>
          <w:sz w:val="32"/>
          <w:szCs w:val="32"/>
        </w:rPr>
        <w:t>引导</w:t>
      </w:r>
      <w:r>
        <w:rPr>
          <w:rFonts w:eastAsia="仿宋_GB2312"/>
          <w:sz w:val="32"/>
          <w:szCs w:val="32"/>
        </w:rPr>
        <w:t>济</w:t>
      </w:r>
      <w:bookmarkEnd w:id="0"/>
      <w:r>
        <w:rPr>
          <w:rFonts w:eastAsia="仿宋_GB2312"/>
          <w:sz w:val="32"/>
          <w:szCs w:val="32"/>
        </w:rPr>
        <w:t>南天发舜和商务酒店建设“无废酒店”。(责任单位：区市场监督管理局、区文化和旅游局、区环境卫生管护服务中心等有关部门、单位)</w:t>
      </w:r>
    </w:p>
    <w:p>
      <w:pPr>
        <w:adjustRightInd w:val="0"/>
        <w:snapToGrid w:val="0"/>
        <w:spacing w:line="580" w:lineRule="exact"/>
        <w:ind w:firstLine="640" w:firstLineChars="200"/>
        <w:rPr>
          <w:szCs w:val="32"/>
        </w:rPr>
      </w:pPr>
      <w:r>
        <w:rPr>
          <w:rFonts w:eastAsia="仿宋_GB2312"/>
          <w:sz w:val="32"/>
          <w:szCs w:val="32"/>
        </w:rPr>
        <w:t>共享共建“无废”生活。持续开展生活垃圾分类宣教培训，巩固有害垃圾宣传收集周制度。以“无废学校”为重点，开展“无废城市”宣传教育，鼓励学生参与“无废”知识学习和实践活动，带动家庭、社区和社会广泛参与，传播“无废”新理念。2025年年底前，引导济南市天桥区官扎营小学等建设“无废学校”；引导培育一批建设“无废机关”和“无废社区”。(责任单位：区环境卫生管护服务中心、区教育和体育局、区机关事务服务中心、区住房和城乡建设局)</w:t>
      </w:r>
    </w:p>
    <w:p>
      <w:pPr>
        <w:adjustRightInd w:val="0"/>
        <w:snapToGrid w:val="0"/>
        <w:spacing w:line="580" w:lineRule="exact"/>
        <w:ind w:firstLine="640" w:firstLineChars="200"/>
        <w:rPr>
          <w:szCs w:val="32"/>
        </w:rPr>
      </w:pPr>
      <w:r>
        <w:rPr>
          <w:rFonts w:eastAsia="楷体_GB2312"/>
          <w:sz w:val="32"/>
          <w:szCs w:val="32"/>
        </w:rPr>
        <w:t>(三)推动工业绿色低碳生产。</w:t>
      </w:r>
    </w:p>
    <w:p>
      <w:pPr>
        <w:adjustRightInd w:val="0"/>
        <w:snapToGrid w:val="0"/>
        <w:spacing w:line="580" w:lineRule="exact"/>
        <w:ind w:firstLine="640" w:firstLineChars="200"/>
        <w:rPr>
          <w:szCs w:val="32"/>
        </w:rPr>
      </w:pPr>
      <w:r>
        <w:rPr>
          <w:rFonts w:eastAsia="仿宋_GB2312"/>
          <w:sz w:val="32"/>
          <w:szCs w:val="32"/>
        </w:rPr>
        <w:t>1.做好工业固废源头减量。</w:t>
      </w:r>
    </w:p>
    <w:p>
      <w:pPr>
        <w:adjustRightInd w:val="0"/>
        <w:snapToGrid w:val="0"/>
        <w:spacing w:line="580" w:lineRule="exact"/>
        <w:ind w:firstLine="640" w:firstLineChars="200"/>
        <w:rPr>
          <w:szCs w:val="32"/>
        </w:rPr>
      </w:pPr>
      <w:r>
        <w:rPr>
          <w:rFonts w:eastAsia="仿宋_GB2312"/>
          <w:sz w:val="32"/>
          <w:szCs w:val="32"/>
        </w:rPr>
        <w:t>推进结构优化调整。坚决遏制“两高”项目盲目发展，以化工等行业为重点，推动传统产业转型升级。严格执行环保、质量、技术、能耗、安全等标准，依法依规推动落后产能加速退出。严格落实煤炭消费压减方案，从严控制新上高耗煤项目，积极推进清洁能源供给。(责任单位：区发展和改革局、区工业和信息化局、区自然资源局、市生态环境局天桥分局、区市场监督管理局、区应急管理局)</w:t>
      </w:r>
    </w:p>
    <w:p>
      <w:pPr>
        <w:adjustRightInd w:val="0"/>
        <w:snapToGrid w:val="0"/>
        <w:spacing w:line="580" w:lineRule="exact"/>
        <w:ind w:firstLine="640" w:firstLineChars="200"/>
        <w:rPr>
          <w:szCs w:val="32"/>
        </w:rPr>
      </w:pPr>
      <w:r>
        <w:rPr>
          <w:rFonts w:eastAsia="仿宋_GB2312"/>
          <w:sz w:val="32"/>
          <w:szCs w:val="32"/>
        </w:rPr>
        <w:t>全面推行清洁生产。实施企业清洁生产领跑行动，实现重点行业企业强制性清洁生产审核评估验收全覆盖。积极引导固废产生量大、环境风险高的其他企业开展清洁生产审核工作。(责任单位：市生态环境局天桥分局)</w:t>
      </w:r>
    </w:p>
    <w:p>
      <w:pPr>
        <w:adjustRightInd w:val="0"/>
        <w:snapToGrid w:val="0"/>
        <w:spacing w:line="580" w:lineRule="exact"/>
        <w:ind w:firstLine="640" w:firstLineChars="200"/>
        <w:rPr>
          <w:szCs w:val="32"/>
        </w:rPr>
      </w:pPr>
      <w:r>
        <w:rPr>
          <w:rFonts w:eastAsia="仿宋_GB2312"/>
          <w:sz w:val="32"/>
          <w:szCs w:val="32"/>
        </w:rPr>
        <w:t>推动重点行业源头减量。以化工等行业为重点，推动技术升级，降低固体废物产生强度，实现钛石膏、废酸等固体废物源头减量。(责任单位：市生态环境局天桥分局、区工业和信息化局、区自然资源局、区发展和改革局、区住房和城乡建设局)</w:t>
      </w:r>
    </w:p>
    <w:p>
      <w:pPr>
        <w:adjustRightInd w:val="0"/>
        <w:snapToGrid w:val="0"/>
        <w:spacing w:line="580" w:lineRule="exact"/>
        <w:ind w:firstLine="640" w:firstLineChars="200"/>
        <w:rPr>
          <w:szCs w:val="32"/>
        </w:rPr>
      </w:pPr>
      <w:r>
        <w:rPr>
          <w:rFonts w:eastAsia="仿宋_GB2312"/>
          <w:sz w:val="32"/>
          <w:szCs w:val="32"/>
        </w:rPr>
        <w:t>实施重点企业源头减量。“十四五”期间，组织济南裕兴化工有限责任公司等制定工业固体废物减量计划，采取提升精料水平、提升污染治理技术等措施降低固体废物产生强度。(责任单位：市生态环境局天桥分局、区工业和信息化局);</w:t>
      </w:r>
    </w:p>
    <w:p>
      <w:pPr>
        <w:adjustRightInd w:val="0"/>
        <w:snapToGrid w:val="0"/>
        <w:spacing w:line="580" w:lineRule="exact"/>
        <w:ind w:firstLine="640" w:firstLineChars="200"/>
        <w:rPr>
          <w:szCs w:val="32"/>
        </w:rPr>
      </w:pPr>
      <w:r>
        <w:rPr>
          <w:rFonts w:eastAsia="仿宋_GB2312"/>
          <w:sz w:val="32"/>
          <w:szCs w:val="32"/>
        </w:rPr>
        <w:t>构建绿色制造体系。深入实施绿色制造，构建从基础原材料到终端消费品全链条的绿色产品供给体系。持续推动绿色设计产品、绿色工厂和绿色工业园区(产业集群、产业集聚区)评审认定，并对通过绿色认证的工厂和园区持续跟踪监管。在大型绿色工厂实施绿色供应链管理，带动上下游企业实现绿色发展。到2025年，工业绿色发展能级显著提升，新增省级及以上绿色工厂1家。(责任单位：区工业和信息化局)</w:t>
      </w:r>
    </w:p>
    <w:p>
      <w:pPr>
        <w:adjustRightInd w:val="0"/>
        <w:snapToGrid w:val="0"/>
        <w:spacing w:line="580" w:lineRule="exact"/>
        <w:ind w:firstLine="640" w:firstLineChars="200"/>
        <w:rPr>
          <w:szCs w:val="32"/>
        </w:rPr>
      </w:pPr>
      <w:r>
        <w:rPr>
          <w:rFonts w:eastAsia="仿宋_GB2312"/>
          <w:sz w:val="32"/>
          <w:szCs w:val="32"/>
        </w:rPr>
        <w:t>2.提升工业固废利用水平。</w:t>
      </w:r>
    </w:p>
    <w:p>
      <w:pPr>
        <w:adjustRightInd w:val="0"/>
        <w:snapToGrid w:val="0"/>
        <w:spacing w:line="580" w:lineRule="exact"/>
        <w:ind w:firstLine="640" w:firstLineChars="200"/>
        <w:rPr>
          <w:szCs w:val="32"/>
        </w:rPr>
      </w:pPr>
      <w:r>
        <w:rPr>
          <w:rFonts w:eastAsia="仿宋_GB2312"/>
          <w:sz w:val="32"/>
          <w:szCs w:val="32"/>
        </w:rPr>
        <w:t>建立循环经济体系。鼓励企业以物质循环利用和能源梯级利用为重点，构建企业内部循环型产业链。推动企业开展循环化改造，形成企业内部物料、废水、废气循环和余热利用等循环体系。鼓励企业建链补链，加快建立从原料生产到终端消费的循环化全产业链，着力延伸再生资源精深加工产业链条。推动工业循环发展，重点围绕化工、建材、电力等行业，构建一批循环经济工业产业，实施高端再制造工程，促进固废资源跨产业协同利用。完善废旧物资循环利用体系，提升再生资源加工利用水平，健全废钢铁、废塑料、废旧轮胎等废旧物资回收网络，推动再生资源清洁化利用，加快建立再生原材料推广使用制度，拓展再生原材料市场应用渠道。(责任单位：区发展和改革局、区工业和信息化局、区商务局、市生态环境局天桥分局)</w:t>
      </w:r>
    </w:p>
    <w:p>
      <w:pPr>
        <w:adjustRightInd w:val="0"/>
        <w:snapToGrid w:val="0"/>
        <w:spacing w:line="580" w:lineRule="exact"/>
        <w:ind w:firstLine="640" w:firstLineChars="200"/>
        <w:rPr>
          <w:szCs w:val="32"/>
        </w:rPr>
      </w:pPr>
      <w:r>
        <w:rPr>
          <w:rFonts w:eastAsia="仿宋_GB2312"/>
          <w:sz w:val="32"/>
          <w:szCs w:val="32"/>
        </w:rPr>
        <w:t>积极申报大宗固废综合利用示范基地(企业)。组织申报大宗固废综合利用示范基地和骨干企业，发挥示范引领作用。(责任单位：区发展和改革局)</w:t>
      </w:r>
    </w:p>
    <w:p>
      <w:pPr>
        <w:adjustRightInd w:val="0"/>
        <w:snapToGrid w:val="0"/>
        <w:spacing w:line="580" w:lineRule="exact"/>
        <w:ind w:firstLine="640" w:firstLineChars="200"/>
        <w:rPr>
          <w:szCs w:val="32"/>
        </w:rPr>
      </w:pPr>
      <w:r>
        <w:rPr>
          <w:rFonts w:eastAsia="仿宋_GB2312"/>
          <w:sz w:val="32"/>
          <w:szCs w:val="32"/>
        </w:rPr>
        <w:t>推动工业固废综合利用。聚焦钛石膏、废酸等工业固废，培育工业固废资源化利用产业链，推动工业固废规模化利用。(责任单位：区工业和信息化局)</w:t>
      </w:r>
    </w:p>
    <w:p>
      <w:pPr>
        <w:adjustRightInd w:val="0"/>
        <w:snapToGrid w:val="0"/>
        <w:spacing w:line="580" w:lineRule="exact"/>
        <w:ind w:firstLine="640" w:firstLineChars="200"/>
        <w:rPr>
          <w:szCs w:val="32"/>
        </w:rPr>
      </w:pPr>
      <w:r>
        <w:rPr>
          <w:rFonts w:eastAsia="仿宋_GB2312"/>
          <w:sz w:val="32"/>
          <w:szCs w:val="32"/>
        </w:rPr>
        <w:t>3.提高工业固废精细化管理水平。完善工业固废监管体系，鼓励资源综合利用技术研发，组织开展一般工业固体废物综合利用评价，实施再生资源综合利用行业规范管理，提高一般工业固体废物资源利用。逐步扩大一般工业固体废物利用规模，提升综合利用能力，降低贮存处置量。按照省市部署要求全面摸清一般工业固体废物堆存场所底数，逐步解决历史遗留问题。建立常态化监管制度，督促重点企业定期向所在地生态环境、提供一般工业固体废物的种类、数量、流向、贮存、利用、处置等资料，以及减少工业固体废物产生、促进综合利用的具体措施。(责任单位：市生态环境局天桥分局、区工业和信息化局)</w:t>
      </w:r>
    </w:p>
    <w:p>
      <w:pPr>
        <w:adjustRightInd w:val="0"/>
        <w:snapToGrid w:val="0"/>
        <w:spacing w:line="580" w:lineRule="exact"/>
        <w:ind w:firstLine="640" w:firstLineChars="200"/>
        <w:rPr>
          <w:szCs w:val="32"/>
        </w:rPr>
      </w:pPr>
      <w:r>
        <w:rPr>
          <w:rFonts w:eastAsia="楷体_GB2312"/>
          <w:sz w:val="32"/>
          <w:szCs w:val="32"/>
        </w:rPr>
        <w:t>(四)推行农业绿色生产。</w:t>
      </w:r>
    </w:p>
    <w:p>
      <w:pPr>
        <w:adjustRightInd w:val="0"/>
        <w:snapToGrid w:val="0"/>
        <w:spacing w:line="580" w:lineRule="exact"/>
        <w:ind w:firstLine="640" w:firstLineChars="200"/>
        <w:rPr>
          <w:szCs w:val="32"/>
        </w:rPr>
      </w:pPr>
      <w:r>
        <w:rPr>
          <w:rFonts w:eastAsia="仿宋_GB2312"/>
          <w:sz w:val="32"/>
          <w:szCs w:val="32"/>
        </w:rPr>
        <w:t>1.促进农业绿色高质高效发展。</w:t>
      </w:r>
    </w:p>
    <w:p>
      <w:pPr>
        <w:adjustRightInd w:val="0"/>
        <w:snapToGrid w:val="0"/>
        <w:spacing w:line="580" w:lineRule="exact"/>
        <w:ind w:firstLine="640" w:firstLineChars="200"/>
        <w:rPr>
          <w:szCs w:val="32"/>
        </w:rPr>
      </w:pPr>
      <w:r>
        <w:rPr>
          <w:rFonts w:eastAsia="仿宋_GB2312"/>
          <w:sz w:val="32"/>
          <w:szCs w:val="32"/>
        </w:rPr>
        <w:t>构建绿色农业生产体系。开展“三品一标”认证，发展生态循环农业。鼓励发展预制菜产业，提高产地净菜加工水平。(责任单位：区农业农村局)</w:t>
      </w:r>
    </w:p>
    <w:p>
      <w:pPr>
        <w:adjustRightInd w:val="0"/>
        <w:snapToGrid w:val="0"/>
        <w:spacing w:line="580" w:lineRule="exact"/>
        <w:ind w:firstLine="640" w:firstLineChars="200"/>
        <w:rPr>
          <w:szCs w:val="32"/>
        </w:rPr>
      </w:pPr>
      <w:r>
        <w:rPr>
          <w:rFonts w:eastAsia="仿宋_GB2312"/>
          <w:sz w:val="32"/>
          <w:szCs w:val="32"/>
        </w:rPr>
        <w:t>减少农药化肥使用量。强化水肥一体化和测土配方施肥技术应用，持续推进化肥减量增效。在桑梓店街道，以“减肥、减药、洁田、修复、循环”为方针，实施农药化肥减量增效工程。深入推进农药减量控害，鼓励使用高效植保机械和专业化统防统治手段。强化农药规范化生产与管理，推广高效低毒化学农药和悬浮剂、水乳剂等环保剂型，推广以生物防治为重点的非化学品绿色防治技术。到2025年，全区水肥一体化技术推广面积达到0.4万亩，单位耕地面积化肥施用量较2020年下降6%左右，农药施用总量较2020年下降10%左右。(责任单位：区农业农村局)</w:t>
      </w:r>
    </w:p>
    <w:p>
      <w:pPr>
        <w:adjustRightInd w:val="0"/>
        <w:snapToGrid w:val="0"/>
        <w:spacing w:line="580" w:lineRule="exact"/>
        <w:ind w:firstLine="640" w:firstLineChars="200"/>
        <w:rPr>
          <w:szCs w:val="32"/>
        </w:rPr>
      </w:pPr>
      <w:r>
        <w:rPr>
          <w:rFonts w:eastAsia="仿宋_GB2312"/>
          <w:sz w:val="32"/>
          <w:szCs w:val="32"/>
        </w:rPr>
        <w:t>2.提高秸秆和粪污综合利用水平。</w:t>
      </w:r>
    </w:p>
    <w:p>
      <w:pPr>
        <w:adjustRightInd w:val="0"/>
        <w:snapToGrid w:val="0"/>
        <w:spacing w:line="580" w:lineRule="exact"/>
        <w:ind w:firstLine="640" w:firstLineChars="200"/>
        <w:rPr>
          <w:szCs w:val="32"/>
        </w:rPr>
      </w:pPr>
      <w:r>
        <w:rPr>
          <w:rFonts w:eastAsia="仿宋_GB2312"/>
          <w:sz w:val="32"/>
          <w:szCs w:val="32"/>
        </w:rPr>
        <w:t>推进农作物秸秆综合利用。加大秸秆精细化还田力度，到2025年，秸秆综合利用率稳定达到98%以上。(责任单位：区农业农村局)</w:t>
      </w:r>
    </w:p>
    <w:p>
      <w:pPr>
        <w:adjustRightInd w:val="0"/>
        <w:snapToGrid w:val="0"/>
        <w:spacing w:line="580" w:lineRule="exact"/>
        <w:ind w:firstLine="640" w:firstLineChars="200"/>
        <w:rPr>
          <w:szCs w:val="32"/>
        </w:rPr>
      </w:pPr>
      <w:r>
        <w:rPr>
          <w:rFonts w:eastAsia="仿宋_GB2312"/>
          <w:sz w:val="32"/>
          <w:szCs w:val="32"/>
        </w:rPr>
        <w:t>深化畜禽粪污综合利用。落实各级财政扶持政策，支持引导畜禽规模养殖场户节水、清粪、环境控制、臭气处理、发酵、运输、管网等粪污处理设施配建和提升改造，确保规模养殖场粪污处理设施装备配套率达到100%。到2025年，畜禽粪污综合利用率稳定在90%以上。(牵头单位：区农业农村局；责任单位：区财政局、市生态环境局天桥分局)</w:t>
      </w:r>
    </w:p>
    <w:p>
      <w:pPr>
        <w:adjustRightInd w:val="0"/>
        <w:snapToGrid w:val="0"/>
        <w:spacing w:line="580" w:lineRule="exact"/>
        <w:ind w:firstLine="640" w:firstLineChars="200"/>
        <w:rPr>
          <w:szCs w:val="32"/>
        </w:rPr>
      </w:pPr>
      <w:r>
        <w:rPr>
          <w:rFonts w:eastAsia="仿宋_GB2312"/>
          <w:sz w:val="32"/>
          <w:szCs w:val="32"/>
        </w:rPr>
        <w:t>3.加强农膜和农药包装废弃物回收体系建设。</w:t>
      </w:r>
    </w:p>
    <w:p>
      <w:pPr>
        <w:adjustRightInd w:val="0"/>
        <w:snapToGrid w:val="0"/>
        <w:spacing w:line="580" w:lineRule="exact"/>
        <w:ind w:firstLine="640" w:firstLineChars="200"/>
        <w:rPr>
          <w:szCs w:val="32"/>
        </w:rPr>
      </w:pPr>
      <w:r>
        <w:rPr>
          <w:rFonts w:eastAsia="仿宋_GB2312"/>
          <w:sz w:val="32"/>
          <w:szCs w:val="32"/>
        </w:rPr>
        <w:t>强化农膜产品质量监督管理。禁止生产、销售厚度小于0.01毫米的聚乙烯农用薄膜，积极引导农民使用合格农膜产品。(责任单位：区农业农村局、区市场监督管理局、区工业和信息化局)建立农膜回收利用长效机制。开展农膜应用与回收情况调查评估工作。继续做好废旧农膜回收工作，到2025年，农膜回收率达到95%左右。(责任单位：区农业农村局)</w:t>
      </w:r>
    </w:p>
    <w:p>
      <w:pPr>
        <w:adjustRightInd w:val="0"/>
        <w:snapToGrid w:val="0"/>
        <w:spacing w:line="580" w:lineRule="exact"/>
        <w:ind w:firstLine="640" w:firstLineChars="200"/>
        <w:rPr>
          <w:szCs w:val="32"/>
        </w:rPr>
      </w:pPr>
      <w:r>
        <w:rPr>
          <w:rFonts w:eastAsia="仿宋_GB2312"/>
          <w:sz w:val="32"/>
          <w:szCs w:val="32"/>
        </w:rPr>
        <w:t>健全农药包装废弃物回收处理体系。按照政府引导、市场运作、属地管理的原则，逐步建立“谁使用谁交回、谁销售谁收集、专业机构处置、市场主体承担、公共财政补充”的农药包装废弃物回收处理体系。严格落实危险废物豁免管理有关规定。加大执法监管力度，对未及时回收农药包装废弃物的生产者、销售者和使用者依法处理。到2025年，基本建成农药包装废弃物有效回收处理的长效机制。(牵头单位：区农业农村局；责任单位：市生态环境局天桥分局)</w:t>
      </w:r>
    </w:p>
    <w:p>
      <w:pPr>
        <w:adjustRightInd w:val="0"/>
        <w:snapToGrid w:val="0"/>
        <w:spacing w:line="580" w:lineRule="exact"/>
        <w:ind w:firstLine="640" w:firstLineChars="200"/>
        <w:rPr>
          <w:rFonts w:eastAsia="楷体_GB2312"/>
          <w:szCs w:val="32"/>
        </w:rPr>
      </w:pPr>
      <w:r>
        <w:rPr>
          <w:rFonts w:eastAsia="楷体_GB2312"/>
          <w:sz w:val="32"/>
          <w:szCs w:val="32"/>
        </w:rPr>
        <w:t>(五)践行绿色生活方式。</w:t>
      </w:r>
    </w:p>
    <w:p>
      <w:pPr>
        <w:adjustRightInd w:val="0"/>
        <w:snapToGrid w:val="0"/>
        <w:spacing w:line="580" w:lineRule="exact"/>
        <w:ind w:firstLine="640" w:firstLineChars="200"/>
        <w:rPr>
          <w:szCs w:val="32"/>
        </w:rPr>
      </w:pPr>
      <w:r>
        <w:rPr>
          <w:rFonts w:eastAsia="仿宋_GB2312"/>
          <w:sz w:val="32"/>
          <w:szCs w:val="32"/>
        </w:rPr>
        <w:t>1.推进生活垃圾源头减量与分类。</w:t>
      </w:r>
    </w:p>
    <w:p>
      <w:pPr>
        <w:adjustRightInd w:val="0"/>
        <w:snapToGrid w:val="0"/>
        <w:spacing w:line="580" w:lineRule="exact"/>
        <w:ind w:firstLine="640" w:firstLineChars="200"/>
        <w:rPr>
          <w:szCs w:val="32"/>
        </w:rPr>
      </w:pPr>
      <w:r>
        <w:rPr>
          <w:rFonts w:eastAsia="仿宋_GB2312"/>
          <w:sz w:val="32"/>
          <w:szCs w:val="32"/>
        </w:rPr>
        <w:t>倡导绿色生活方式。切实开展“光盘行动”,倡导厉行节约、防止食品浪费(责任单位：区市场监督管理局、区商务局)。倡导宾馆、餐饮等服务行业，推广使用可循环利用物品，不主动提供一次性易耗品。(责任单位：区商务局、区市场监督管理局、区文化和旅游局)推动党政机关等公共机构带头实施绿色办公，结合单位办公需要，推广无纸化办公，对纳入政府采购相关规定优先采购或强制采购节能、环境标志产品，限制采购使用一次性消费品。(责任单位：区机关事务服务中心、区财政局)</w:t>
      </w:r>
    </w:p>
    <w:p>
      <w:pPr>
        <w:adjustRightInd w:val="0"/>
        <w:snapToGrid w:val="0"/>
        <w:spacing w:line="580" w:lineRule="exact"/>
        <w:ind w:firstLine="640" w:firstLineChars="200"/>
        <w:rPr>
          <w:szCs w:val="32"/>
        </w:rPr>
      </w:pPr>
      <w:r>
        <w:rPr>
          <w:rFonts w:eastAsia="仿宋_GB2312"/>
          <w:sz w:val="32"/>
          <w:szCs w:val="32"/>
        </w:rPr>
        <w:t>实施生活垃圾源头减量。禁止生产、销售厚度小于0.025毫米的超薄塑料购物袋，并实施生产、销售环节产品质量监督抽查。(责任单位：区发展和改革局、区工业和信息化局、区市场监督管理局、市生态环境局天桥分局)推进净菜在标准化菜市场、大型超市等场所上市。(牵头单位：区商务局；责任单位：区市场监督管理局)</w:t>
      </w:r>
    </w:p>
    <w:p>
      <w:pPr>
        <w:adjustRightInd w:val="0"/>
        <w:snapToGrid w:val="0"/>
        <w:spacing w:line="580" w:lineRule="exact"/>
        <w:ind w:firstLine="640" w:firstLineChars="200"/>
        <w:rPr>
          <w:szCs w:val="32"/>
        </w:rPr>
      </w:pPr>
      <w:r>
        <w:rPr>
          <w:rFonts w:eastAsia="仿宋_GB2312"/>
          <w:sz w:val="32"/>
          <w:szCs w:val="32"/>
        </w:rPr>
        <w:t>健全生活垃圾分类设施体系。按照因地制宜、合理布局、便民高效的原则，推进居民小区分类投放点的升级改造。以招募志愿者、购买服务等方式，探索督导常态化机制，落实“撤桶并点、定时投放”和“三定一督(定时、定点、定人督导)”制度。(牵头单位：区环境卫生管护服务中心；责任单位：区住房和城乡建设局)</w:t>
      </w:r>
    </w:p>
    <w:p>
      <w:pPr>
        <w:adjustRightInd w:val="0"/>
        <w:snapToGrid w:val="0"/>
        <w:spacing w:line="580" w:lineRule="exact"/>
        <w:ind w:firstLine="640" w:firstLineChars="200"/>
        <w:rPr>
          <w:szCs w:val="32"/>
        </w:rPr>
      </w:pPr>
      <w:r>
        <w:rPr>
          <w:rFonts w:eastAsia="仿宋_GB2312"/>
          <w:sz w:val="32"/>
          <w:szCs w:val="32"/>
        </w:rPr>
        <w:t>推进生活垃圾分类。继续推进“户分、村收、街道(镇)运、市(区县)处理”及“定时巡回上门收集”的农村生活垃圾分类管理模式(责任单位：区环境卫生管护服务中心)。引导A级旅游景区、公园等公共场所，以及商场、餐饮等经营区域的管理者、经营者落实生活垃圾分类投放管理责任人制度。推动各类场所具备生活垃圾分类投放能力，做到“专桶专投”全覆盖。(牵头单位：区环境卫生管护服务中心；责任单位：区商务局、区住房和城乡建设局、区文化和旅游局、区园林绿化服务中心)</w:t>
      </w:r>
    </w:p>
    <w:p>
      <w:pPr>
        <w:adjustRightInd w:val="0"/>
        <w:snapToGrid w:val="0"/>
        <w:spacing w:line="580" w:lineRule="exact"/>
        <w:ind w:firstLine="640" w:firstLineChars="200"/>
        <w:rPr>
          <w:szCs w:val="32"/>
        </w:rPr>
      </w:pPr>
      <w:r>
        <w:rPr>
          <w:rFonts w:eastAsia="仿宋_GB2312"/>
          <w:sz w:val="32"/>
          <w:szCs w:val="32"/>
        </w:rPr>
        <w:t>提高厨余垃圾分出率。采取“撤桶并点、定时投放”等措施提高厨余垃圾分出率。配合市相关部门、单位做好提高餐饮单位餐厨废弃物收运工作。加强厨余垃圾收运日常监管，提升收集精准率。(牵头单位：区环境卫生管护服务中心；责任单位：区市场监督管理局、区住房和城乡建设局、区文化和旅游局)</w:t>
      </w:r>
    </w:p>
    <w:p>
      <w:pPr>
        <w:adjustRightInd w:val="0"/>
        <w:snapToGrid w:val="0"/>
        <w:spacing w:line="580" w:lineRule="exact"/>
        <w:ind w:firstLine="640" w:firstLineChars="200"/>
        <w:rPr>
          <w:szCs w:val="32"/>
        </w:rPr>
      </w:pPr>
      <w:r>
        <w:rPr>
          <w:rFonts w:eastAsia="仿宋_GB2312"/>
          <w:sz w:val="32"/>
          <w:szCs w:val="32"/>
        </w:rPr>
        <w:t>2.加强利用处置设施建设。</w:t>
      </w:r>
    </w:p>
    <w:p>
      <w:pPr>
        <w:adjustRightInd w:val="0"/>
        <w:snapToGrid w:val="0"/>
        <w:spacing w:line="580" w:lineRule="exact"/>
        <w:ind w:firstLine="640" w:firstLineChars="200"/>
        <w:rPr>
          <w:szCs w:val="32"/>
        </w:rPr>
      </w:pPr>
      <w:r>
        <w:rPr>
          <w:rFonts w:eastAsia="仿宋_GB2312"/>
          <w:sz w:val="32"/>
          <w:szCs w:val="32"/>
        </w:rPr>
        <w:t>提升垃圾转运站建设管理。开展生活垃圾转运站改造提升行动，推进大中型垃圾转运站建设，加快小型转运站功能转型提升。到2025年，新建一座生活垃圾转运中心。(责任单位：济南天桥控股集团有限公司)</w:t>
      </w:r>
    </w:p>
    <w:p>
      <w:pPr>
        <w:adjustRightInd w:val="0"/>
        <w:snapToGrid w:val="0"/>
        <w:spacing w:line="580" w:lineRule="exact"/>
        <w:ind w:firstLine="640" w:firstLineChars="200"/>
        <w:rPr>
          <w:rFonts w:eastAsia="楷体_GB2312"/>
          <w:szCs w:val="32"/>
        </w:rPr>
      </w:pPr>
      <w:r>
        <w:rPr>
          <w:rFonts w:eastAsia="楷体_GB2312"/>
          <w:sz w:val="32"/>
          <w:szCs w:val="32"/>
        </w:rPr>
        <w:t>(六)发展绿色低碳建筑。</w:t>
      </w:r>
    </w:p>
    <w:p>
      <w:pPr>
        <w:adjustRightInd w:val="0"/>
        <w:snapToGrid w:val="0"/>
        <w:spacing w:line="580" w:lineRule="exact"/>
        <w:ind w:firstLine="640" w:firstLineChars="200"/>
        <w:rPr>
          <w:szCs w:val="32"/>
        </w:rPr>
      </w:pPr>
      <w:r>
        <w:rPr>
          <w:rFonts w:eastAsia="仿宋_GB2312"/>
          <w:sz w:val="32"/>
          <w:szCs w:val="32"/>
        </w:rPr>
        <w:t>1.加强绿色建筑和装配式建筑推广应用。</w:t>
      </w:r>
    </w:p>
    <w:p>
      <w:pPr>
        <w:adjustRightInd w:val="0"/>
        <w:snapToGrid w:val="0"/>
        <w:spacing w:line="580" w:lineRule="exact"/>
        <w:ind w:firstLine="640" w:firstLineChars="200"/>
        <w:rPr>
          <w:szCs w:val="32"/>
        </w:rPr>
      </w:pPr>
      <w:r>
        <w:rPr>
          <w:rFonts w:eastAsia="仿宋_GB2312"/>
          <w:sz w:val="32"/>
          <w:szCs w:val="32"/>
        </w:rPr>
        <w:t>推广绿色建筑。配合推动绿色建筑规模化、高质量发展，建设以“碳中和”为核心的绿色城市。推进国家级、省级绿色生态城区和绿色生态城镇示范创建工作。加快推动被动式超低能耗、(近)零能耗、零碳建筑和产能建筑等节能低碳类高标准建筑建设，引导有条件的区域集中连片式建设节能低碳类高标准建筑。政府投资或以政府投资为主的公共建筑及其他大型公共建筑，按照二星级以上绿色建筑标准建设；其他投资类公共建筑，按照一星级以上绿色建筑标准建设；新建超高层建筑绿色建筑水平不得低于三星级标准；建筑面积大于20万平方米的商品住宅小区按照二星级以上绿色建筑标准进行建设。到2025年，城镇新建民用建筑绿色建筑占比稳定在100%。(牵头单位：区住房和城乡建设局；责任单位：区发展和改革局、区行政审批服务局)</w:t>
      </w:r>
    </w:p>
    <w:p>
      <w:pPr>
        <w:adjustRightInd w:val="0"/>
        <w:snapToGrid w:val="0"/>
        <w:spacing w:line="580" w:lineRule="exact"/>
        <w:ind w:firstLine="640" w:firstLineChars="200"/>
        <w:rPr>
          <w:szCs w:val="32"/>
        </w:rPr>
      </w:pPr>
      <w:r>
        <w:rPr>
          <w:rFonts w:eastAsia="仿宋_GB2312"/>
          <w:sz w:val="32"/>
          <w:szCs w:val="32"/>
        </w:rPr>
        <w:t>配合推动装配式建筑发展。政府投资或国有资金投资建筑工程应按规定采用装配式建筑，其他项目装配式建筑占比不低于50%。大力推动钢结构建筑，新建学校、医院等公共建筑原则上采用钢结构；政府投资或国有资金投资的公共租赁住房、公寓(宿舍)、校舍等工程全面采用钢结构装配式建造方式；保障性住房、棚户区改造安置房优先采用钢结构装配式技术建造，积极推进钢结构住宅和农房建设。鼓励有条件的区域推进模块化建筑试点。(牵头单位：区住房和城乡建设局；责任单位：区发展和改革局、区行政审批服务局、区教育和体育局、区卫生健康局、区农业农村局)</w:t>
      </w:r>
    </w:p>
    <w:p>
      <w:pPr>
        <w:adjustRightInd w:val="0"/>
        <w:snapToGrid w:val="0"/>
        <w:spacing w:line="580" w:lineRule="exact"/>
        <w:ind w:firstLine="640" w:firstLineChars="200"/>
        <w:rPr>
          <w:szCs w:val="32"/>
        </w:rPr>
      </w:pPr>
      <w:r>
        <w:rPr>
          <w:rFonts w:eastAsia="仿宋_GB2312"/>
          <w:sz w:val="32"/>
          <w:szCs w:val="32"/>
        </w:rPr>
        <w:t>2.提高建筑垃圾综合利用水平。</w:t>
      </w:r>
    </w:p>
    <w:p>
      <w:pPr>
        <w:adjustRightInd w:val="0"/>
        <w:snapToGrid w:val="0"/>
        <w:spacing w:line="580" w:lineRule="exact"/>
        <w:ind w:firstLine="640" w:firstLineChars="200"/>
        <w:rPr>
          <w:szCs w:val="32"/>
        </w:rPr>
      </w:pPr>
      <w:r>
        <w:rPr>
          <w:rFonts w:eastAsia="仿宋_GB2312"/>
          <w:sz w:val="32"/>
          <w:szCs w:val="32"/>
        </w:rPr>
        <w:t>做好建筑垃圾源头减量。鼓励推广和应用建筑信息模型(BIM)、全装修房、绿色建筑、低能耗建筑、装配式建筑等新标准、新技术、新材料、新工艺，促进建筑垃圾源头减量。引导建设单位贯彻标准化、模块化的设计理念，提高建筑物耐久性，实现建筑构配件可替换、可维修；采取绿色施工有关技术规范开展施工活动，减少建筑材料消耗和建筑垃圾产生。(责任单位：区住房和城乡建设局)</w:t>
      </w:r>
    </w:p>
    <w:p>
      <w:pPr>
        <w:adjustRightInd w:val="0"/>
        <w:snapToGrid w:val="0"/>
        <w:spacing w:line="580" w:lineRule="exact"/>
        <w:ind w:firstLine="640" w:firstLineChars="200"/>
        <w:rPr>
          <w:szCs w:val="32"/>
        </w:rPr>
      </w:pPr>
      <w:r>
        <w:rPr>
          <w:rFonts w:eastAsia="仿宋_GB2312"/>
          <w:sz w:val="32"/>
          <w:szCs w:val="32"/>
        </w:rPr>
        <w:t>推动建筑垃圾分类管理。落实工地建筑垃圾分类的标准与规范，各工地主管部门督导工地严格落实建筑垃圾分类制度，施工单位应按建筑垃圾分类标准，实行分类收集、存放、运输和处理。(牵头单位：区城市管理局；责任单位：区住房和城乡建设局、区水务局、区园林绿化服务中心等有关部门)</w:t>
      </w:r>
    </w:p>
    <w:p>
      <w:pPr>
        <w:adjustRightInd w:val="0"/>
        <w:snapToGrid w:val="0"/>
        <w:spacing w:line="580" w:lineRule="exact"/>
        <w:ind w:firstLine="640" w:firstLineChars="200"/>
        <w:rPr>
          <w:szCs w:val="32"/>
        </w:rPr>
      </w:pPr>
      <w:r>
        <w:rPr>
          <w:rFonts w:eastAsia="仿宋_GB2312"/>
          <w:sz w:val="32"/>
          <w:szCs w:val="32"/>
        </w:rPr>
        <w:t>推进建筑垃圾资源化综合利用。优先采取建筑拆除现场就地处理，积极构建直接利用点、消纳场填埋消纳处理和资源化处理厂综合利用处理相结合方式，倡导建筑垃圾就地就近处理和综合利用。鼓励企业以资源化利用为主线，进行拆迁、运输、处置和产品应用等产业链相关环节的整合，提高产业集中度。(责任单位：区城市管理局)</w:t>
      </w:r>
    </w:p>
    <w:p>
      <w:pPr>
        <w:adjustRightInd w:val="0"/>
        <w:snapToGrid w:val="0"/>
        <w:spacing w:line="580" w:lineRule="exact"/>
        <w:ind w:firstLine="640" w:firstLineChars="200"/>
        <w:rPr>
          <w:szCs w:val="32"/>
        </w:rPr>
      </w:pPr>
      <w:r>
        <w:rPr>
          <w:rFonts w:eastAsia="仿宋_GB2312"/>
          <w:sz w:val="32"/>
          <w:szCs w:val="32"/>
        </w:rPr>
        <w:t>推广使用建筑垃圾再生品。城镇建设用地范围内新建建筑、市政工程、景观工程等建设项目，在满足设计、技术和使用功能要求的情况下，优先使用建筑垃圾再生利用产品。政府投资工程建设项目的建设单位应在设计任务书和施工招标文件中明确建筑垃圾再生产品的使用要求，并在竣工验收报告中载明再生产品的使用情况。设计单位应在设计说明中明确建筑垃圾再生产品的优先使用要求，施工图审查单位应对设计文件中是否明确建筑垃圾再生产品的使用要求等相关内容实施审查。(牵头单位：区住房和城乡建设局；责任单位：区城市管理局、区工业和信息化局)</w:t>
      </w:r>
    </w:p>
    <w:p>
      <w:pPr>
        <w:adjustRightInd w:val="0"/>
        <w:snapToGrid w:val="0"/>
        <w:spacing w:line="580" w:lineRule="exact"/>
        <w:ind w:firstLine="640" w:firstLineChars="200"/>
        <w:rPr>
          <w:szCs w:val="32"/>
        </w:rPr>
      </w:pPr>
      <w:r>
        <w:rPr>
          <w:rFonts w:eastAsia="楷体_GB2312"/>
          <w:sz w:val="32"/>
          <w:szCs w:val="32"/>
        </w:rPr>
        <w:t>(七)强化监管处置能力建设。</w:t>
      </w:r>
    </w:p>
    <w:p>
      <w:pPr>
        <w:adjustRightInd w:val="0"/>
        <w:snapToGrid w:val="0"/>
        <w:spacing w:line="580" w:lineRule="exact"/>
        <w:ind w:firstLine="640" w:firstLineChars="200"/>
        <w:rPr>
          <w:szCs w:val="32"/>
        </w:rPr>
      </w:pPr>
      <w:r>
        <w:rPr>
          <w:rFonts w:eastAsia="仿宋_GB2312"/>
          <w:sz w:val="32"/>
          <w:szCs w:val="32"/>
        </w:rPr>
        <w:t>1.严格危险废物源头管控。</w:t>
      </w:r>
    </w:p>
    <w:p>
      <w:pPr>
        <w:adjustRightInd w:val="0"/>
        <w:snapToGrid w:val="0"/>
        <w:spacing w:line="580" w:lineRule="exact"/>
        <w:ind w:firstLine="640" w:firstLineChars="200"/>
        <w:rPr>
          <w:szCs w:val="32"/>
        </w:rPr>
      </w:pPr>
      <w:r>
        <w:rPr>
          <w:rFonts w:eastAsia="仿宋_GB2312"/>
          <w:sz w:val="32"/>
          <w:szCs w:val="32"/>
        </w:rPr>
        <w:t>严格环境准入。对新建、改建、扩建涉危险废物建设项目，严格落实建设项目环境影响评价要求，从严审批危险废物产生量大、本区及周边区域无配套利用处置能力的建设项目。将已批复的重点行业涉危险废物建设项目环境影响评价文件纳入技术复核抽查范围。(责任单位：市生态环境局天桥分局)</w:t>
      </w:r>
    </w:p>
    <w:p>
      <w:pPr>
        <w:adjustRightInd w:val="0"/>
        <w:snapToGrid w:val="0"/>
        <w:spacing w:line="580" w:lineRule="exact"/>
        <w:ind w:firstLine="640" w:firstLineChars="200"/>
        <w:rPr>
          <w:szCs w:val="32"/>
        </w:rPr>
      </w:pPr>
      <w:r>
        <w:rPr>
          <w:rFonts w:eastAsia="仿宋_GB2312"/>
          <w:sz w:val="32"/>
          <w:szCs w:val="32"/>
        </w:rPr>
        <w:t>推动在产企业源头减量。支持研发、推广减少工业危险废物产生量和降低工业危险废物危害性的生产工艺和设备，促进从源头上减少危险废物产生量、降低危害性。(责任单位：区工业和信息化局、区发展和改革局、市生态环境局天桥分局)</w:t>
      </w:r>
    </w:p>
    <w:p>
      <w:pPr>
        <w:adjustRightInd w:val="0"/>
        <w:snapToGrid w:val="0"/>
        <w:spacing w:line="580" w:lineRule="exact"/>
        <w:ind w:firstLine="640" w:firstLineChars="200"/>
        <w:rPr>
          <w:szCs w:val="32"/>
        </w:rPr>
      </w:pPr>
      <w:r>
        <w:rPr>
          <w:rFonts w:eastAsia="仿宋_GB2312"/>
          <w:sz w:val="32"/>
          <w:szCs w:val="32"/>
        </w:rPr>
        <w:t>2.强化收集转运贮存等过程监管。</w:t>
      </w:r>
    </w:p>
    <w:p>
      <w:pPr>
        <w:adjustRightInd w:val="0"/>
        <w:snapToGrid w:val="0"/>
        <w:spacing w:line="580" w:lineRule="exact"/>
        <w:ind w:firstLine="640" w:firstLineChars="200"/>
        <w:rPr>
          <w:szCs w:val="32"/>
        </w:rPr>
      </w:pPr>
      <w:r>
        <w:rPr>
          <w:rFonts w:eastAsia="仿宋_GB2312"/>
          <w:sz w:val="32"/>
          <w:szCs w:val="32"/>
        </w:rPr>
        <w:t>推动危险废物收集、转运、贮存专业化。持续完善危险废物收集转运体系。充分发挥危险废物专业收集企业作用，以废矿物油、废铅蓄电池、实验室废物等为重点，做好小微企业、第三产业、科研机构、学校等危险废物收集转运，实现危险废物应收尽收。(责任单位：市生态环境局天桥分局)优化全区危险废物收集网点和贮存设施布局。(牵头单位：市生态环境局天桥分局)研究推广小微产废单位危险废物收集转运新模式，对同类产废单位较为集中的区域，采用“集中暂存、分别管理”模式实施收集转运；对分散产废单位，探索开展危险废物“公交式”收运。(责任单位：市生态环境局天桥分局)</w:t>
      </w:r>
    </w:p>
    <w:p>
      <w:pPr>
        <w:adjustRightInd w:val="0"/>
        <w:snapToGrid w:val="0"/>
        <w:spacing w:line="580" w:lineRule="exact"/>
        <w:ind w:firstLine="640" w:firstLineChars="200"/>
        <w:rPr>
          <w:szCs w:val="32"/>
        </w:rPr>
      </w:pPr>
      <w:r>
        <w:rPr>
          <w:rFonts w:eastAsia="仿宋_GB2312"/>
          <w:sz w:val="32"/>
          <w:szCs w:val="32"/>
        </w:rPr>
        <w:t>加强危险废物规范化管理。提升危险废物产废单位和经营单位的规范化管理水平，分级分类做好危险废物规范化管理指导，强化危险废物重点单位日常监管。推进和规范危险废物经营单位环境污染责任保险。(责任单位：市生态环境局天桥分局)</w:t>
      </w:r>
    </w:p>
    <w:p>
      <w:pPr>
        <w:adjustRightInd w:val="0"/>
        <w:snapToGrid w:val="0"/>
        <w:spacing w:line="580" w:lineRule="exact"/>
        <w:ind w:firstLine="640" w:firstLineChars="200"/>
        <w:rPr>
          <w:szCs w:val="32"/>
        </w:rPr>
      </w:pPr>
      <w:r>
        <w:rPr>
          <w:rFonts w:eastAsia="仿宋_GB2312"/>
          <w:sz w:val="32"/>
          <w:szCs w:val="32"/>
        </w:rPr>
        <w:t>3.增强危险废物利用处置能力。</w:t>
      </w:r>
    </w:p>
    <w:p>
      <w:pPr>
        <w:adjustRightInd w:val="0"/>
        <w:snapToGrid w:val="0"/>
        <w:spacing w:line="580" w:lineRule="exact"/>
        <w:ind w:firstLine="640" w:firstLineChars="200"/>
        <w:rPr>
          <w:szCs w:val="32"/>
        </w:rPr>
      </w:pPr>
      <w:r>
        <w:rPr>
          <w:rFonts w:eastAsia="仿宋_GB2312"/>
          <w:sz w:val="32"/>
          <w:szCs w:val="32"/>
        </w:rPr>
        <w:t>提升危险废物自行利用处置水平。鼓励大型企业根据需要自行配套建设高标准的危险废物利用处置设施，规范企业自行利用处置危险废物行为。鼓励园区等配套建设危险废物集中贮存。(责任单位：市生态环境局天桥分局)</w:t>
      </w:r>
    </w:p>
    <w:p>
      <w:pPr>
        <w:adjustRightInd w:val="0"/>
        <w:snapToGrid w:val="0"/>
        <w:spacing w:line="580" w:lineRule="exact"/>
        <w:ind w:firstLine="640" w:firstLineChars="200"/>
        <w:rPr>
          <w:szCs w:val="32"/>
        </w:rPr>
      </w:pPr>
      <w:r>
        <w:rPr>
          <w:rFonts w:eastAsia="仿宋_GB2312"/>
          <w:sz w:val="32"/>
          <w:szCs w:val="32"/>
        </w:rPr>
        <w:t>促进危险废物利用处置产业高质量发展。定期发布危险废物相关信息，科学引导危险废物利用处置产业发展，促进规模化发展、专业化运营。在环境风险可控的前提下，探索开展企业废弃包装物、废弃物料等危险废物“点对点”定向利用许可证豁免管理。(责任单位：市生态环境局天桥分局)</w:t>
      </w:r>
    </w:p>
    <w:p>
      <w:pPr>
        <w:adjustRightInd w:val="0"/>
        <w:snapToGrid w:val="0"/>
        <w:spacing w:line="580" w:lineRule="exact"/>
        <w:ind w:firstLine="640" w:firstLineChars="200"/>
        <w:rPr>
          <w:szCs w:val="32"/>
        </w:rPr>
      </w:pPr>
      <w:r>
        <w:rPr>
          <w:rFonts w:eastAsia="仿宋_GB2312"/>
          <w:sz w:val="32"/>
          <w:szCs w:val="32"/>
        </w:rPr>
        <w:t>4.完善医疗废物全过程管理。</w:t>
      </w:r>
    </w:p>
    <w:p>
      <w:pPr>
        <w:adjustRightInd w:val="0"/>
        <w:snapToGrid w:val="0"/>
        <w:spacing w:line="580" w:lineRule="exact"/>
        <w:ind w:firstLine="640" w:firstLineChars="200"/>
        <w:rPr>
          <w:szCs w:val="32"/>
        </w:rPr>
      </w:pPr>
      <w:r>
        <w:rPr>
          <w:rFonts w:eastAsia="仿宋_GB2312"/>
          <w:sz w:val="32"/>
          <w:szCs w:val="32"/>
        </w:rPr>
        <w:t>提高医疗机构废弃物规范化管理水平。做好医疗机构废弃物源头分类收集工作，规范医疗机构可回收物的回收处置渠道，实现医疗机构废弃物处置的定点定向、闭环管理。(牵头单位：区卫生健康局；责任单位：市生态环境局天桥分局)优化医疗废物收集运输网络。完善城乡一体的医疗废物收集转运体系，将全区各级各类医院、基层医疗卫生机构全部纳入医疗废物集中收集转运处置范围。以农村地区小型医疗机构为重点，加大巡查力度，确保及时清运并依法集中处置。(牵头单位：区卫生健康局；责任单位：市生态环境局天桥分局)</w:t>
      </w:r>
    </w:p>
    <w:p>
      <w:pPr>
        <w:adjustRightInd w:val="0"/>
        <w:snapToGrid w:val="0"/>
        <w:spacing w:line="580" w:lineRule="exact"/>
        <w:ind w:firstLine="640" w:firstLineChars="200"/>
        <w:rPr>
          <w:szCs w:val="32"/>
        </w:rPr>
      </w:pPr>
      <w:r>
        <w:rPr>
          <w:rFonts w:eastAsia="仿宋_GB2312"/>
          <w:sz w:val="32"/>
          <w:szCs w:val="32"/>
        </w:rPr>
        <w:t>构建医疗废物应急处置体系。完善医疗废物应急处置预案，重点提升涉疫医疗废物收运能力，强化涉疫医疗废物收运过程环境管理和风险防范。(牵头单位：市生态环境局天桥分局；责任单位：区卫生健康局等有关部门)落实</w:t>
      </w:r>
      <w:r>
        <w:rPr>
          <w:sz w:val="32"/>
          <w:szCs w:val="32"/>
        </w:rPr>
        <w:t>上级</w:t>
      </w:r>
      <w:r>
        <w:rPr>
          <w:rFonts w:eastAsia="仿宋_GB2312"/>
          <w:sz w:val="32"/>
          <w:szCs w:val="32"/>
        </w:rPr>
        <w:t>协同应急处置清单要求，保障重大疫情应急处置能力。（责任单位：市生态环境局天桥分局等有关部门）</w:t>
      </w:r>
    </w:p>
    <w:p>
      <w:pPr>
        <w:adjustRightInd w:val="0"/>
        <w:snapToGrid w:val="0"/>
        <w:spacing w:line="580" w:lineRule="exact"/>
        <w:ind w:firstLine="640" w:firstLineChars="200"/>
        <w:rPr>
          <w:szCs w:val="32"/>
        </w:rPr>
      </w:pPr>
      <w:r>
        <w:rPr>
          <w:rFonts w:eastAsia="仿宋_GB2312"/>
          <w:sz w:val="32"/>
          <w:szCs w:val="32"/>
        </w:rPr>
        <w:t>5.提升危险废物风险防控能力。</w:t>
      </w:r>
    </w:p>
    <w:p>
      <w:pPr>
        <w:adjustRightInd w:val="0"/>
        <w:snapToGrid w:val="0"/>
        <w:spacing w:line="580" w:lineRule="exact"/>
        <w:ind w:firstLine="640" w:firstLineChars="200"/>
        <w:rPr>
          <w:szCs w:val="32"/>
        </w:rPr>
      </w:pPr>
      <w:r>
        <w:rPr>
          <w:rFonts w:eastAsia="仿宋_GB2312"/>
          <w:sz w:val="32"/>
          <w:szCs w:val="32"/>
        </w:rPr>
        <w:t>完善危险废物监管清单并持续动态更新。建立区级危险废物重点监管单位清单。(牵头单位：市生态环境局天桥分局；责任单位：区公安分局、区工业和信息化局)结合危险废物规范化管理工作，开展危险废物申报登记等涉及危险废物数据的质量控制工作。(责任单位：市生态环境局天桥分局)</w:t>
      </w:r>
    </w:p>
    <w:p>
      <w:pPr>
        <w:adjustRightInd w:val="0"/>
        <w:snapToGrid w:val="0"/>
        <w:spacing w:line="580" w:lineRule="exact"/>
        <w:ind w:firstLine="640" w:firstLineChars="200"/>
        <w:rPr>
          <w:szCs w:val="32"/>
        </w:rPr>
      </w:pPr>
      <w:r>
        <w:rPr>
          <w:rFonts w:eastAsia="仿宋_GB2312"/>
          <w:sz w:val="32"/>
          <w:szCs w:val="32"/>
        </w:rPr>
        <w:t>强化危险废物全过程信息化监管。按照“应纳尽纳”原则，督促涉危险废物单位纳入山东省固体废物和危险化学品信息化智慧监管系统，实现危险废物全过程动态在线监控。在重点单位的重点环节和关键节点推行视频监控等集成智能监控手段，及时发现和防范苗头性风险。(责任单位：市生态环境局天桥分局)</w:t>
      </w:r>
    </w:p>
    <w:p>
      <w:pPr>
        <w:adjustRightInd w:val="0"/>
        <w:snapToGrid w:val="0"/>
        <w:spacing w:line="580" w:lineRule="exact"/>
        <w:ind w:firstLine="640" w:firstLineChars="200"/>
        <w:rPr>
          <w:szCs w:val="32"/>
        </w:rPr>
      </w:pPr>
      <w:r>
        <w:rPr>
          <w:rFonts w:eastAsia="仿宋_GB2312"/>
          <w:sz w:val="32"/>
          <w:szCs w:val="32"/>
        </w:rPr>
        <w:t>依法严厉打击危险废物环境违法行为。以医疗废物、废酸、废铅蓄电池、废矿物油等为重点，严厉打击非法收集、贮存、转移、利用、处置危险废物等环境违法犯罪行为。严肃查处违规堆存、随意倾倒以及非法填埋危险废物等环境违法行为以及利用废旧厂房、旧仓库等从事产生危险废物的非法生产经营行为。(牵头单位：市生态环境局天桥分局；责任单位：区公安分局、区卫生健康局等有关部门)</w:t>
      </w:r>
    </w:p>
    <w:p>
      <w:pPr>
        <w:adjustRightInd w:val="0"/>
        <w:snapToGrid w:val="0"/>
        <w:spacing w:line="580" w:lineRule="exact"/>
        <w:ind w:firstLine="640" w:firstLineChars="200"/>
        <w:rPr>
          <w:szCs w:val="32"/>
        </w:rPr>
      </w:pPr>
      <w:r>
        <w:rPr>
          <w:rFonts w:eastAsia="仿宋_GB2312"/>
          <w:sz w:val="32"/>
          <w:szCs w:val="32"/>
        </w:rPr>
        <w:t>建立危险废物应急处置协调机制。完善环境应急响应预案，加强危险废物环境应急能力建设，保障危险废物应急处置。深入推进跨区域、跨部门协同应急处置突发环境事件及其处理过程中产生的危险废物，构建现场指挥与协调制度以及信息报告和公开机制。(责任单位：市生态环境局天桥分局)</w:t>
      </w:r>
    </w:p>
    <w:p>
      <w:pPr>
        <w:adjustRightInd w:val="0"/>
        <w:snapToGrid w:val="0"/>
        <w:spacing w:line="580" w:lineRule="exact"/>
        <w:ind w:firstLine="640" w:firstLineChars="200"/>
        <w:rPr>
          <w:szCs w:val="32"/>
        </w:rPr>
      </w:pPr>
      <w:r>
        <w:rPr>
          <w:rFonts w:eastAsia="楷体_GB2312"/>
          <w:sz w:val="32"/>
          <w:szCs w:val="32"/>
        </w:rPr>
        <w:t>(八)完善“四大体系”建设。</w:t>
      </w:r>
    </w:p>
    <w:p>
      <w:pPr>
        <w:adjustRightInd w:val="0"/>
        <w:snapToGrid w:val="0"/>
        <w:spacing w:line="580" w:lineRule="exact"/>
        <w:ind w:firstLine="640" w:firstLineChars="200"/>
        <w:rPr>
          <w:szCs w:val="32"/>
        </w:rPr>
      </w:pPr>
      <w:r>
        <w:rPr>
          <w:rFonts w:eastAsia="仿宋_GB2312"/>
          <w:sz w:val="32"/>
          <w:szCs w:val="32"/>
        </w:rPr>
        <w:t>强化制度体系建设。梳理完善现有农业固体废物、工业固体废物、生活源固体废物、危险废物、医疗废物等固体废物管理相关制度措施。稳步推进涉固体废物企业排污许可证核发工作，落实固体废物排污许可相关事项和管理要求。(责任单位：市生态环境局天桥分局、区工业和信息化局、区农业农村局、区城市管理局、区环境卫生管护服务中心、区卫生健康局)</w:t>
      </w:r>
    </w:p>
    <w:p>
      <w:pPr>
        <w:adjustRightInd w:val="0"/>
        <w:snapToGrid w:val="0"/>
        <w:spacing w:line="580" w:lineRule="exact"/>
        <w:ind w:firstLine="640" w:firstLineChars="200"/>
        <w:rPr>
          <w:szCs w:val="32"/>
        </w:rPr>
      </w:pPr>
      <w:r>
        <w:rPr>
          <w:rFonts w:eastAsia="仿宋_GB2312"/>
          <w:sz w:val="32"/>
          <w:szCs w:val="32"/>
        </w:rPr>
        <w:t>提升技术创新能力。鼓励企业联合高校和科研院所，依托现有固体废物资源化利用相关技术创新中心、共同体等创新平台，促进关键核心技术攻关和成果转移转化。组织企业申报国家、省级相关重点项目。以钛石膏、废酸等产生量大、难利用废物为重点，大力推广应用工业资源综合利用先进适用工艺技术。(牵头单位：区科学技术局；责任单位：区发展和改革局、区工业和信息化局、区教育和体育局、市生态环境局天桥分局、区农业农村局、区卫生健康局、区城市管理局)</w:t>
      </w:r>
    </w:p>
    <w:p>
      <w:pPr>
        <w:adjustRightInd w:val="0"/>
        <w:snapToGrid w:val="0"/>
        <w:spacing w:line="580" w:lineRule="exact"/>
        <w:ind w:firstLine="640" w:firstLineChars="200"/>
        <w:rPr>
          <w:szCs w:val="32"/>
        </w:rPr>
      </w:pPr>
      <w:r>
        <w:rPr>
          <w:rFonts w:eastAsia="仿宋_GB2312"/>
          <w:sz w:val="32"/>
          <w:szCs w:val="32"/>
        </w:rPr>
        <w:t>激发市场主体活力。强化对废旧农膜、农业包装废弃物、可再生资源、秸秆等各类回收利用主体的政策扶持。大力推广建筑垃圾再生品等资源综合利用产品，按照上级统一要求，严格执行资源利用产品相关政府采购要求。按照上级相关规定，落实资源综合利用产品和劳务增值税即征即退，资源综合利用企业所得税减计收入、研发费加计扣除，综合利用的固体废物暂免征环境保护税，节能环保所得税减免等税收优惠政策。鼓励金融机构绿色金融产品和服务创新，持续加大绿色信贷业务创新和推广力度，支持“无废城市”建设相关重点项目。严格执行企业环境信用评价制度。(责任单位：区税务局、区住房和城乡建设局、区财政局、市生态环境局天桥分局、区工业和信息化局、区农业农村局、区商务局)</w:t>
      </w:r>
    </w:p>
    <w:p>
      <w:pPr>
        <w:adjustRightInd w:val="0"/>
        <w:snapToGrid w:val="0"/>
        <w:spacing w:line="580" w:lineRule="exact"/>
        <w:ind w:firstLine="640" w:firstLineChars="200"/>
        <w:rPr>
          <w:szCs w:val="32"/>
        </w:rPr>
      </w:pPr>
      <w:r>
        <w:rPr>
          <w:rFonts w:eastAsia="仿宋_GB2312"/>
          <w:sz w:val="32"/>
          <w:szCs w:val="32"/>
        </w:rPr>
        <w:t>构建数字化监管体系。规范使用现有工业固体废物和危险化学品、医疗废物、生活垃圾监管平台，配合开展农业固体废物等固体废物监管平台建设。配合建设工业固体废物交易信息平台，促进产废企业和用废企业良好“互动”。加强固体废物监管队伍建设，提高固体废物环境监管能力。(责任单位：区生态环境局、区农业农村局、区城市管理局、区环境卫生管护服务中心、区工业和信息化局、区卫生健康局、区水务局)</w:t>
      </w:r>
    </w:p>
    <w:p>
      <w:pPr>
        <w:adjustRightInd w:val="0"/>
        <w:snapToGrid w:val="0"/>
        <w:spacing w:line="580" w:lineRule="exact"/>
        <w:ind w:firstLine="640" w:firstLineChars="200"/>
        <w:rPr>
          <w:rFonts w:eastAsia="黑体"/>
          <w:szCs w:val="32"/>
        </w:rPr>
      </w:pPr>
      <w:r>
        <w:rPr>
          <w:rFonts w:eastAsia="黑体"/>
          <w:sz w:val="32"/>
          <w:szCs w:val="32"/>
        </w:rPr>
        <w:t>三、保障措施</w:t>
      </w:r>
    </w:p>
    <w:p>
      <w:pPr>
        <w:adjustRightInd w:val="0"/>
        <w:snapToGrid w:val="0"/>
        <w:spacing w:line="580" w:lineRule="exact"/>
        <w:ind w:firstLine="640" w:firstLineChars="200"/>
        <w:rPr>
          <w:szCs w:val="32"/>
        </w:rPr>
      </w:pPr>
      <w:r>
        <w:rPr>
          <w:rFonts w:eastAsia="楷体_GB2312"/>
          <w:sz w:val="32"/>
          <w:szCs w:val="32"/>
        </w:rPr>
        <w:t>(一)加强组织领导。</w:t>
      </w:r>
      <w:r>
        <w:rPr>
          <w:rFonts w:eastAsia="仿宋_GB2312"/>
          <w:sz w:val="32"/>
          <w:szCs w:val="32"/>
        </w:rPr>
        <w:t>建立由区政府主要领导同志牵头，相关部门共同参与，横向到边、纵向到底的组织协调机制，确保我区“无废城市”任务、措施、目标顺利完成。</w:t>
      </w:r>
    </w:p>
    <w:p>
      <w:pPr>
        <w:adjustRightInd w:val="0"/>
        <w:snapToGrid w:val="0"/>
        <w:spacing w:line="580" w:lineRule="exact"/>
        <w:ind w:firstLine="640" w:firstLineChars="200"/>
        <w:rPr>
          <w:szCs w:val="32"/>
        </w:rPr>
      </w:pPr>
      <w:r>
        <w:rPr>
          <w:rFonts w:eastAsia="楷体_GB2312"/>
          <w:sz w:val="32"/>
          <w:szCs w:val="32"/>
        </w:rPr>
        <w:t>(二)强化总结评估。</w:t>
      </w:r>
      <w:r>
        <w:rPr>
          <w:rFonts w:eastAsia="仿宋_GB2312"/>
          <w:sz w:val="32"/>
          <w:szCs w:val="32"/>
        </w:rPr>
        <w:t>按省、市相关要求，“无废城市”建设成效是污染防治攻坚成效考核的重要内容，区有关部门(单位)应定期对“无废城市”建设成效总结评估，每年年底前对建设情况形成年度总结。</w:t>
      </w:r>
    </w:p>
    <w:p>
      <w:pPr>
        <w:adjustRightInd w:val="0"/>
        <w:snapToGrid w:val="0"/>
        <w:spacing w:line="580" w:lineRule="exact"/>
        <w:ind w:firstLine="640" w:firstLineChars="200"/>
        <w:rPr>
          <w:szCs w:val="32"/>
        </w:rPr>
      </w:pPr>
      <w:r>
        <w:rPr>
          <w:rFonts w:eastAsia="楷体_GB2312"/>
          <w:sz w:val="32"/>
          <w:szCs w:val="32"/>
        </w:rPr>
        <w:t>(三)落实资金保障。</w:t>
      </w:r>
      <w:r>
        <w:rPr>
          <w:rFonts w:eastAsia="仿宋_GB2312"/>
          <w:sz w:val="32"/>
          <w:szCs w:val="32"/>
        </w:rPr>
        <w:t>积极争取各级专项资金，统筹现有资金渠道，加大对“无废城市”建设相关重点项目的支持力度，落实“无废城市”建设工作经费保障。积极探索市场化投融资机制和商业模式，深化政银合作，依法依规采用政府和社会资本合作等模式，支持固体废物源头减量、资源化利用和安全处置工程项目。提升政府绿色采购水平，鼓励采购再生综合利用产品。</w:t>
      </w:r>
    </w:p>
    <w:p>
      <w:pPr>
        <w:adjustRightInd w:val="0"/>
        <w:snapToGrid w:val="0"/>
        <w:spacing w:line="580" w:lineRule="exact"/>
        <w:ind w:firstLine="640" w:firstLineChars="200"/>
        <w:rPr>
          <w:rFonts w:eastAsia="仿宋_GB2312"/>
          <w:sz w:val="32"/>
          <w:szCs w:val="32"/>
        </w:rPr>
      </w:pPr>
      <w:r>
        <w:rPr>
          <w:rFonts w:eastAsia="楷体_GB2312"/>
          <w:sz w:val="32"/>
          <w:szCs w:val="32"/>
        </w:rPr>
        <w:t>(四)加大宣传力度。</w:t>
      </w:r>
      <w:r>
        <w:rPr>
          <w:rFonts w:eastAsia="仿宋_GB2312"/>
          <w:sz w:val="32"/>
          <w:szCs w:val="32"/>
        </w:rPr>
        <w:t>将“无废城市”建设相关内容纳入市民教育体系，全面开展“无废城市”建设相关主题宣传活动，大力宣传“无废城市”建设相关先进技术、经验、模式，推广先进经验和做法。依法加强固体废物产生、利用与处置信息公开，充分发挥社会组织和公众监督作用，营造全民共建“无废城市”的浓厚氛围。</w:t>
      </w:r>
    </w:p>
    <w:p>
      <w:pPr>
        <w:pStyle w:val="2"/>
      </w:pPr>
    </w:p>
    <w:p/>
    <w:p>
      <w:pPr>
        <w:pStyle w:val="2"/>
      </w:pPr>
    </w:p>
    <w:p>
      <w:pPr>
        <w:adjustRightInd w:val="0"/>
        <w:snapToGrid w:val="0"/>
        <w:spacing w:line="580" w:lineRule="exact"/>
        <w:ind w:left="1758" w:leftChars="304" w:hanging="1120" w:hangingChars="350"/>
        <w:rPr>
          <w:sz w:val="32"/>
          <w:szCs w:val="32"/>
        </w:rPr>
      </w:pPr>
      <w:r>
        <w:rPr>
          <w:rFonts w:eastAsia="仿宋_GB2312"/>
          <w:sz w:val="32"/>
          <w:szCs w:val="32"/>
        </w:rPr>
        <w:t>附件：1.天桥区“无废城市”建设实施方案(2023—2025年)指标体系</w:t>
      </w:r>
    </w:p>
    <w:p>
      <w:pPr>
        <w:adjustRightInd w:val="0"/>
        <w:snapToGrid w:val="0"/>
        <w:spacing w:line="580" w:lineRule="exact"/>
        <w:ind w:left="1756" w:leftChars="760" w:hanging="160" w:hangingChars="50"/>
        <w:rPr>
          <w:sz w:val="32"/>
          <w:szCs w:val="32"/>
        </w:rPr>
      </w:pPr>
      <w:r>
        <w:rPr>
          <w:sz w:val="32"/>
          <w:szCs w:val="32"/>
        </w:rPr>
        <w:t>2</w:t>
      </w:r>
      <w:r>
        <w:rPr>
          <w:rFonts w:eastAsia="仿宋_GB2312"/>
          <w:sz w:val="32"/>
          <w:szCs w:val="32"/>
        </w:rPr>
        <w:t>.天桥区“无废城市”建设实施方案(2023—2025年)项目清单</w:t>
      </w:r>
    </w:p>
    <w:p>
      <w:pPr>
        <w:adjustRightInd w:val="0"/>
        <w:snapToGrid w:val="0"/>
        <w:spacing w:line="580" w:lineRule="exact"/>
        <w:ind w:left="1756" w:leftChars="760" w:hanging="160" w:hangingChars="50"/>
        <w:rPr>
          <w:rFonts w:eastAsia="仿宋_GB2312"/>
          <w:sz w:val="32"/>
          <w:szCs w:val="32"/>
        </w:rPr>
      </w:pPr>
      <w:r>
        <w:rPr>
          <w:rFonts w:eastAsia="仿宋_GB2312"/>
          <w:sz w:val="32"/>
          <w:szCs w:val="32"/>
        </w:rPr>
        <w:t>3.天桥区“无废城市”建设实施方案(2023—2025年)任务清单</w:t>
      </w:r>
    </w:p>
    <w:p>
      <w:pPr>
        <w:pStyle w:val="2"/>
      </w:pPr>
    </w:p>
    <w:p/>
    <w:p>
      <w:pPr>
        <w:pStyle w:val="2"/>
      </w:pPr>
    </w:p>
    <w:p>
      <w:pPr>
        <w:tabs>
          <w:tab w:val="left" w:pos="2500"/>
          <w:tab w:val="left" w:pos="4394"/>
        </w:tabs>
        <w:autoSpaceDE w:val="0"/>
        <w:autoSpaceDN w:val="0"/>
        <w:spacing w:line="580" w:lineRule="exact"/>
        <w:rPr>
          <w:rFonts w:eastAsia="仿宋_GB2312"/>
          <w:snapToGrid w:val="0"/>
          <w:sz w:val="32"/>
          <w:szCs w:val="32"/>
        </w:rPr>
        <w:sectPr>
          <w:footerReference r:id="rId5" w:type="default"/>
          <w:footerReference r:id="rId6" w:type="even"/>
          <w:pgSz w:w="11906" w:h="16838"/>
          <w:pgMar w:top="2098" w:right="1474" w:bottom="1985" w:left="1588" w:header="0" w:footer="1361" w:gutter="0"/>
          <w:cols w:space="720" w:num="1"/>
        </w:sectPr>
      </w:pPr>
    </w:p>
    <w:p/>
    <w:p>
      <w:pPr>
        <w:rPr>
          <w:rFonts w:eastAsia="黑体"/>
          <w:szCs w:val="32"/>
        </w:rPr>
      </w:pPr>
      <w:r>
        <w:rPr>
          <w:rFonts w:eastAsia="黑体"/>
          <w:sz w:val="32"/>
          <w:szCs w:val="32"/>
        </w:rPr>
        <w:t>附件1</w:t>
      </w:r>
    </w:p>
    <w:p>
      <w:pPr>
        <w:jc w:val="center"/>
        <w:rPr>
          <w:rFonts w:eastAsia="方正小标宋_GBK"/>
          <w:sz w:val="44"/>
          <w:szCs w:val="44"/>
        </w:rPr>
      </w:pPr>
      <w:r>
        <w:rPr>
          <w:rFonts w:eastAsia="方正小标宋_GBK"/>
          <w:sz w:val="44"/>
          <w:szCs w:val="44"/>
        </w:rPr>
        <w:t>天桥区“无废城市”建设实施方案(2023—2025年)指标体系</w:t>
      </w:r>
    </w:p>
    <w:tbl>
      <w:tblPr>
        <w:tblStyle w:val="18"/>
        <w:tblW w:w="134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7"/>
        <w:gridCol w:w="606"/>
        <w:gridCol w:w="708"/>
        <w:gridCol w:w="2127"/>
        <w:gridCol w:w="708"/>
        <w:gridCol w:w="794"/>
        <w:gridCol w:w="794"/>
        <w:gridCol w:w="794"/>
        <w:gridCol w:w="794"/>
        <w:gridCol w:w="794"/>
        <w:gridCol w:w="1644"/>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87" w:type="dxa"/>
            <w:textDirection w:val="tbRlV"/>
            <w:vAlign w:val="center"/>
          </w:tcPr>
          <w:p>
            <w:pPr>
              <w:jc w:val="center"/>
              <w:rPr>
                <w:rFonts w:eastAsia="黑体"/>
                <w:w w:val="90"/>
                <w:sz w:val="24"/>
                <w:szCs w:val="18"/>
              </w:rPr>
            </w:pPr>
            <w:r>
              <w:rPr>
                <w:rFonts w:eastAsia="黑体"/>
                <w:w w:val="90"/>
                <w:sz w:val="24"/>
                <w:szCs w:val="18"/>
              </w:rPr>
              <w:t>序号</w:t>
            </w:r>
          </w:p>
        </w:tc>
        <w:tc>
          <w:tcPr>
            <w:tcW w:w="606" w:type="dxa"/>
            <w:vAlign w:val="center"/>
          </w:tcPr>
          <w:p>
            <w:pPr>
              <w:jc w:val="center"/>
              <w:rPr>
                <w:rFonts w:eastAsia="黑体"/>
                <w:sz w:val="24"/>
                <w:szCs w:val="18"/>
              </w:rPr>
            </w:pPr>
            <w:r>
              <w:rPr>
                <w:rFonts w:eastAsia="黑体"/>
                <w:sz w:val="24"/>
                <w:szCs w:val="18"/>
              </w:rPr>
              <w:t>一级</w:t>
            </w:r>
          </w:p>
          <w:p>
            <w:pPr>
              <w:jc w:val="center"/>
              <w:rPr>
                <w:rFonts w:eastAsia="黑体"/>
                <w:sz w:val="24"/>
                <w:szCs w:val="18"/>
              </w:rPr>
            </w:pPr>
            <w:r>
              <w:rPr>
                <w:rFonts w:eastAsia="黑体"/>
                <w:sz w:val="24"/>
                <w:szCs w:val="18"/>
              </w:rPr>
              <w:t>指标</w:t>
            </w:r>
          </w:p>
        </w:tc>
        <w:tc>
          <w:tcPr>
            <w:tcW w:w="708" w:type="dxa"/>
            <w:vAlign w:val="center"/>
          </w:tcPr>
          <w:p>
            <w:pPr>
              <w:jc w:val="center"/>
              <w:rPr>
                <w:rFonts w:eastAsia="黑体"/>
                <w:sz w:val="24"/>
                <w:szCs w:val="18"/>
              </w:rPr>
            </w:pPr>
            <w:r>
              <w:rPr>
                <w:rFonts w:eastAsia="黑体"/>
                <w:sz w:val="24"/>
                <w:szCs w:val="18"/>
              </w:rPr>
              <w:t>二级</w:t>
            </w:r>
          </w:p>
          <w:p>
            <w:pPr>
              <w:jc w:val="center"/>
              <w:rPr>
                <w:rFonts w:eastAsia="黑体"/>
                <w:sz w:val="24"/>
                <w:szCs w:val="18"/>
              </w:rPr>
            </w:pPr>
            <w:r>
              <w:rPr>
                <w:rFonts w:eastAsia="黑体"/>
                <w:sz w:val="24"/>
                <w:szCs w:val="18"/>
              </w:rPr>
              <w:t>指标</w:t>
            </w:r>
          </w:p>
        </w:tc>
        <w:tc>
          <w:tcPr>
            <w:tcW w:w="2127" w:type="dxa"/>
            <w:vAlign w:val="center"/>
          </w:tcPr>
          <w:p>
            <w:pPr>
              <w:jc w:val="center"/>
              <w:rPr>
                <w:rFonts w:eastAsia="黑体"/>
                <w:sz w:val="24"/>
                <w:szCs w:val="18"/>
              </w:rPr>
            </w:pPr>
            <w:r>
              <w:rPr>
                <w:rFonts w:eastAsia="黑体"/>
                <w:sz w:val="24"/>
                <w:szCs w:val="18"/>
              </w:rPr>
              <w:t>三级指标</w:t>
            </w:r>
          </w:p>
        </w:tc>
        <w:tc>
          <w:tcPr>
            <w:tcW w:w="708" w:type="dxa"/>
            <w:vAlign w:val="center"/>
          </w:tcPr>
          <w:p>
            <w:pPr>
              <w:jc w:val="center"/>
              <w:rPr>
                <w:rFonts w:eastAsia="黑体"/>
                <w:sz w:val="24"/>
                <w:szCs w:val="18"/>
              </w:rPr>
            </w:pPr>
            <w:r>
              <w:rPr>
                <w:rFonts w:eastAsia="黑体"/>
                <w:sz w:val="24"/>
                <w:szCs w:val="18"/>
              </w:rPr>
              <w:t>单位</w:t>
            </w:r>
          </w:p>
        </w:tc>
        <w:tc>
          <w:tcPr>
            <w:tcW w:w="794" w:type="dxa"/>
            <w:vAlign w:val="center"/>
          </w:tcPr>
          <w:p>
            <w:pPr>
              <w:jc w:val="center"/>
              <w:rPr>
                <w:rFonts w:eastAsia="黑体"/>
                <w:sz w:val="24"/>
                <w:szCs w:val="18"/>
              </w:rPr>
            </w:pPr>
            <w:r>
              <w:rPr>
                <w:rFonts w:eastAsia="黑体"/>
                <w:sz w:val="24"/>
                <w:szCs w:val="18"/>
              </w:rPr>
              <w:t>2020年</w:t>
            </w:r>
          </w:p>
        </w:tc>
        <w:tc>
          <w:tcPr>
            <w:tcW w:w="794" w:type="dxa"/>
            <w:vAlign w:val="center"/>
          </w:tcPr>
          <w:p>
            <w:pPr>
              <w:jc w:val="center"/>
              <w:rPr>
                <w:rFonts w:eastAsia="黑体"/>
                <w:sz w:val="24"/>
                <w:szCs w:val="18"/>
              </w:rPr>
            </w:pPr>
            <w:r>
              <w:rPr>
                <w:rFonts w:eastAsia="黑体"/>
                <w:sz w:val="24"/>
                <w:szCs w:val="18"/>
              </w:rPr>
              <w:t>2022年</w:t>
            </w:r>
          </w:p>
        </w:tc>
        <w:tc>
          <w:tcPr>
            <w:tcW w:w="794" w:type="dxa"/>
            <w:vAlign w:val="center"/>
          </w:tcPr>
          <w:p>
            <w:pPr>
              <w:jc w:val="center"/>
              <w:rPr>
                <w:rFonts w:eastAsia="黑体"/>
                <w:sz w:val="24"/>
                <w:szCs w:val="18"/>
              </w:rPr>
            </w:pPr>
            <w:r>
              <w:rPr>
                <w:rFonts w:eastAsia="黑体"/>
                <w:sz w:val="24"/>
                <w:szCs w:val="18"/>
              </w:rPr>
              <w:t>2023年</w:t>
            </w:r>
          </w:p>
        </w:tc>
        <w:tc>
          <w:tcPr>
            <w:tcW w:w="794" w:type="dxa"/>
            <w:vAlign w:val="center"/>
          </w:tcPr>
          <w:p>
            <w:pPr>
              <w:jc w:val="center"/>
              <w:rPr>
                <w:rFonts w:eastAsia="黑体"/>
                <w:sz w:val="24"/>
                <w:szCs w:val="18"/>
              </w:rPr>
            </w:pPr>
            <w:r>
              <w:rPr>
                <w:rFonts w:eastAsia="黑体"/>
                <w:sz w:val="24"/>
                <w:szCs w:val="18"/>
              </w:rPr>
              <w:t>2024年</w:t>
            </w:r>
          </w:p>
        </w:tc>
        <w:tc>
          <w:tcPr>
            <w:tcW w:w="794" w:type="dxa"/>
            <w:vAlign w:val="center"/>
          </w:tcPr>
          <w:p>
            <w:pPr>
              <w:jc w:val="center"/>
              <w:rPr>
                <w:rFonts w:eastAsia="黑体"/>
                <w:sz w:val="24"/>
                <w:szCs w:val="18"/>
              </w:rPr>
            </w:pPr>
            <w:r>
              <w:rPr>
                <w:rFonts w:eastAsia="黑体"/>
                <w:sz w:val="24"/>
                <w:szCs w:val="18"/>
              </w:rPr>
              <w:t>2025年</w:t>
            </w:r>
          </w:p>
        </w:tc>
        <w:tc>
          <w:tcPr>
            <w:tcW w:w="1644" w:type="dxa"/>
            <w:vAlign w:val="center"/>
          </w:tcPr>
          <w:p>
            <w:pPr>
              <w:jc w:val="center"/>
              <w:rPr>
                <w:rFonts w:eastAsia="黑体"/>
                <w:sz w:val="24"/>
                <w:szCs w:val="18"/>
              </w:rPr>
            </w:pPr>
            <w:r>
              <w:rPr>
                <w:rFonts w:eastAsia="黑体"/>
                <w:sz w:val="24"/>
                <w:szCs w:val="18"/>
              </w:rPr>
              <w:t>数据来源部门</w:t>
            </w:r>
          </w:p>
        </w:tc>
        <w:tc>
          <w:tcPr>
            <w:tcW w:w="1644" w:type="dxa"/>
            <w:vAlign w:val="center"/>
          </w:tcPr>
          <w:p>
            <w:pPr>
              <w:jc w:val="center"/>
              <w:rPr>
                <w:rFonts w:eastAsia="黑体"/>
                <w:sz w:val="24"/>
                <w:szCs w:val="18"/>
              </w:rPr>
            </w:pPr>
            <w:r>
              <w:rPr>
                <w:rFonts w:eastAsia="黑体"/>
                <w:sz w:val="24"/>
                <w:szCs w:val="18"/>
              </w:rPr>
              <w:t>责任部门</w:t>
            </w:r>
          </w:p>
        </w:tc>
        <w:tc>
          <w:tcPr>
            <w:tcW w:w="1644" w:type="dxa"/>
            <w:vAlign w:val="center"/>
          </w:tcPr>
          <w:p>
            <w:pPr>
              <w:jc w:val="center"/>
              <w:rPr>
                <w:rFonts w:eastAsia="黑体"/>
                <w:sz w:val="24"/>
                <w:szCs w:val="18"/>
              </w:rPr>
            </w:pPr>
            <w:r>
              <w:rPr>
                <w:rFonts w:eastAsia="黑体"/>
                <w:sz w:val="24"/>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trPr>
        <w:tc>
          <w:tcPr>
            <w:tcW w:w="387" w:type="dxa"/>
            <w:vAlign w:val="center"/>
          </w:tcPr>
          <w:p>
            <w:pPr>
              <w:jc w:val="center"/>
            </w:pPr>
            <w:r>
              <w:rPr>
                <w:szCs w:val="21"/>
              </w:rPr>
              <w:t>1</w:t>
            </w:r>
          </w:p>
        </w:tc>
        <w:tc>
          <w:tcPr>
            <w:tcW w:w="606" w:type="dxa"/>
            <w:vMerge w:val="restart"/>
            <w:vAlign w:val="center"/>
          </w:tcPr>
          <w:p>
            <w:pPr>
              <w:jc w:val="center"/>
            </w:pPr>
            <w:r>
              <w:rPr>
                <w:szCs w:val="21"/>
              </w:rPr>
              <w:t>固体废物源头减量</w:t>
            </w:r>
          </w:p>
        </w:tc>
        <w:tc>
          <w:tcPr>
            <w:tcW w:w="708" w:type="dxa"/>
            <w:vMerge w:val="restart"/>
            <w:vAlign w:val="center"/>
          </w:tcPr>
          <w:p>
            <w:pPr>
              <w:jc w:val="center"/>
            </w:pPr>
            <w:r>
              <w:rPr>
                <w:szCs w:val="21"/>
              </w:rPr>
              <w:t>工业源头减量</w:t>
            </w:r>
          </w:p>
        </w:tc>
        <w:tc>
          <w:tcPr>
            <w:tcW w:w="2127" w:type="dxa"/>
            <w:vAlign w:val="center"/>
          </w:tcPr>
          <w:p>
            <w:pPr>
              <w:jc w:val="center"/>
            </w:pPr>
            <w:r>
              <w:rPr>
                <w:szCs w:val="21"/>
              </w:rPr>
              <w:t>一般工业固体废物产生强度</w:t>
            </w:r>
            <w:r>
              <w:rPr>
                <w:rFonts w:hint="eastAsia" w:ascii="宋体" w:hAnsi="宋体" w:cs="宋体"/>
                <w:szCs w:val="21"/>
              </w:rPr>
              <w:t>★</w:t>
            </w:r>
          </w:p>
        </w:tc>
        <w:tc>
          <w:tcPr>
            <w:tcW w:w="708" w:type="dxa"/>
            <w:vAlign w:val="center"/>
          </w:tcPr>
          <w:p>
            <w:pPr>
              <w:jc w:val="center"/>
            </w:pPr>
            <w:r>
              <w:rPr>
                <w:szCs w:val="21"/>
              </w:rPr>
              <w:t>吨/万元</w:t>
            </w:r>
          </w:p>
        </w:tc>
        <w:tc>
          <w:tcPr>
            <w:tcW w:w="794" w:type="dxa"/>
            <w:vAlign w:val="center"/>
          </w:tcPr>
          <w:p>
            <w:pPr>
              <w:jc w:val="center"/>
            </w:pPr>
            <w:r>
              <w:rPr>
                <w:szCs w:val="21"/>
              </w:rPr>
              <w:t>/</w:t>
            </w:r>
          </w:p>
        </w:tc>
        <w:tc>
          <w:tcPr>
            <w:tcW w:w="794" w:type="dxa"/>
            <w:vAlign w:val="center"/>
          </w:tcPr>
          <w:p>
            <w:pPr>
              <w:jc w:val="center"/>
            </w:pPr>
            <w:r>
              <w:rPr>
                <w:szCs w:val="21"/>
              </w:rPr>
              <w:t>1.64</w:t>
            </w:r>
          </w:p>
        </w:tc>
        <w:tc>
          <w:tcPr>
            <w:tcW w:w="794" w:type="dxa"/>
            <w:vAlign w:val="center"/>
          </w:tcPr>
          <w:p>
            <w:pPr>
              <w:jc w:val="center"/>
            </w:pPr>
            <w:r>
              <w:rPr>
                <w:szCs w:val="21"/>
              </w:rPr>
              <w:t>稳步</w:t>
            </w:r>
          </w:p>
          <w:p>
            <w:pPr>
              <w:jc w:val="center"/>
            </w:pPr>
            <w:r>
              <w:rPr>
                <w:szCs w:val="21"/>
              </w:rPr>
              <w:t>降低</w:t>
            </w:r>
          </w:p>
        </w:tc>
        <w:tc>
          <w:tcPr>
            <w:tcW w:w="794" w:type="dxa"/>
            <w:vAlign w:val="center"/>
          </w:tcPr>
          <w:p>
            <w:pPr>
              <w:jc w:val="center"/>
            </w:pPr>
            <w:r>
              <w:rPr>
                <w:szCs w:val="21"/>
              </w:rPr>
              <w:t>稳步</w:t>
            </w:r>
          </w:p>
          <w:p>
            <w:pPr>
              <w:jc w:val="center"/>
            </w:pPr>
            <w:r>
              <w:rPr>
                <w:szCs w:val="21"/>
              </w:rPr>
              <w:t>降低</w:t>
            </w:r>
          </w:p>
        </w:tc>
        <w:tc>
          <w:tcPr>
            <w:tcW w:w="794" w:type="dxa"/>
            <w:vAlign w:val="center"/>
          </w:tcPr>
          <w:p>
            <w:pPr>
              <w:jc w:val="center"/>
            </w:pPr>
            <w:r>
              <w:rPr>
                <w:szCs w:val="21"/>
              </w:rPr>
              <w:t>稳步</w:t>
            </w:r>
          </w:p>
          <w:p>
            <w:pPr>
              <w:jc w:val="center"/>
            </w:pPr>
            <w:r>
              <w:rPr>
                <w:szCs w:val="21"/>
              </w:rPr>
              <w:t>降低</w:t>
            </w:r>
          </w:p>
        </w:tc>
        <w:tc>
          <w:tcPr>
            <w:tcW w:w="1644" w:type="dxa"/>
            <w:vAlign w:val="center"/>
          </w:tcPr>
          <w:p>
            <w:pPr>
              <w:jc w:val="center"/>
            </w:pPr>
            <w:r>
              <w:rPr>
                <w:szCs w:val="21"/>
              </w:rPr>
              <w:t>市生态环境局天桥分局、区工业和信息化局、区统计局</w:t>
            </w:r>
          </w:p>
        </w:tc>
        <w:tc>
          <w:tcPr>
            <w:tcW w:w="1644" w:type="dxa"/>
            <w:vAlign w:val="center"/>
          </w:tcPr>
          <w:p>
            <w:pPr>
              <w:jc w:val="center"/>
            </w:pPr>
            <w:r>
              <w:rPr>
                <w:szCs w:val="21"/>
              </w:rPr>
              <w:t>市生态环境局天桥分局、区工业和信息化局</w:t>
            </w:r>
          </w:p>
        </w:tc>
        <w:tc>
          <w:tcPr>
            <w:tcW w:w="1644" w:type="dxa"/>
            <w:vAlign w:val="center"/>
          </w:tcPr>
          <w:p>
            <w:pPr>
              <w:jc w:val="center"/>
            </w:pPr>
            <w:r>
              <w:rPr>
                <w:szCs w:val="21"/>
              </w:rPr>
              <w:t>稳步降低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trPr>
        <w:tc>
          <w:tcPr>
            <w:tcW w:w="387" w:type="dxa"/>
            <w:vAlign w:val="center"/>
          </w:tcPr>
          <w:p>
            <w:pPr>
              <w:jc w:val="center"/>
            </w:pPr>
            <w:r>
              <w:rPr>
                <w:szCs w:val="21"/>
              </w:rPr>
              <w:t>2</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工业危险废物产生强度</w:t>
            </w:r>
            <w:r>
              <w:rPr>
                <w:rFonts w:hint="eastAsia" w:ascii="宋体" w:hAnsi="宋体" w:cs="宋体"/>
                <w:szCs w:val="21"/>
              </w:rPr>
              <w:t>★</w:t>
            </w:r>
          </w:p>
        </w:tc>
        <w:tc>
          <w:tcPr>
            <w:tcW w:w="708" w:type="dxa"/>
            <w:vAlign w:val="center"/>
          </w:tcPr>
          <w:p>
            <w:pPr>
              <w:jc w:val="center"/>
            </w:pPr>
            <w:r>
              <w:rPr>
                <w:szCs w:val="21"/>
              </w:rPr>
              <w:t>吨/万元</w:t>
            </w:r>
          </w:p>
        </w:tc>
        <w:tc>
          <w:tcPr>
            <w:tcW w:w="794" w:type="dxa"/>
            <w:vAlign w:val="center"/>
          </w:tcPr>
          <w:p>
            <w:pPr>
              <w:jc w:val="center"/>
            </w:pPr>
            <w:r>
              <w:rPr>
                <w:szCs w:val="21"/>
              </w:rPr>
              <w:t>/</w:t>
            </w:r>
          </w:p>
        </w:tc>
        <w:tc>
          <w:tcPr>
            <w:tcW w:w="794" w:type="dxa"/>
            <w:vAlign w:val="center"/>
          </w:tcPr>
          <w:p>
            <w:pPr>
              <w:jc w:val="center"/>
            </w:pPr>
            <w:r>
              <w:rPr>
                <w:szCs w:val="21"/>
              </w:rPr>
              <w:t>0.38</w:t>
            </w:r>
          </w:p>
        </w:tc>
        <w:tc>
          <w:tcPr>
            <w:tcW w:w="794" w:type="dxa"/>
            <w:vAlign w:val="center"/>
          </w:tcPr>
          <w:p>
            <w:pPr>
              <w:jc w:val="center"/>
            </w:pPr>
            <w:r>
              <w:rPr>
                <w:szCs w:val="21"/>
              </w:rPr>
              <w:t>稳步</w:t>
            </w:r>
          </w:p>
          <w:p>
            <w:pPr>
              <w:jc w:val="center"/>
            </w:pPr>
            <w:r>
              <w:rPr>
                <w:szCs w:val="21"/>
              </w:rPr>
              <w:t>降低</w:t>
            </w:r>
          </w:p>
        </w:tc>
        <w:tc>
          <w:tcPr>
            <w:tcW w:w="794" w:type="dxa"/>
            <w:vAlign w:val="center"/>
          </w:tcPr>
          <w:p>
            <w:pPr>
              <w:jc w:val="center"/>
            </w:pPr>
            <w:r>
              <w:rPr>
                <w:szCs w:val="21"/>
              </w:rPr>
              <w:t>稳步</w:t>
            </w:r>
          </w:p>
          <w:p>
            <w:pPr>
              <w:jc w:val="center"/>
            </w:pPr>
            <w:r>
              <w:rPr>
                <w:szCs w:val="21"/>
              </w:rPr>
              <w:t>降低</w:t>
            </w:r>
          </w:p>
        </w:tc>
        <w:tc>
          <w:tcPr>
            <w:tcW w:w="794" w:type="dxa"/>
            <w:vAlign w:val="center"/>
          </w:tcPr>
          <w:p>
            <w:pPr>
              <w:jc w:val="center"/>
            </w:pPr>
            <w:r>
              <w:rPr>
                <w:szCs w:val="21"/>
              </w:rPr>
              <w:t>稳步</w:t>
            </w:r>
          </w:p>
          <w:p>
            <w:pPr>
              <w:jc w:val="center"/>
            </w:pPr>
            <w:r>
              <w:rPr>
                <w:szCs w:val="21"/>
              </w:rPr>
              <w:t>降低</w:t>
            </w:r>
          </w:p>
        </w:tc>
        <w:tc>
          <w:tcPr>
            <w:tcW w:w="1644" w:type="dxa"/>
            <w:vAlign w:val="center"/>
          </w:tcPr>
          <w:p>
            <w:pPr>
              <w:jc w:val="center"/>
            </w:pPr>
            <w:r>
              <w:rPr>
                <w:szCs w:val="21"/>
              </w:rPr>
              <w:t>市生态环境局天桥分局、区统计局</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稳步降低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63" w:hRule="atLeast"/>
        </w:trPr>
        <w:tc>
          <w:tcPr>
            <w:tcW w:w="387" w:type="dxa"/>
            <w:vAlign w:val="center"/>
          </w:tcPr>
          <w:p>
            <w:pPr>
              <w:jc w:val="center"/>
            </w:pPr>
            <w:r>
              <w:rPr>
                <w:szCs w:val="21"/>
              </w:rPr>
              <w:t>3</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通过清洁生产审核评估工业企业占比</w:t>
            </w:r>
            <w:r>
              <w:rPr>
                <w:rFonts w:hint="eastAsia" w:ascii="宋体" w:hAnsi="宋体" w:cs="宋体"/>
                <w:szCs w:val="21"/>
              </w:rPr>
              <w:t>★</w:t>
            </w:r>
          </w:p>
        </w:tc>
        <w:tc>
          <w:tcPr>
            <w:tcW w:w="708" w:type="dxa"/>
            <w:vAlign w:val="center"/>
          </w:tcPr>
          <w:p>
            <w:pPr>
              <w:jc w:val="center"/>
            </w:pPr>
            <w:r>
              <w:rPr>
                <w:szCs w:val="21"/>
              </w:rPr>
              <w:t>%</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强制性清洁生产审核企业100%+自愿开展企业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42" w:hRule="atLeast"/>
        </w:trPr>
        <w:tc>
          <w:tcPr>
            <w:tcW w:w="387" w:type="dxa"/>
            <w:vAlign w:val="center"/>
          </w:tcPr>
          <w:p>
            <w:pPr>
              <w:jc w:val="center"/>
            </w:pPr>
            <w:r>
              <w:rPr>
                <w:szCs w:val="21"/>
              </w:rPr>
              <w:t>4</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开展绿色工厂建设的企业占比</w:t>
            </w:r>
          </w:p>
        </w:tc>
        <w:tc>
          <w:tcPr>
            <w:tcW w:w="708" w:type="dxa"/>
            <w:vAlign w:val="center"/>
          </w:tcPr>
          <w:p>
            <w:pPr>
              <w:jc w:val="center"/>
            </w:pPr>
            <w:r>
              <w:rPr>
                <w:szCs w:val="21"/>
              </w:rPr>
              <w:t>%</w:t>
            </w:r>
          </w:p>
        </w:tc>
        <w:tc>
          <w:tcPr>
            <w:tcW w:w="794" w:type="dxa"/>
            <w:vAlign w:val="center"/>
          </w:tcPr>
          <w:p>
            <w:pPr>
              <w:jc w:val="center"/>
            </w:pPr>
            <w:r>
              <w:rPr>
                <w:szCs w:val="21"/>
              </w:rPr>
              <w:t>0</w:t>
            </w:r>
          </w:p>
        </w:tc>
        <w:tc>
          <w:tcPr>
            <w:tcW w:w="794" w:type="dxa"/>
            <w:vAlign w:val="center"/>
          </w:tcPr>
          <w:p>
            <w:pPr>
              <w:jc w:val="center"/>
            </w:pPr>
            <w:r>
              <w:rPr>
                <w:szCs w:val="21"/>
              </w:rPr>
              <w:t>2.3</w:t>
            </w:r>
          </w:p>
        </w:tc>
        <w:tc>
          <w:tcPr>
            <w:tcW w:w="794" w:type="dxa"/>
            <w:vAlign w:val="center"/>
          </w:tcPr>
          <w:p>
            <w:pPr>
              <w:jc w:val="center"/>
            </w:pPr>
            <w:r>
              <w:rPr>
                <w:szCs w:val="21"/>
              </w:rPr>
              <w:t>3</w:t>
            </w:r>
          </w:p>
        </w:tc>
        <w:tc>
          <w:tcPr>
            <w:tcW w:w="794" w:type="dxa"/>
            <w:vAlign w:val="center"/>
          </w:tcPr>
          <w:p>
            <w:pPr>
              <w:jc w:val="center"/>
            </w:pPr>
            <w:r>
              <w:rPr>
                <w:szCs w:val="21"/>
              </w:rPr>
              <w:t>4</w:t>
            </w:r>
          </w:p>
        </w:tc>
        <w:tc>
          <w:tcPr>
            <w:tcW w:w="794" w:type="dxa"/>
            <w:vAlign w:val="center"/>
          </w:tcPr>
          <w:p>
            <w:pPr>
              <w:jc w:val="center"/>
            </w:pPr>
            <w:r>
              <w:rPr>
                <w:szCs w:val="21"/>
              </w:rPr>
              <w:t>5.6</w:t>
            </w:r>
          </w:p>
        </w:tc>
        <w:tc>
          <w:tcPr>
            <w:tcW w:w="1644" w:type="dxa"/>
            <w:vAlign w:val="center"/>
          </w:tcPr>
          <w:p>
            <w:pPr>
              <w:jc w:val="center"/>
            </w:pPr>
            <w:r>
              <w:rPr>
                <w:szCs w:val="21"/>
              </w:rPr>
              <w:t>区工业和信息化局</w:t>
            </w:r>
          </w:p>
        </w:tc>
        <w:tc>
          <w:tcPr>
            <w:tcW w:w="1644" w:type="dxa"/>
            <w:vAlign w:val="center"/>
          </w:tcPr>
          <w:p>
            <w:pPr>
              <w:jc w:val="center"/>
            </w:pPr>
            <w:r>
              <w:rPr>
                <w:szCs w:val="21"/>
              </w:rPr>
              <w:t>区工业和信息化局</w:t>
            </w:r>
          </w:p>
        </w:tc>
        <w:tc>
          <w:tcPr>
            <w:tcW w:w="1644" w:type="dxa"/>
            <w:vAlign w:val="center"/>
          </w:tcPr>
          <w:p>
            <w:pPr>
              <w:jc w:val="center"/>
            </w:pPr>
            <w:r>
              <w:rPr>
                <w:szCs w:val="21"/>
              </w:rPr>
              <w:t>2025年市级及以上绿色工厂达到7家(省级2家),市级占规上企业4%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05" w:hRule="atLeast"/>
        </w:trPr>
        <w:tc>
          <w:tcPr>
            <w:tcW w:w="387" w:type="dxa"/>
            <w:vAlign w:val="center"/>
          </w:tcPr>
          <w:p>
            <w:pPr>
              <w:jc w:val="center"/>
            </w:pPr>
            <w:r>
              <w:rPr>
                <w:szCs w:val="21"/>
              </w:rPr>
              <w:t>5</w:t>
            </w:r>
          </w:p>
        </w:tc>
        <w:tc>
          <w:tcPr>
            <w:tcW w:w="606" w:type="dxa"/>
            <w:vMerge w:val="continue"/>
            <w:vAlign w:val="center"/>
          </w:tcPr>
          <w:p>
            <w:pPr>
              <w:jc w:val="center"/>
            </w:pPr>
          </w:p>
        </w:tc>
        <w:tc>
          <w:tcPr>
            <w:tcW w:w="708" w:type="dxa"/>
            <w:vMerge w:val="continue"/>
            <w:tcBorders>
              <w:bottom w:val="single" w:color="000000" w:sz="4" w:space="0"/>
            </w:tcBorders>
            <w:vAlign w:val="center"/>
          </w:tcPr>
          <w:p>
            <w:pPr>
              <w:jc w:val="center"/>
            </w:pPr>
          </w:p>
        </w:tc>
        <w:tc>
          <w:tcPr>
            <w:tcW w:w="2127" w:type="dxa"/>
            <w:vAlign w:val="center"/>
          </w:tcPr>
          <w:p>
            <w:pPr>
              <w:jc w:val="center"/>
            </w:pPr>
            <w:r>
              <w:rPr>
                <w:szCs w:val="21"/>
              </w:rPr>
              <w:t>城市重点行业工业企业碳排放强度降低幅度</w:t>
            </w:r>
          </w:p>
        </w:tc>
        <w:tc>
          <w:tcPr>
            <w:tcW w:w="708"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完成省市目标任务</w:t>
            </w:r>
          </w:p>
        </w:tc>
        <w:tc>
          <w:tcPr>
            <w:tcW w:w="794" w:type="dxa"/>
            <w:vAlign w:val="center"/>
          </w:tcPr>
          <w:p>
            <w:pPr>
              <w:jc w:val="center"/>
            </w:pPr>
            <w:r>
              <w:rPr>
                <w:szCs w:val="21"/>
              </w:rPr>
              <w:t>完成省市目标任务</w:t>
            </w:r>
          </w:p>
        </w:tc>
        <w:tc>
          <w:tcPr>
            <w:tcW w:w="794" w:type="dxa"/>
            <w:vAlign w:val="center"/>
          </w:tcPr>
          <w:p>
            <w:pPr>
              <w:jc w:val="center"/>
            </w:pPr>
            <w:r>
              <w:rPr>
                <w:szCs w:val="21"/>
              </w:rPr>
              <w:t>完成省市目标任务</w:t>
            </w:r>
          </w:p>
        </w:tc>
        <w:tc>
          <w:tcPr>
            <w:tcW w:w="794" w:type="dxa"/>
            <w:vAlign w:val="center"/>
          </w:tcPr>
          <w:p>
            <w:pPr>
              <w:jc w:val="center"/>
            </w:pPr>
            <w:r>
              <w:rPr>
                <w:szCs w:val="21"/>
              </w:rPr>
              <w:t>完成省市目标任务</w:t>
            </w:r>
          </w:p>
        </w:tc>
        <w:tc>
          <w:tcPr>
            <w:tcW w:w="1644" w:type="dxa"/>
            <w:vAlign w:val="center"/>
          </w:tcPr>
          <w:p>
            <w:pPr>
              <w:jc w:val="center"/>
            </w:pPr>
            <w:r>
              <w:rPr>
                <w:szCs w:val="21"/>
              </w:rPr>
              <w:t>市生态环境局天桥分局、区统计局</w:t>
            </w:r>
          </w:p>
        </w:tc>
        <w:tc>
          <w:tcPr>
            <w:tcW w:w="1644" w:type="dxa"/>
            <w:vAlign w:val="center"/>
          </w:tcPr>
          <w:p>
            <w:pPr>
              <w:jc w:val="center"/>
            </w:pPr>
            <w:r>
              <w:rPr>
                <w:szCs w:val="21"/>
              </w:rPr>
              <w:t>市生态环境局天桥分局</w:t>
            </w:r>
          </w:p>
        </w:tc>
        <w:tc>
          <w:tcPr>
            <w:tcW w:w="16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0" w:hRule="atLeast"/>
        </w:trPr>
        <w:tc>
          <w:tcPr>
            <w:tcW w:w="387" w:type="dxa"/>
            <w:vAlign w:val="center"/>
          </w:tcPr>
          <w:p>
            <w:pPr>
              <w:jc w:val="center"/>
            </w:pPr>
            <w:r>
              <w:rPr>
                <w:szCs w:val="21"/>
              </w:rPr>
              <w:t>6</w:t>
            </w:r>
          </w:p>
        </w:tc>
        <w:tc>
          <w:tcPr>
            <w:tcW w:w="606" w:type="dxa"/>
            <w:vMerge w:val="continue"/>
            <w:vAlign w:val="center"/>
          </w:tcPr>
          <w:p>
            <w:pPr>
              <w:jc w:val="center"/>
            </w:pPr>
          </w:p>
        </w:tc>
        <w:tc>
          <w:tcPr>
            <w:tcW w:w="708" w:type="dxa"/>
            <w:vMerge w:val="restart"/>
            <w:tcBorders>
              <w:top w:val="single" w:color="000000" w:sz="4" w:space="0"/>
            </w:tcBorders>
            <w:vAlign w:val="center"/>
          </w:tcPr>
          <w:p>
            <w:pPr>
              <w:jc w:val="center"/>
            </w:pPr>
            <w:r>
              <w:rPr>
                <w:szCs w:val="21"/>
              </w:rPr>
              <w:t>农业源头减量</w:t>
            </w:r>
          </w:p>
        </w:tc>
        <w:tc>
          <w:tcPr>
            <w:tcW w:w="2127" w:type="dxa"/>
            <w:vAlign w:val="center"/>
          </w:tcPr>
          <w:p>
            <w:pPr>
              <w:jc w:val="center"/>
            </w:pPr>
            <w:r>
              <w:rPr>
                <w:szCs w:val="21"/>
              </w:rPr>
              <w:t>“三品一标”产品认证数量</w:t>
            </w:r>
          </w:p>
        </w:tc>
        <w:tc>
          <w:tcPr>
            <w:tcW w:w="708" w:type="dxa"/>
            <w:vAlign w:val="center"/>
          </w:tcPr>
          <w:p>
            <w:pPr>
              <w:jc w:val="center"/>
            </w:pPr>
            <w:r>
              <w:rPr>
                <w:szCs w:val="21"/>
              </w:rPr>
              <w:t>个</w:t>
            </w:r>
          </w:p>
        </w:tc>
        <w:tc>
          <w:tcPr>
            <w:tcW w:w="794" w:type="dxa"/>
            <w:vAlign w:val="center"/>
          </w:tcPr>
          <w:p>
            <w:pPr>
              <w:jc w:val="center"/>
            </w:pPr>
            <w:r>
              <w:rPr>
                <w:szCs w:val="21"/>
              </w:rPr>
              <w:t>11</w:t>
            </w:r>
          </w:p>
        </w:tc>
        <w:tc>
          <w:tcPr>
            <w:tcW w:w="794" w:type="dxa"/>
            <w:vAlign w:val="center"/>
          </w:tcPr>
          <w:p>
            <w:pPr>
              <w:jc w:val="center"/>
            </w:pPr>
            <w:r>
              <w:rPr>
                <w:szCs w:val="21"/>
              </w:rPr>
              <w:t>稳步</w:t>
            </w:r>
          </w:p>
          <w:p>
            <w:pPr>
              <w:jc w:val="center"/>
            </w:pPr>
            <w:r>
              <w:rPr>
                <w:szCs w:val="21"/>
              </w:rPr>
              <w:t>推进</w:t>
            </w:r>
          </w:p>
        </w:tc>
        <w:tc>
          <w:tcPr>
            <w:tcW w:w="794" w:type="dxa"/>
            <w:vAlign w:val="center"/>
          </w:tcPr>
          <w:p>
            <w:pPr>
              <w:jc w:val="center"/>
            </w:pPr>
            <w:r>
              <w:rPr>
                <w:szCs w:val="21"/>
              </w:rPr>
              <w:t>稳步</w:t>
            </w:r>
          </w:p>
          <w:p>
            <w:pPr>
              <w:jc w:val="center"/>
            </w:pPr>
            <w:r>
              <w:rPr>
                <w:szCs w:val="21"/>
              </w:rPr>
              <w:t>推进</w:t>
            </w:r>
          </w:p>
        </w:tc>
        <w:tc>
          <w:tcPr>
            <w:tcW w:w="794" w:type="dxa"/>
            <w:vAlign w:val="center"/>
          </w:tcPr>
          <w:p>
            <w:pPr>
              <w:jc w:val="center"/>
            </w:pPr>
            <w:r>
              <w:rPr>
                <w:szCs w:val="21"/>
              </w:rPr>
              <w:t>稳步</w:t>
            </w:r>
          </w:p>
          <w:p>
            <w:pPr>
              <w:jc w:val="center"/>
            </w:pPr>
            <w:r>
              <w:rPr>
                <w:szCs w:val="21"/>
              </w:rPr>
              <w:t>推进</w:t>
            </w:r>
          </w:p>
        </w:tc>
        <w:tc>
          <w:tcPr>
            <w:tcW w:w="794" w:type="dxa"/>
            <w:vAlign w:val="center"/>
          </w:tcPr>
          <w:p>
            <w:pPr>
              <w:jc w:val="center"/>
            </w:pPr>
            <w:r>
              <w:rPr>
                <w:szCs w:val="21"/>
              </w:rPr>
              <w:t>稳步</w:t>
            </w:r>
          </w:p>
          <w:p>
            <w:pPr>
              <w:jc w:val="center"/>
            </w:pPr>
            <w:r>
              <w:rPr>
                <w:szCs w:val="21"/>
              </w:rPr>
              <w:t>推进</w:t>
            </w:r>
          </w:p>
        </w:tc>
        <w:tc>
          <w:tcPr>
            <w:tcW w:w="1644" w:type="dxa"/>
            <w:vAlign w:val="center"/>
          </w:tcPr>
          <w:p>
            <w:pPr>
              <w:jc w:val="center"/>
            </w:pPr>
            <w:r>
              <w:rPr>
                <w:szCs w:val="21"/>
              </w:rPr>
              <w:t>区农业农村局</w:t>
            </w:r>
          </w:p>
        </w:tc>
        <w:tc>
          <w:tcPr>
            <w:tcW w:w="1644" w:type="dxa"/>
            <w:vAlign w:val="center"/>
          </w:tcPr>
          <w:p>
            <w:pPr>
              <w:jc w:val="center"/>
            </w:pPr>
            <w:r>
              <w:rPr>
                <w:szCs w:val="21"/>
              </w:rPr>
              <w:t>区农业农村局</w:t>
            </w:r>
          </w:p>
        </w:tc>
        <w:tc>
          <w:tcPr>
            <w:tcW w:w="1644" w:type="dxa"/>
            <w:vAlign w:val="center"/>
          </w:tcPr>
          <w:p>
            <w:pPr>
              <w:jc w:val="center"/>
            </w:pPr>
            <w:r>
              <w:rPr>
                <w:szCs w:val="21"/>
              </w:rPr>
              <w:t>稳步</w:t>
            </w:r>
          </w:p>
          <w:p>
            <w:pPr>
              <w:jc w:val="center"/>
            </w:pPr>
            <w:r>
              <w:rPr>
                <w:szCs w:val="21"/>
              </w:rPr>
              <w:t>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trPr>
        <w:tc>
          <w:tcPr>
            <w:tcW w:w="387" w:type="dxa"/>
            <w:vAlign w:val="center"/>
          </w:tcPr>
          <w:p>
            <w:pPr>
              <w:jc w:val="center"/>
            </w:pPr>
            <w:r>
              <w:rPr>
                <w:szCs w:val="21"/>
              </w:rPr>
              <w:t>7</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畜禽养殖标准化示范场占比</w:t>
            </w:r>
          </w:p>
        </w:tc>
        <w:tc>
          <w:tcPr>
            <w:tcW w:w="708" w:type="dxa"/>
            <w:vAlign w:val="center"/>
          </w:tcPr>
          <w:p>
            <w:pPr>
              <w:jc w:val="center"/>
            </w:pPr>
            <w:r>
              <w:rPr>
                <w:szCs w:val="21"/>
              </w:rPr>
              <w:t>%</w:t>
            </w:r>
          </w:p>
        </w:tc>
        <w:tc>
          <w:tcPr>
            <w:tcW w:w="794" w:type="dxa"/>
            <w:vAlign w:val="center"/>
          </w:tcPr>
          <w:p>
            <w:pPr>
              <w:jc w:val="center"/>
            </w:pPr>
            <w:r>
              <w:rPr>
                <w:szCs w:val="21"/>
              </w:rPr>
              <w:t>30.87</w:t>
            </w:r>
          </w:p>
        </w:tc>
        <w:tc>
          <w:tcPr>
            <w:tcW w:w="794" w:type="dxa"/>
            <w:vAlign w:val="center"/>
          </w:tcPr>
          <w:p>
            <w:pPr>
              <w:jc w:val="center"/>
            </w:pPr>
            <w:r>
              <w:rPr>
                <w:szCs w:val="21"/>
              </w:rPr>
              <w:t>31</w:t>
            </w:r>
          </w:p>
        </w:tc>
        <w:tc>
          <w:tcPr>
            <w:tcW w:w="794" w:type="dxa"/>
            <w:vAlign w:val="center"/>
          </w:tcPr>
          <w:p>
            <w:pPr>
              <w:jc w:val="center"/>
            </w:pPr>
            <w:r>
              <w:rPr>
                <w:szCs w:val="21"/>
              </w:rPr>
              <w:t>31.5</w:t>
            </w:r>
          </w:p>
        </w:tc>
        <w:tc>
          <w:tcPr>
            <w:tcW w:w="794" w:type="dxa"/>
            <w:vAlign w:val="center"/>
          </w:tcPr>
          <w:p>
            <w:pPr>
              <w:jc w:val="center"/>
            </w:pPr>
            <w:r>
              <w:rPr>
                <w:szCs w:val="21"/>
              </w:rPr>
              <w:t>31.8</w:t>
            </w:r>
          </w:p>
        </w:tc>
        <w:tc>
          <w:tcPr>
            <w:tcW w:w="794" w:type="dxa"/>
            <w:vAlign w:val="center"/>
          </w:tcPr>
          <w:p>
            <w:pPr>
              <w:jc w:val="center"/>
            </w:pPr>
            <w:r>
              <w:rPr>
                <w:szCs w:val="21"/>
              </w:rPr>
              <w:t>32</w:t>
            </w:r>
          </w:p>
        </w:tc>
        <w:tc>
          <w:tcPr>
            <w:tcW w:w="1644" w:type="dxa"/>
            <w:vAlign w:val="center"/>
          </w:tcPr>
          <w:p>
            <w:pPr>
              <w:jc w:val="center"/>
            </w:pPr>
            <w:r>
              <w:rPr>
                <w:szCs w:val="21"/>
              </w:rPr>
              <w:t>区农业农村局</w:t>
            </w:r>
          </w:p>
        </w:tc>
        <w:tc>
          <w:tcPr>
            <w:tcW w:w="1644" w:type="dxa"/>
            <w:vAlign w:val="center"/>
          </w:tcPr>
          <w:p>
            <w:pPr>
              <w:jc w:val="center"/>
            </w:pPr>
            <w:r>
              <w:rPr>
                <w:szCs w:val="21"/>
              </w:rPr>
              <w:t>区农业农村局</w:t>
            </w:r>
          </w:p>
        </w:tc>
        <w:tc>
          <w:tcPr>
            <w:tcW w:w="1644" w:type="dxa"/>
            <w:vAlign w:val="center"/>
          </w:tcPr>
          <w:p>
            <w:pPr>
              <w:jc w:val="center"/>
            </w:pPr>
            <w:r>
              <w:rPr>
                <w:szCs w:val="21"/>
              </w:rPr>
              <w:t>稳步推进</w:t>
            </w:r>
          </w:p>
        </w:tc>
      </w:tr>
    </w:tbl>
    <w:p>
      <w:pPr>
        <w:pStyle w:val="2"/>
      </w:pPr>
    </w:p>
    <w:tbl>
      <w:tblPr>
        <w:tblStyle w:val="18"/>
        <w:tblW w:w="134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7"/>
        <w:gridCol w:w="606"/>
        <w:gridCol w:w="708"/>
        <w:gridCol w:w="2127"/>
        <w:gridCol w:w="708"/>
        <w:gridCol w:w="794"/>
        <w:gridCol w:w="794"/>
        <w:gridCol w:w="794"/>
        <w:gridCol w:w="794"/>
        <w:gridCol w:w="794"/>
        <w:gridCol w:w="1644"/>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87" w:type="dxa"/>
            <w:textDirection w:val="tbRlV"/>
            <w:vAlign w:val="center"/>
          </w:tcPr>
          <w:p>
            <w:pPr>
              <w:jc w:val="center"/>
              <w:rPr>
                <w:rFonts w:eastAsia="黑体"/>
                <w:w w:val="90"/>
                <w:sz w:val="24"/>
                <w:szCs w:val="18"/>
              </w:rPr>
            </w:pPr>
            <w:r>
              <w:rPr>
                <w:rFonts w:eastAsia="黑体"/>
                <w:w w:val="90"/>
                <w:sz w:val="24"/>
                <w:szCs w:val="18"/>
              </w:rPr>
              <w:t>序号</w:t>
            </w:r>
          </w:p>
        </w:tc>
        <w:tc>
          <w:tcPr>
            <w:tcW w:w="606" w:type="dxa"/>
            <w:vAlign w:val="center"/>
          </w:tcPr>
          <w:p>
            <w:pPr>
              <w:jc w:val="center"/>
              <w:rPr>
                <w:rFonts w:eastAsia="黑体"/>
                <w:sz w:val="24"/>
                <w:szCs w:val="18"/>
              </w:rPr>
            </w:pPr>
            <w:r>
              <w:rPr>
                <w:rFonts w:eastAsia="黑体"/>
                <w:sz w:val="24"/>
                <w:szCs w:val="18"/>
              </w:rPr>
              <w:t>一级</w:t>
            </w:r>
          </w:p>
          <w:p>
            <w:pPr>
              <w:jc w:val="center"/>
              <w:rPr>
                <w:rFonts w:eastAsia="黑体"/>
                <w:sz w:val="24"/>
                <w:szCs w:val="18"/>
              </w:rPr>
            </w:pPr>
            <w:r>
              <w:rPr>
                <w:rFonts w:eastAsia="黑体"/>
                <w:sz w:val="24"/>
                <w:szCs w:val="18"/>
              </w:rPr>
              <w:t>指标</w:t>
            </w:r>
          </w:p>
        </w:tc>
        <w:tc>
          <w:tcPr>
            <w:tcW w:w="708" w:type="dxa"/>
            <w:vAlign w:val="center"/>
          </w:tcPr>
          <w:p>
            <w:pPr>
              <w:jc w:val="center"/>
              <w:rPr>
                <w:rFonts w:eastAsia="黑体"/>
                <w:sz w:val="24"/>
                <w:szCs w:val="18"/>
              </w:rPr>
            </w:pPr>
            <w:r>
              <w:rPr>
                <w:rFonts w:eastAsia="黑体"/>
                <w:sz w:val="24"/>
                <w:szCs w:val="18"/>
              </w:rPr>
              <w:t>二级</w:t>
            </w:r>
          </w:p>
          <w:p>
            <w:pPr>
              <w:jc w:val="center"/>
              <w:rPr>
                <w:rFonts w:eastAsia="黑体"/>
                <w:sz w:val="24"/>
                <w:szCs w:val="18"/>
              </w:rPr>
            </w:pPr>
            <w:r>
              <w:rPr>
                <w:rFonts w:eastAsia="黑体"/>
                <w:sz w:val="24"/>
                <w:szCs w:val="18"/>
              </w:rPr>
              <w:t>指标</w:t>
            </w:r>
          </w:p>
        </w:tc>
        <w:tc>
          <w:tcPr>
            <w:tcW w:w="2127" w:type="dxa"/>
            <w:vAlign w:val="center"/>
          </w:tcPr>
          <w:p>
            <w:pPr>
              <w:jc w:val="center"/>
              <w:rPr>
                <w:rFonts w:eastAsia="黑体"/>
                <w:sz w:val="24"/>
                <w:szCs w:val="18"/>
              </w:rPr>
            </w:pPr>
            <w:r>
              <w:rPr>
                <w:rFonts w:eastAsia="黑体"/>
                <w:sz w:val="24"/>
                <w:szCs w:val="18"/>
              </w:rPr>
              <w:t>三级指标</w:t>
            </w:r>
          </w:p>
        </w:tc>
        <w:tc>
          <w:tcPr>
            <w:tcW w:w="708" w:type="dxa"/>
            <w:vAlign w:val="center"/>
          </w:tcPr>
          <w:p>
            <w:pPr>
              <w:jc w:val="center"/>
              <w:rPr>
                <w:rFonts w:eastAsia="黑体"/>
                <w:sz w:val="24"/>
                <w:szCs w:val="18"/>
              </w:rPr>
            </w:pPr>
            <w:r>
              <w:rPr>
                <w:rFonts w:eastAsia="黑体"/>
                <w:sz w:val="24"/>
                <w:szCs w:val="18"/>
              </w:rPr>
              <w:t>单位</w:t>
            </w:r>
          </w:p>
        </w:tc>
        <w:tc>
          <w:tcPr>
            <w:tcW w:w="794" w:type="dxa"/>
            <w:vAlign w:val="center"/>
          </w:tcPr>
          <w:p>
            <w:pPr>
              <w:jc w:val="center"/>
              <w:rPr>
                <w:rFonts w:eastAsia="黑体"/>
                <w:sz w:val="24"/>
                <w:szCs w:val="18"/>
              </w:rPr>
            </w:pPr>
            <w:r>
              <w:rPr>
                <w:rFonts w:eastAsia="黑体"/>
                <w:sz w:val="24"/>
                <w:szCs w:val="18"/>
              </w:rPr>
              <w:t>2020年</w:t>
            </w:r>
          </w:p>
        </w:tc>
        <w:tc>
          <w:tcPr>
            <w:tcW w:w="794" w:type="dxa"/>
            <w:vAlign w:val="center"/>
          </w:tcPr>
          <w:p>
            <w:pPr>
              <w:jc w:val="center"/>
              <w:rPr>
                <w:rFonts w:eastAsia="黑体"/>
                <w:sz w:val="24"/>
                <w:szCs w:val="18"/>
              </w:rPr>
            </w:pPr>
            <w:r>
              <w:rPr>
                <w:rFonts w:eastAsia="黑体"/>
                <w:sz w:val="24"/>
                <w:szCs w:val="18"/>
              </w:rPr>
              <w:t>2022年</w:t>
            </w:r>
          </w:p>
        </w:tc>
        <w:tc>
          <w:tcPr>
            <w:tcW w:w="794" w:type="dxa"/>
            <w:vAlign w:val="center"/>
          </w:tcPr>
          <w:p>
            <w:pPr>
              <w:jc w:val="center"/>
              <w:rPr>
                <w:rFonts w:eastAsia="黑体"/>
                <w:sz w:val="24"/>
                <w:szCs w:val="18"/>
              </w:rPr>
            </w:pPr>
            <w:r>
              <w:rPr>
                <w:rFonts w:eastAsia="黑体"/>
                <w:sz w:val="24"/>
                <w:szCs w:val="18"/>
              </w:rPr>
              <w:t>2023年</w:t>
            </w:r>
          </w:p>
        </w:tc>
        <w:tc>
          <w:tcPr>
            <w:tcW w:w="794" w:type="dxa"/>
            <w:vAlign w:val="center"/>
          </w:tcPr>
          <w:p>
            <w:pPr>
              <w:jc w:val="center"/>
              <w:rPr>
                <w:rFonts w:eastAsia="黑体"/>
                <w:sz w:val="24"/>
                <w:szCs w:val="18"/>
              </w:rPr>
            </w:pPr>
            <w:r>
              <w:rPr>
                <w:rFonts w:eastAsia="黑体"/>
                <w:sz w:val="24"/>
                <w:szCs w:val="18"/>
              </w:rPr>
              <w:t>2024年</w:t>
            </w:r>
          </w:p>
        </w:tc>
        <w:tc>
          <w:tcPr>
            <w:tcW w:w="794" w:type="dxa"/>
            <w:vAlign w:val="center"/>
          </w:tcPr>
          <w:p>
            <w:pPr>
              <w:jc w:val="center"/>
              <w:rPr>
                <w:rFonts w:eastAsia="黑体"/>
                <w:sz w:val="24"/>
                <w:szCs w:val="18"/>
              </w:rPr>
            </w:pPr>
            <w:r>
              <w:rPr>
                <w:rFonts w:eastAsia="黑体"/>
                <w:sz w:val="24"/>
                <w:szCs w:val="18"/>
              </w:rPr>
              <w:t>2025年</w:t>
            </w:r>
          </w:p>
        </w:tc>
        <w:tc>
          <w:tcPr>
            <w:tcW w:w="1644" w:type="dxa"/>
            <w:vAlign w:val="center"/>
          </w:tcPr>
          <w:p>
            <w:pPr>
              <w:jc w:val="center"/>
              <w:rPr>
                <w:rFonts w:eastAsia="黑体"/>
                <w:sz w:val="24"/>
                <w:szCs w:val="18"/>
              </w:rPr>
            </w:pPr>
            <w:r>
              <w:rPr>
                <w:rFonts w:eastAsia="黑体"/>
                <w:sz w:val="24"/>
                <w:szCs w:val="18"/>
              </w:rPr>
              <w:t>数据来源部门</w:t>
            </w:r>
          </w:p>
        </w:tc>
        <w:tc>
          <w:tcPr>
            <w:tcW w:w="1644" w:type="dxa"/>
            <w:vAlign w:val="center"/>
          </w:tcPr>
          <w:p>
            <w:pPr>
              <w:jc w:val="center"/>
              <w:rPr>
                <w:rFonts w:eastAsia="黑体"/>
                <w:sz w:val="24"/>
                <w:szCs w:val="18"/>
              </w:rPr>
            </w:pPr>
            <w:r>
              <w:rPr>
                <w:rFonts w:eastAsia="黑体"/>
                <w:sz w:val="24"/>
                <w:szCs w:val="18"/>
              </w:rPr>
              <w:t>责任部门</w:t>
            </w:r>
          </w:p>
        </w:tc>
        <w:tc>
          <w:tcPr>
            <w:tcW w:w="1644" w:type="dxa"/>
            <w:vAlign w:val="center"/>
          </w:tcPr>
          <w:p>
            <w:pPr>
              <w:jc w:val="center"/>
              <w:rPr>
                <w:rFonts w:eastAsia="黑体"/>
                <w:sz w:val="24"/>
                <w:szCs w:val="18"/>
              </w:rPr>
            </w:pPr>
            <w:r>
              <w:rPr>
                <w:rFonts w:eastAsia="黑体"/>
                <w:sz w:val="24"/>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17" w:hRule="atLeast"/>
        </w:trPr>
        <w:tc>
          <w:tcPr>
            <w:tcW w:w="387" w:type="dxa"/>
            <w:vAlign w:val="center"/>
          </w:tcPr>
          <w:p>
            <w:pPr>
              <w:jc w:val="center"/>
            </w:pPr>
            <w:r>
              <w:rPr>
                <w:szCs w:val="21"/>
              </w:rPr>
              <w:t>8</w:t>
            </w:r>
          </w:p>
        </w:tc>
        <w:tc>
          <w:tcPr>
            <w:tcW w:w="606" w:type="dxa"/>
            <w:vMerge w:val="restart"/>
            <w:vAlign w:val="center"/>
          </w:tcPr>
          <w:p>
            <w:pPr>
              <w:jc w:val="center"/>
            </w:pPr>
            <w:r>
              <w:rPr>
                <w:szCs w:val="21"/>
              </w:rPr>
              <w:t>固体废物源头减量</w:t>
            </w:r>
          </w:p>
        </w:tc>
        <w:tc>
          <w:tcPr>
            <w:tcW w:w="708" w:type="dxa"/>
            <w:vMerge w:val="restart"/>
            <w:vAlign w:val="center"/>
          </w:tcPr>
          <w:p>
            <w:pPr>
              <w:jc w:val="center"/>
            </w:pPr>
            <w:r>
              <w:rPr>
                <w:szCs w:val="21"/>
              </w:rPr>
              <w:t>建筑业源头减量</w:t>
            </w:r>
          </w:p>
        </w:tc>
        <w:tc>
          <w:tcPr>
            <w:tcW w:w="2127" w:type="dxa"/>
            <w:vAlign w:val="center"/>
          </w:tcPr>
          <w:p>
            <w:pPr>
              <w:jc w:val="center"/>
            </w:pPr>
            <w:r>
              <w:rPr>
                <w:szCs w:val="21"/>
              </w:rPr>
              <w:t>绿色建筑占新建建筑的比例</w:t>
            </w:r>
            <w:r>
              <w:rPr>
                <w:rFonts w:hint="eastAsia" w:ascii="宋体" w:hAnsi="宋体" w:cs="宋体"/>
                <w:szCs w:val="21"/>
              </w:rPr>
              <w:t>★</w:t>
            </w:r>
          </w:p>
        </w:tc>
        <w:tc>
          <w:tcPr>
            <w:tcW w:w="708" w:type="dxa"/>
            <w:vAlign w:val="center"/>
          </w:tcPr>
          <w:p>
            <w:pPr>
              <w:jc w:val="center"/>
            </w:pPr>
            <w:r>
              <w:rPr>
                <w:szCs w:val="21"/>
              </w:rPr>
              <w:t>%</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1644" w:type="dxa"/>
            <w:vAlign w:val="center"/>
          </w:tcPr>
          <w:p>
            <w:pPr>
              <w:jc w:val="center"/>
            </w:pPr>
            <w:r>
              <w:rPr>
                <w:szCs w:val="21"/>
              </w:rPr>
              <w:t>区住房和城乡建设局</w:t>
            </w:r>
          </w:p>
        </w:tc>
        <w:tc>
          <w:tcPr>
            <w:tcW w:w="1644" w:type="dxa"/>
            <w:vAlign w:val="center"/>
          </w:tcPr>
          <w:p>
            <w:pPr>
              <w:jc w:val="center"/>
            </w:pPr>
            <w:r>
              <w:rPr>
                <w:szCs w:val="21"/>
              </w:rPr>
              <w:t>区住房和城乡建设局</w:t>
            </w:r>
          </w:p>
        </w:tc>
        <w:tc>
          <w:tcPr>
            <w:tcW w:w="1644" w:type="dxa"/>
            <w:vAlign w:val="center"/>
          </w:tcPr>
          <w:p>
            <w:pPr>
              <w:jc w:val="center"/>
            </w:pPr>
            <w:r>
              <w:rPr>
                <w:szCs w:val="21"/>
              </w:rPr>
              <w:t>按省市要求执行。城镇新建民用建筑,绿色建筑</w:t>
            </w:r>
          </w:p>
          <w:p>
            <w:pPr>
              <w:jc w:val="center"/>
            </w:pPr>
            <w:r>
              <w:rPr>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17" w:hRule="atLeast"/>
        </w:trPr>
        <w:tc>
          <w:tcPr>
            <w:tcW w:w="387" w:type="dxa"/>
            <w:vAlign w:val="center"/>
          </w:tcPr>
          <w:p>
            <w:pPr>
              <w:jc w:val="center"/>
            </w:pPr>
            <w:r>
              <w:rPr>
                <w:szCs w:val="21"/>
              </w:rPr>
              <w:t>9</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装配式建筑占新建建筑的比例</w:t>
            </w:r>
          </w:p>
        </w:tc>
        <w:tc>
          <w:tcPr>
            <w:tcW w:w="708" w:type="dxa"/>
            <w:vAlign w:val="center"/>
          </w:tcPr>
          <w:p>
            <w:pPr>
              <w:jc w:val="center"/>
            </w:pPr>
            <w:r>
              <w:rPr>
                <w:szCs w:val="21"/>
              </w:rPr>
              <w:t>%</w:t>
            </w:r>
          </w:p>
        </w:tc>
        <w:tc>
          <w:tcPr>
            <w:tcW w:w="794" w:type="dxa"/>
            <w:vAlign w:val="center"/>
          </w:tcPr>
          <w:p>
            <w:pPr>
              <w:jc w:val="center"/>
            </w:pPr>
            <w:r>
              <w:rPr>
                <w:szCs w:val="21"/>
              </w:rPr>
              <w:t>30</w:t>
            </w:r>
          </w:p>
        </w:tc>
        <w:tc>
          <w:tcPr>
            <w:tcW w:w="794" w:type="dxa"/>
            <w:vAlign w:val="center"/>
          </w:tcPr>
          <w:p>
            <w:pPr>
              <w:jc w:val="center"/>
            </w:pPr>
            <w:r>
              <w:rPr>
                <w:szCs w:val="21"/>
              </w:rPr>
              <w:t>50</w:t>
            </w:r>
          </w:p>
        </w:tc>
        <w:tc>
          <w:tcPr>
            <w:tcW w:w="794" w:type="dxa"/>
            <w:vAlign w:val="center"/>
          </w:tcPr>
          <w:p>
            <w:pPr>
              <w:jc w:val="center"/>
            </w:pPr>
            <w:r>
              <w:rPr>
                <w:szCs w:val="21"/>
              </w:rPr>
              <w:t>50</w:t>
            </w:r>
          </w:p>
        </w:tc>
        <w:tc>
          <w:tcPr>
            <w:tcW w:w="794" w:type="dxa"/>
            <w:vAlign w:val="center"/>
          </w:tcPr>
          <w:p>
            <w:pPr>
              <w:jc w:val="center"/>
            </w:pPr>
            <w:r>
              <w:rPr>
                <w:szCs w:val="21"/>
              </w:rPr>
              <w:t>50</w:t>
            </w:r>
          </w:p>
        </w:tc>
        <w:tc>
          <w:tcPr>
            <w:tcW w:w="794" w:type="dxa"/>
            <w:vAlign w:val="center"/>
          </w:tcPr>
          <w:p>
            <w:pPr>
              <w:jc w:val="center"/>
            </w:pPr>
            <w:r>
              <w:rPr>
                <w:szCs w:val="21"/>
              </w:rPr>
              <w:t>50</w:t>
            </w:r>
          </w:p>
        </w:tc>
        <w:tc>
          <w:tcPr>
            <w:tcW w:w="1644" w:type="dxa"/>
            <w:vAlign w:val="center"/>
          </w:tcPr>
          <w:p>
            <w:pPr>
              <w:jc w:val="center"/>
            </w:pPr>
            <w:r>
              <w:rPr>
                <w:szCs w:val="21"/>
              </w:rPr>
              <w:t>区住房和城乡建设局</w:t>
            </w:r>
          </w:p>
        </w:tc>
        <w:tc>
          <w:tcPr>
            <w:tcW w:w="1644" w:type="dxa"/>
            <w:vAlign w:val="center"/>
          </w:tcPr>
          <w:p>
            <w:pPr>
              <w:jc w:val="center"/>
            </w:pPr>
            <w:r>
              <w:rPr>
                <w:szCs w:val="21"/>
              </w:rPr>
              <w:t>区住房和城乡建设局</w:t>
            </w:r>
          </w:p>
        </w:tc>
        <w:tc>
          <w:tcPr>
            <w:tcW w:w="1644" w:type="dxa"/>
            <w:vAlign w:val="center"/>
          </w:tcPr>
          <w:p>
            <w:pPr>
              <w:jc w:val="center"/>
            </w:pPr>
            <w:r>
              <w:rPr>
                <w:szCs w:val="21"/>
              </w:rPr>
              <w:t>按省市要求执行。城镇新建民用建筑，新开工装配式50%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17" w:hRule="atLeast"/>
        </w:trPr>
        <w:tc>
          <w:tcPr>
            <w:tcW w:w="387" w:type="dxa"/>
            <w:vAlign w:val="center"/>
          </w:tcPr>
          <w:p>
            <w:pPr>
              <w:jc w:val="center"/>
            </w:pPr>
            <w:r>
              <w:rPr>
                <w:szCs w:val="21"/>
              </w:rPr>
              <w:t>10</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新建建筑施工现场建筑废弃物(不包括工程渣土、工程泥浆)排放量</w:t>
            </w:r>
          </w:p>
        </w:tc>
        <w:tc>
          <w:tcPr>
            <w:tcW w:w="708" w:type="dxa"/>
            <w:vAlign w:val="center"/>
          </w:tcPr>
          <w:p>
            <w:pPr>
              <w:jc w:val="center"/>
            </w:pPr>
            <w:r>
              <w:rPr>
                <w:szCs w:val="21"/>
              </w:rPr>
              <w:t>吨/万平方米</w:t>
            </w:r>
          </w:p>
        </w:tc>
        <w:tc>
          <w:tcPr>
            <w:tcW w:w="794" w:type="dxa"/>
            <w:vAlign w:val="center"/>
          </w:tcPr>
          <w:p>
            <w:pPr>
              <w:jc w:val="center"/>
            </w:pPr>
            <w:r>
              <w:rPr>
                <w:szCs w:val="21"/>
              </w:rPr>
              <w:t>/</w:t>
            </w:r>
          </w:p>
        </w:tc>
        <w:tc>
          <w:tcPr>
            <w:tcW w:w="794" w:type="dxa"/>
            <w:vAlign w:val="center"/>
          </w:tcPr>
          <w:p>
            <w:pPr>
              <w:jc w:val="center"/>
            </w:pPr>
            <w:r>
              <w:rPr>
                <w:szCs w:val="21"/>
              </w:rPr>
              <w:t>≤300</w:t>
            </w:r>
          </w:p>
        </w:tc>
        <w:tc>
          <w:tcPr>
            <w:tcW w:w="794" w:type="dxa"/>
            <w:vAlign w:val="center"/>
          </w:tcPr>
          <w:p>
            <w:pPr>
              <w:jc w:val="center"/>
            </w:pPr>
            <w:r>
              <w:rPr>
                <w:szCs w:val="21"/>
              </w:rPr>
              <w:t>≤300</w:t>
            </w:r>
          </w:p>
        </w:tc>
        <w:tc>
          <w:tcPr>
            <w:tcW w:w="794" w:type="dxa"/>
            <w:vAlign w:val="center"/>
          </w:tcPr>
          <w:p>
            <w:pPr>
              <w:jc w:val="center"/>
            </w:pPr>
            <w:r>
              <w:rPr>
                <w:szCs w:val="21"/>
              </w:rPr>
              <w:t>≤300</w:t>
            </w:r>
          </w:p>
        </w:tc>
        <w:tc>
          <w:tcPr>
            <w:tcW w:w="794" w:type="dxa"/>
            <w:vAlign w:val="center"/>
          </w:tcPr>
          <w:p>
            <w:pPr>
              <w:jc w:val="center"/>
            </w:pPr>
            <w:r>
              <w:rPr>
                <w:szCs w:val="21"/>
              </w:rPr>
              <w:t>≤300</w:t>
            </w:r>
          </w:p>
        </w:tc>
        <w:tc>
          <w:tcPr>
            <w:tcW w:w="1644" w:type="dxa"/>
            <w:vAlign w:val="center"/>
          </w:tcPr>
          <w:p>
            <w:pPr>
              <w:jc w:val="center"/>
            </w:pPr>
            <w:r>
              <w:rPr>
                <w:szCs w:val="21"/>
              </w:rPr>
              <w:t>区住房和城乡建设局</w:t>
            </w:r>
          </w:p>
        </w:tc>
        <w:tc>
          <w:tcPr>
            <w:tcW w:w="1644" w:type="dxa"/>
            <w:vAlign w:val="center"/>
          </w:tcPr>
          <w:p>
            <w:pPr>
              <w:jc w:val="center"/>
            </w:pPr>
            <w:r>
              <w:rPr>
                <w:szCs w:val="21"/>
              </w:rPr>
              <w:t>区住房和城乡建设局</w:t>
            </w:r>
          </w:p>
        </w:tc>
        <w:tc>
          <w:tcPr>
            <w:tcW w:w="16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17" w:hRule="atLeast"/>
        </w:trPr>
        <w:tc>
          <w:tcPr>
            <w:tcW w:w="387" w:type="dxa"/>
            <w:vAlign w:val="center"/>
          </w:tcPr>
          <w:p>
            <w:pPr>
              <w:jc w:val="center"/>
            </w:pPr>
            <w:r>
              <w:rPr>
                <w:szCs w:val="21"/>
              </w:rPr>
              <w:t>11</w:t>
            </w:r>
          </w:p>
        </w:tc>
        <w:tc>
          <w:tcPr>
            <w:tcW w:w="606" w:type="dxa"/>
            <w:vMerge w:val="continue"/>
            <w:vAlign w:val="center"/>
          </w:tcPr>
          <w:p>
            <w:pPr>
              <w:jc w:val="center"/>
            </w:pPr>
          </w:p>
        </w:tc>
        <w:tc>
          <w:tcPr>
            <w:tcW w:w="708" w:type="dxa"/>
            <w:vMerge w:val="restart"/>
            <w:vAlign w:val="center"/>
          </w:tcPr>
          <w:p>
            <w:pPr>
              <w:jc w:val="center"/>
            </w:pPr>
            <w:r>
              <w:rPr>
                <w:szCs w:val="21"/>
              </w:rPr>
              <w:t>生活领域源头减量</w:t>
            </w:r>
          </w:p>
        </w:tc>
        <w:tc>
          <w:tcPr>
            <w:tcW w:w="2127" w:type="dxa"/>
            <w:vAlign w:val="center"/>
          </w:tcPr>
          <w:p>
            <w:pPr>
              <w:jc w:val="center"/>
            </w:pPr>
            <w:r>
              <w:rPr>
                <w:szCs w:val="21"/>
              </w:rPr>
              <w:t>其他生活垃圾清运量</w:t>
            </w:r>
            <w:r>
              <w:rPr>
                <w:rFonts w:hint="eastAsia" w:ascii="宋体" w:hAnsi="宋体" w:cs="宋体"/>
                <w:szCs w:val="21"/>
              </w:rPr>
              <w:t>★</w:t>
            </w:r>
          </w:p>
        </w:tc>
        <w:tc>
          <w:tcPr>
            <w:tcW w:w="708" w:type="dxa"/>
            <w:vAlign w:val="center"/>
          </w:tcPr>
          <w:p>
            <w:pPr>
              <w:jc w:val="center"/>
            </w:pPr>
            <w:r>
              <w:rPr>
                <w:szCs w:val="21"/>
              </w:rPr>
              <w:t>万吨</w:t>
            </w:r>
          </w:p>
        </w:tc>
        <w:tc>
          <w:tcPr>
            <w:tcW w:w="794" w:type="dxa"/>
            <w:vAlign w:val="center"/>
          </w:tcPr>
          <w:p>
            <w:pPr>
              <w:jc w:val="center"/>
            </w:pPr>
            <w:r>
              <w:rPr>
                <w:szCs w:val="21"/>
              </w:rPr>
              <w:t>28.3</w:t>
            </w:r>
          </w:p>
        </w:tc>
        <w:tc>
          <w:tcPr>
            <w:tcW w:w="794" w:type="dxa"/>
            <w:vAlign w:val="center"/>
          </w:tcPr>
          <w:p>
            <w:pPr>
              <w:jc w:val="center"/>
            </w:pPr>
            <w:r>
              <w:rPr>
                <w:szCs w:val="21"/>
              </w:rPr>
              <w:t>29.5</w:t>
            </w:r>
          </w:p>
        </w:tc>
        <w:tc>
          <w:tcPr>
            <w:tcW w:w="794" w:type="dxa"/>
            <w:vAlign w:val="center"/>
          </w:tcPr>
          <w:p>
            <w:pPr>
              <w:jc w:val="center"/>
            </w:pPr>
            <w:r>
              <w:rPr>
                <w:szCs w:val="21"/>
              </w:rPr>
              <w:t>30</w:t>
            </w:r>
          </w:p>
        </w:tc>
        <w:tc>
          <w:tcPr>
            <w:tcW w:w="794" w:type="dxa"/>
            <w:vAlign w:val="center"/>
          </w:tcPr>
          <w:p>
            <w:pPr>
              <w:jc w:val="center"/>
            </w:pPr>
            <w:r>
              <w:rPr>
                <w:szCs w:val="21"/>
              </w:rPr>
              <w:t>31</w:t>
            </w:r>
          </w:p>
        </w:tc>
        <w:tc>
          <w:tcPr>
            <w:tcW w:w="794" w:type="dxa"/>
            <w:vAlign w:val="center"/>
          </w:tcPr>
          <w:p>
            <w:pPr>
              <w:jc w:val="center"/>
            </w:pPr>
            <w:r>
              <w:rPr>
                <w:szCs w:val="21"/>
              </w:rPr>
              <w:t>32</w:t>
            </w:r>
          </w:p>
        </w:tc>
        <w:tc>
          <w:tcPr>
            <w:tcW w:w="1644" w:type="dxa"/>
            <w:vAlign w:val="center"/>
          </w:tcPr>
          <w:p>
            <w:pPr>
              <w:jc w:val="center"/>
            </w:pPr>
            <w:r>
              <w:rPr>
                <w:szCs w:val="21"/>
              </w:rPr>
              <w:t>区环境卫生管护服务中心</w:t>
            </w:r>
          </w:p>
        </w:tc>
        <w:tc>
          <w:tcPr>
            <w:tcW w:w="1644" w:type="dxa"/>
            <w:vAlign w:val="center"/>
          </w:tcPr>
          <w:p>
            <w:pPr>
              <w:jc w:val="center"/>
            </w:pPr>
            <w:r>
              <w:rPr>
                <w:szCs w:val="21"/>
              </w:rPr>
              <w:t>区环境卫生管护服务中心</w:t>
            </w:r>
          </w:p>
        </w:tc>
        <w:tc>
          <w:tcPr>
            <w:tcW w:w="1644" w:type="dxa"/>
            <w:vAlign w:val="center"/>
          </w:tcPr>
          <w:p>
            <w:pPr>
              <w:jc w:val="center"/>
            </w:pPr>
            <w:r>
              <w:rPr>
                <w:szCs w:val="21"/>
              </w:rPr>
              <w:t>达到峰值后稳步降低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17" w:hRule="atLeast"/>
        </w:trPr>
        <w:tc>
          <w:tcPr>
            <w:tcW w:w="387" w:type="dxa"/>
            <w:vAlign w:val="center"/>
          </w:tcPr>
          <w:p>
            <w:pPr>
              <w:jc w:val="center"/>
            </w:pPr>
            <w:r>
              <w:rPr>
                <w:szCs w:val="21"/>
              </w:rPr>
              <w:t>1</w:t>
            </w:r>
            <w:r>
              <w:rPr>
                <w:rFonts w:hint="eastAsia"/>
                <w:szCs w:val="21"/>
              </w:rPr>
              <w:t>2</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城市居民小区生活垃圾分类覆盖率</w:t>
            </w:r>
          </w:p>
        </w:tc>
        <w:tc>
          <w:tcPr>
            <w:tcW w:w="708" w:type="dxa"/>
            <w:vAlign w:val="center"/>
          </w:tcPr>
          <w:p>
            <w:pPr>
              <w:jc w:val="center"/>
            </w:pPr>
            <w:r>
              <w:rPr>
                <w:szCs w:val="21"/>
              </w:rPr>
              <w:t>%</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1644" w:type="dxa"/>
            <w:vAlign w:val="center"/>
          </w:tcPr>
          <w:p>
            <w:pPr>
              <w:jc w:val="center"/>
            </w:pPr>
            <w:r>
              <w:rPr>
                <w:szCs w:val="21"/>
              </w:rPr>
              <w:t>区环境卫生管护服务中心</w:t>
            </w:r>
          </w:p>
        </w:tc>
        <w:tc>
          <w:tcPr>
            <w:tcW w:w="1644" w:type="dxa"/>
            <w:vAlign w:val="center"/>
          </w:tcPr>
          <w:p>
            <w:pPr>
              <w:jc w:val="center"/>
            </w:pPr>
            <w:r>
              <w:rPr>
                <w:szCs w:val="21"/>
              </w:rPr>
              <w:t>区环境卫生管护服务中心</w:t>
            </w:r>
          </w:p>
        </w:tc>
        <w:tc>
          <w:tcPr>
            <w:tcW w:w="1644" w:type="dxa"/>
            <w:vAlign w:val="center"/>
          </w:tcPr>
          <w:p>
            <w:pPr>
              <w:jc w:val="center"/>
            </w:pPr>
            <w:r>
              <w:rPr>
                <w:szCs w:val="21"/>
              </w:rPr>
              <w:t>分类投放、宣传动员、责任主体覆盖率100%,分类实效将结合末端处理能力逐步推进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17" w:hRule="atLeast"/>
        </w:trPr>
        <w:tc>
          <w:tcPr>
            <w:tcW w:w="387" w:type="dxa"/>
            <w:vAlign w:val="center"/>
          </w:tcPr>
          <w:p>
            <w:pPr>
              <w:jc w:val="center"/>
            </w:pPr>
            <w:r>
              <w:rPr>
                <w:szCs w:val="21"/>
              </w:rPr>
              <w:t>13</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农村地区生活垃圾分类覆盖率</w:t>
            </w:r>
          </w:p>
        </w:tc>
        <w:tc>
          <w:tcPr>
            <w:tcW w:w="708" w:type="dxa"/>
            <w:vAlign w:val="center"/>
          </w:tcPr>
          <w:p>
            <w:pPr>
              <w:jc w:val="center"/>
            </w:pPr>
            <w:r>
              <w:rPr>
                <w:szCs w:val="21"/>
              </w:rPr>
              <w:t>%</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1644" w:type="dxa"/>
            <w:vAlign w:val="center"/>
          </w:tcPr>
          <w:p>
            <w:pPr>
              <w:jc w:val="center"/>
            </w:pPr>
            <w:r>
              <w:rPr>
                <w:szCs w:val="21"/>
              </w:rPr>
              <w:t>区环境卫生管护服务中心</w:t>
            </w:r>
          </w:p>
        </w:tc>
        <w:tc>
          <w:tcPr>
            <w:tcW w:w="1644" w:type="dxa"/>
            <w:vAlign w:val="center"/>
          </w:tcPr>
          <w:p>
            <w:pPr>
              <w:jc w:val="center"/>
            </w:pPr>
            <w:r>
              <w:rPr>
                <w:szCs w:val="21"/>
              </w:rPr>
              <w:t>区环境卫生管护服务中心</w:t>
            </w:r>
          </w:p>
        </w:tc>
        <w:tc>
          <w:tcPr>
            <w:tcW w:w="1644" w:type="dxa"/>
            <w:vAlign w:val="center"/>
          </w:tcPr>
          <w:p>
            <w:pPr>
              <w:jc w:val="center"/>
            </w:pPr>
            <w:r>
              <w:rPr>
                <w:szCs w:val="21"/>
              </w:rPr>
              <w:t>分类投放、宣传动员、责任主体覆盖率100%,分类实效将结合末端处理能力逐步推进</w:t>
            </w:r>
          </w:p>
        </w:tc>
      </w:tr>
    </w:tbl>
    <w:p>
      <w:pPr>
        <w:pStyle w:val="2"/>
      </w:pPr>
    </w:p>
    <w:p>
      <w:pPr>
        <w:pStyle w:val="2"/>
      </w:pPr>
    </w:p>
    <w:tbl>
      <w:tblPr>
        <w:tblStyle w:val="18"/>
        <w:tblW w:w="134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7"/>
        <w:gridCol w:w="606"/>
        <w:gridCol w:w="708"/>
        <w:gridCol w:w="2127"/>
        <w:gridCol w:w="708"/>
        <w:gridCol w:w="794"/>
        <w:gridCol w:w="794"/>
        <w:gridCol w:w="794"/>
        <w:gridCol w:w="794"/>
        <w:gridCol w:w="794"/>
        <w:gridCol w:w="1644"/>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87" w:type="dxa"/>
            <w:textDirection w:val="tbRlV"/>
            <w:vAlign w:val="center"/>
          </w:tcPr>
          <w:p>
            <w:pPr>
              <w:jc w:val="center"/>
              <w:rPr>
                <w:rFonts w:eastAsia="黑体"/>
                <w:w w:val="90"/>
                <w:sz w:val="24"/>
                <w:szCs w:val="18"/>
              </w:rPr>
            </w:pPr>
            <w:r>
              <w:rPr>
                <w:rFonts w:eastAsia="黑体"/>
                <w:w w:val="90"/>
                <w:sz w:val="24"/>
                <w:szCs w:val="18"/>
              </w:rPr>
              <w:t>序号</w:t>
            </w:r>
          </w:p>
        </w:tc>
        <w:tc>
          <w:tcPr>
            <w:tcW w:w="606" w:type="dxa"/>
            <w:vAlign w:val="center"/>
          </w:tcPr>
          <w:p>
            <w:pPr>
              <w:jc w:val="center"/>
              <w:rPr>
                <w:rFonts w:eastAsia="黑体"/>
                <w:sz w:val="24"/>
                <w:szCs w:val="18"/>
              </w:rPr>
            </w:pPr>
            <w:r>
              <w:rPr>
                <w:rFonts w:eastAsia="黑体"/>
                <w:sz w:val="24"/>
                <w:szCs w:val="18"/>
              </w:rPr>
              <w:t>一级</w:t>
            </w:r>
          </w:p>
          <w:p>
            <w:pPr>
              <w:jc w:val="center"/>
              <w:rPr>
                <w:rFonts w:eastAsia="黑体"/>
                <w:sz w:val="24"/>
                <w:szCs w:val="18"/>
              </w:rPr>
            </w:pPr>
            <w:r>
              <w:rPr>
                <w:rFonts w:eastAsia="黑体"/>
                <w:sz w:val="24"/>
                <w:szCs w:val="18"/>
              </w:rPr>
              <w:t>指标</w:t>
            </w:r>
          </w:p>
        </w:tc>
        <w:tc>
          <w:tcPr>
            <w:tcW w:w="708" w:type="dxa"/>
            <w:vAlign w:val="center"/>
          </w:tcPr>
          <w:p>
            <w:pPr>
              <w:jc w:val="center"/>
              <w:rPr>
                <w:rFonts w:eastAsia="黑体"/>
                <w:sz w:val="24"/>
                <w:szCs w:val="18"/>
              </w:rPr>
            </w:pPr>
            <w:r>
              <w:rPr>
                <w:rFonts w:eastAsia="黑体"/>
                <w:sz w:val="24"/>
                <w:szCs w:val="18"/>
              </w:rPr>
              <w:t>二级</w:t>
            </w:r>
          </w:p>
          <w:p>
            <w:pPr>
              <w:jc w:val="center"/>
              <w:rPr>
                <w:rFonts w:eastAsia="黑体"/>
                <w:sz w:val="24"/>
                <w:szCs w:val="18"/>
              </w:rPr>
            </w:pPr>
            <w:r>
              <w:rPr>
                <w:rFonts w:eastAsia="黑体"/>
                <w:sz w:val="24"/>
                <w:szCs w:val="18"/>
              </w:rPr>
              <w:t>指标</w:t>
            </w:r>
          </w:p>
        </w:tc>
        <w:tc>
          <w:tcPr>
            <w:tcW w:w="2127" w:type="dxa"/>
            <w:vAlign w:val="center"/>
          </w:tcPr>
          <w:p>
            <w:pPr>
              <w:jc w:val="center"/>
              <w:rPr>
                <w:rFonts w:eastAsia="黑体"/>
                <w:sz w:val="24"/>
                <w:szCs w:val="18"/>
              </w:rPr>
            </w:pPr>
            <w:r>
              <w:rPr>
                <w:rFonts w:eastAsia="黑体"/>
                <w:sz w:val="24"/>
                <w:szCs w:val="18"/>
              </w:rPr>
              <w:t>三级指标</w:t>
            </w:r>
          </w:p>
        </w:tc>
        <w:tc>
          <w:tcPr>
            <w:tcW w:w="708" w:type="dxa"/>
            <w:vAlign w:val="center"/>
          </w:tcPr>
          <w:p>
            <w:pPr>
              <w:jc w:val="center"/>
              <w:rPr>
                <w:rFonts w:eastAsia="黑体"/>
                <w:sz w:val="24"/>
                <w:szCs w:val="18"/>
              </w:rPr>
            </w:pPr>
            <w:r>
              <w:rPr>
                <w:rFonts w:eastAsia="黑体"/>
                <w:sz w:val="24"/>
                <w:szCs w:val="18"/>
              </w:rPr>
              <w:t>单位</w:t>
            </w:r>
          </w:p>
        </w:tc>
        <w:tc>
          <w:tcPr>
            <w:tcW w:w="794" w:type="dxa"/>
            <w:vAlign w:val="center"/>
          </w:tcPr>
          <w:p>
            <w:pPr>
              <w:jc w:val="center"/>
              <w:rPr>
                <w:rFonts w:eastAsia="黑体"/>
                <w:sz w:val="24"/>
                <w:szCs w:val="18"/>
              </w:rPr>
            </w:pPr>
            <w:r>
              <w:rPr>
                <w:rFonts w:eastAsia="黑体"/>
                <w:sz w:val="24"/>
                <w:szCs w:val="18"/>
              </w:rPr>
              <w:t>2020年</w:t>
            </w:r>
          </w:p>
        </w:tc>
        <w:tc>
          <w:tcPr>
            <w:tcW w:w="794" w:type="dxa"/>
            <w:vAlign w:val="center"/>
          </w:tcPr>
          <w:p>
            <w:pPr>
              <w:jc w:val="center"/>
              <w:rPr>
                <w:rFonts w:eastAsia="黑体"/>
                <w:sz w:val="24"/>
                <w:szCs w:val="18"/>
              </w:rPr>
            </w:pPr>
            <w:r>
              <w:rPr>
                <w:rFonts w:eastAsia="黑体"/>
                <w:sz w:val="24"/>
                <w:szCs w:val="18"/>
              </w:rPr>
              <w:t>2022年</w:t>
            </w:r>
          </w:p>
        </w:tc>
        <w:tc>
          <w:tcPr>
            <w:tcW w:w="794" w:type="dxa"/>
            <w:vAlign w:val="center"/>
          </w:tcPr>
          <w:p>
            <w:pPr>
              <w:jc w:val="center"/>
              <w:rPr>
                <w:rFonts w:eastAsia="黑体"/>
                <w:sz w:val="24"/>
                <w:szCs w:val="18"/>
              </w:rPr>
            </w:pPr>
            <w:r>
              <w:rPr>
                <w:rFonts w:eastAsia="黑体"/>
                <w:sz w:val="24"/>
                <w:szCs w:val="18"/>
              </w:rPr>
              <w:t>2023年</w:t>
            </w:r>
          </w:p>
        </w:tc>
        <w:tc>
          <w:tcPr>
            <w:tcW w:w="794" w:type="dxa"/>
            <w:vAlign w:val="center"/>
          </w:tcPr>
          <w:p>
            <w:pPr>
              <w:jc w:val="center"/>
              <w:rPr>
                <w:rFonts w:eastAsia="黑体"/>
                <w:sz w:val="24"/>
                <w:szCs w:val="18"/>
              </w:rPr>
            </w:pPr>
            <w:r>
              <w:rPr>
                <w:rFonts w:eastAsia="黑体"/>
                <w:sz w:val="24"/>
                <w:szCs w:val="18"/>
              </w:rPr>
              <w:t>2024年</w:t>
            </w:r>
          </w:p>
        </w:tc>
        <w:tc>
          <w:tcPr>
            <w:tcW w:w="794" w:type="dxa"/>
            <w:vAlign w:val="center"/>
          </w:tcPr>
          <w:p>
            <w:pPr>
              <w:jc w:val="center"/>
              <w:rPr>
                <w:rFonts w:eastAsia="黑体"/>
                <w:sz w:val="24"/>
                <w:szCs w:val="18"/>
              </w:rPr>
            </w:pPr>
            <w:r>
              <w:rPr>
                <w:rFonts w:eastAsia="黑体"/>
                <w:sz w:val="24"/>
                <w:szCs w:val="18"/>
              </w:rPr>
              <w:t>2025年</w:t>
            </w:r>
          </w:p>
        </w:tc>
        <w:tc>
          <w:tcPr>
            <w:tcW w:w="1644" w:type="dxa"/>
            <w:vAlign w:val="center"/>
          </w:tcPr>
          <w:p>
            <w:pPr>
              <w:jc w:val="center"/>
              <w:rPr>
                <w:rFonts w:eastAsia="黑体"/>
                <w:sz w:val="24"/>
                <w:szCs w:val="18"/>
              </w:rPr>
            </w:pPr>
            <w:r>
              <w:rPr>
                <w:rFonts w:eastAsia="黑体"/>
                <w:sz w:val="24"/>
                <w:szCs w:val="18"/>
              </w:rPr>
              <w:t>数据来源部门</w:t>
            </w:r>
          </w:p>
        </w:tc>
        <w:tc>
          <w:tcPr>
            <w:tcW w:w="1644" w:type="dxa"/>
            <w:vAlign w:val="center"/>
          </w:tcPr>
          <w:p>
            <w:pPr>
              <w:jc w:val="center"/>
              <w:rPr>
                <w:rFonts w:eastAsia="黑体"/>
                <w:sz w:val="24"/>
                <w:szCs w:val="18"/>
              </w:rPr>
            </w:pPr>
            <w:r>
              <w:rPr>
                <w:rFonts w:eastAsia="黑体"/>
                <w:sz w:val="24"/>
                <w:szCs w:val="18"/>
              </w:rPr>
              <w:t>责任部门</w:t>
            </w:r>
          </w:p>
        </w:tc>
        <w:tc>
          <w:tcPr>
            <w:tcW w:w="1644" w:type="dxa"/>
            <w:vAlign w:val="center"/>
          </w:tcPr>
          <w:p>
            <w:pPr>
              <w:jc w:val="center"/>
              <w:rPr>
                <w:rFonts w:eastAsia="黑体"/>
                <w:sz w:val="24"/>
                <w:szCs w:val="18"/>
              </w:rPr>
            </w:pPr>
            <w:r>
              <w:rPr>
                <w:rFonts w:eastAsia="黑体"/>
                <w:sz w:val="24"/>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0" w:hRule="atLeast"/>
        </w:trPr>
        <w:tc>
          <w:tcPr>
            <w:tcW w:w="387" w:type="dxa"/>
            <w:vAlign w:val="center"/>
          </w:tcPr>
          <w:p>
            <w:pPr>
              <w:jc w:val="center"/>
            </w:pPr>
            <w:r>
              <w:rPr>
                <w:szCs w:val="21"/>
              </w:rPr>
              <w:t>14</w:t>
            </w:r>
          </w:p>
        </w:tc>
        <w:tc>
          <w:tcPr>
            <w:tcW w:w="606" w:type="dxa"/>
            <w:vMerge w:val="restart"/>
            <w:vAlign w:val="center"/>
          </w:tcPr>
          <w:p>
            <w:pPr>
              <w:jc w:val="center"/>
            </w:pPr>
            <w:r>
              <w:rPr>
                <w:szCs w:val="21"/>
              </w:rPr>
              <w:t>固体废物资源化利用</w:t>
            </w:r>
          </w:p>
        </w:tc>
        <w:tc>
          <w:tcPr>
            <w:tcW w:w="708" w:type="dxa"/>
            <w:vMerge w:val="restart"/>
            <w:vAlign w:val="center"/>
          </w:tcPr>
          <w:p>
            <w:pPr>
              <w:jc w:val="center"/>
            </w:pPr>
            <w:r>
              <w:rPr>
                <w:szCs w:val="21"/>
              </w:rPr>
              <w:t>工业固体废物资源化利用</w:t>
            </w:r>
          </w:p>
        </w:tc>
        <w:tc>
          <w:tcPr>
            <w:tcW w:w="2127" w:type="dxa"/>
            <w:vAlign w:val="center"/>
          </w:tcPr>
          <w:p>
            <w:pPr>
              <w:jc w:val="center"/>
            </w:pPr>
            <w:r>
              <w:rPr>
                <w:szCs w:val="21"/>
              </w:rPr>
              <w:t>一般工业固体废物综合利用率</w:t>
            </w:r>
            <w:r>
              <w:rPr>
                <w:rFonts w:hint="eastAsia" w:ascii="宋体" w:hAnsi="宋体" w:cs="宋体"/>
                <w:szCs w:val="21"/>
              </w:rPr>
              <w:t>★</w:t>
            </w:r>
          </w:p>
        </w:tc>
        <w:tc>
          <w:tcPr>
            <w:tcW w:w="708"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88.78</w:t>
            </w:r>
          </w:p>
        </w:tc>
        <w:tc>
          <w:tcPr>
            <w:tcW w:w="794" w:type="dxa"/>
            <w:vAlign w:val="center"/>
          </w:tcPr>
          <w:p>
            <w:pPr>
              <w:jc w:val="center"/>
            </w:pPr>
            <w:r>
              <w:rPr>
                <w:szCs w:val="21"/>
              </w:rPr>
              <w:t>稳步</w:t>
            </w:r>
          </w:p>
          <w:p>
            <w:pPr>
              <w:jc w:val="center"/>
            </w:pPr>
            <w:r>
              <w:rPr>
                <w:szCs w:val="21"/>
              </w:rPr>
              <w:t>推进</w:t>
            </w:r>
          </w:p>
        </w:tc>
        <w:tc>
          <w:tcPr>
            <w:tcW w:w="794" w:type="dxa"/>
            <w:vAlign w:val="center"/>
          </w:tcPr>
          <w:p>
            <w:pPr>
              <w:jc w:val="center"/>
            </w:pPr>
            <w:r>
              <w:rPr>
                <w:szCs w:val="21"/>
              </w:rPr>
              <w:t>稳步</w:t>
            </w:r>
          </w:p>
          <w:p>
            <w:pPr>
              <w:jc w:val="center"/>
            </w:pPr>
            <w:r>
              <w:rPr>
                <w:szCs w:val="21"/>
              </w:rPr>
              <w:t>推进</w:t>
            </w:r>
          </w:p>
        </w:tc>
        <w:tc>
          <w:tcPr>
            <w:tcW w:w="794" w:type="dxa"/>
            <w:vAlign w:val="center"/>
          </w:tcPr>
          <w:p>
            <w:pPr>
              <w:jc w:val="center"/>
            </w:pPr>
            <w:r>
              <w:rPr>
                <w:szCs w:val="21"/>
              </w:rPr>
              <w:t>稳步</w:t>
            </w:r>
          </w:p>
          <w:p>
            <w:pPr>
              <w:jc w:val="center"/>
            </w:pPr>
            <w:r>
              <w:rPr>
                <w:szCs w:val="21"/>
              </w:rPr>
              <w:t>推进</w:t>
            </w:r>
          </w:p>
        </w:tc>
        <w:tc>
          <w:tcPr>
            <w:tcW w:w="1644" w:type="dxa"/>
            <w:vAlign w:val="center"/>
          </w:tcPr>
          <w:p>
            <w:pPr>
              <w:jc w:val="center"/>
            </w:pPr>
            <w:r>
              <w:rPr>
                <w:szCs w:val="21"/>
              </w:rPr>
              <w:t>区工业和信息化局、市生态环境局天桥分局</w:t>
            </w:r>
          </w:p>
        </w:tc>
        <w:tc>
          <w:tcPr>
            <w:tcW w:w="1644" w:type="dxa"/>
            <w:vAlign w:val="center"/>
          </w:tcPr>
          <w:p>
            <w:pPr>
              <w:jc w:val="center"/>
            </w:pPr>
            <w:r>
              <w:rPr>
                <w:szCs w:val="21"/>
              </w:rPr>
              <w:t>区工业和信息化局、市生态环境局天桥分局</w:t>
            </w:r>
          </w:p>
        </w:tc>
        <w:tc>
          <w:tcPr>
            <w:tcW w:w="1644" w:type="dxa"/>
            <w:vAlign w:val="center"/>
          </w:tcPr>
          <w:p>
            <w:pPr>
              <w:jc w:val="center"/>
            </w:pPr>
            <w:r>
              <w:rPr>
                <w:szCs w:val="21"/>
              </w:rPr>
              <w:t>稳步推进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0" w:hRule="atLeast"/>
        </w:trPr>
        <w:tc>
          <w:tcPr>
            <w:tcW w:w="387" w:type="dxa"/>
            <w:vAlign w:val="center"/>
          </w:tcPr>
          <w:p>
            <w:pPr>
              <w:jc w:val="center"/>
            </w:pPr>
            <w:r>
              <w:rPr>
                <w:szCs w:val="21"/>
              </w:rPr>
              <w:t>15</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工业危险废物综合利用率</w:t>
            </w:r>
            <w:r>
              <w:rPr>
                <w:rFonts w:hint="eastAsia" w:ascii="宋体" w:hAnsi="宋体" w:cs="宋体"/>
                <w:szCs w:val="21"/>
              </w:rPr>
              <w:t>★</w:t>
            </w:r>
          </w:p>
        </w:tc>
        <w:tc>
          <w:tcPr>
            <w:tcW w:w="708" w:type="dxa"/>
            <w:vAlign w:val="center"/>
          </w:tcPr>
          <w:p>
            <w:pPr>
              <w:jc w:val="center"/>
            </w:pPr>
            <w:r>
              <w:rPr>
                <w:szCs w:val="21"/>
              </w:rPr>
              <w:t>%</w:t>
            </w:r>
          </w:p>
        </w:tc>
        <w:tc>
          <w:tcPr>
            <w:tcW w:w="794" w:type="dxa"/>
            <w:vAlign w:val="center"/>
          </w:tcPr>
          <w:p>
            <w:pPr>
              <w:jc w:val="center"/>
            </w:pPr>
            <w:r>
              <w:rPr>
                <w:szCs w:val="21"/>
              </w:rPr>
              <w:t>99.79</w:t>
            </w:r>
          </w:p>
        </w:tc>
        <w:tc>
          <w:tcPr>
            <w:tcW w:w="794" w:type="dxa"/>
            <w:vAlign w:val="center"/>
          </w:tcPr>
          <w:p>
            <w:pPr>
              <w:jc w:val="center"/>
            </w:pPr>
            <w:r>
              <w:rPr>
                <w:szCs w:val="21"/>
              </w:rPr>
              <w:t>98.55</w:t>
            </w:r>
          </w:p>
        </w:tc>
        <w:tc>
          <w:tcPr>
            <w:tcW w:w="794" w:type="dxa"/>
            <w:vAlign w:val="center"/>
          </w:tcPr>
          <w:p>
            <w:pPr>
              <w:jc w:val="center"/>
            </w:pPr>
            <w:r>
              <w:rPr>
                <w:szCs w:val="21"/>
              </w:rPr>
              <w:t>稳步</w:t>
            </w:r>
          </w:p>
          <w:p>
            <w:pPr>
              <w:jc w:val="center"/>
            </w:pPr>
            <w:r>
              <w:rPr>
                <w:szCs w:val="21"/>
              </w:rPr>
              <w:t>推进</w:t>
            </w:r>
          </w:p>
        </w:tc>
        <w:tc>
          <w:tcPr>
            <w:tcW w:w="794" w:type="dxa"/>
            <w:vAlign w:val="center"/>
          </w:tcPr>
          <w:p>
            <w:pPr>
              <w:jc w:val="center"/>
            </w:pPr>
            <w:r>
              <w:rPr>
                <w:szCs w:val="21"/>
              </w:rPr>
              <w:t>稳步</w:t>
            </w:r>
          </w:p>
          <w:p>
            <w:pPr>
              <w:jc w:val="center"/>
            </w:pPr>
            <w:r>
              <w:rPr>
                <w:szCs w:val="21"/>
              </w:rPr>
              <w:t>推进</w:t>
            </w:r>
          </w:p>
        </w:tc>
        <w:tc>
          <w:tcPr>
            <w:tcW w:w="794" w:type="dxa"/>
            <w:vAlign w:val="center"/>
          </w:tcPr>
          <w:p>
            <w:pPr>
              <w:jc w:val="center"/>
            </w:pPr>
            <w:r>
              <w:rPr>
                <w:szCs w:val="21"/>
              </w:rPr>
              <w:t>稳步</w:t>
            </w:r>
          </w:p>
          <w:p>
            <w:pPr>
              <w:jc w:val="center"/>
            </w:pPr>
            <w:r>
              <w:rPr>
                <w:szCs w:val="21"/>
              </w:rPr>
              <w:t>推进</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稳步推进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trPr>
        <w:tc>
          <w:tcPr>
            <w:tcW w:w="387" w:type="dxa"/>
            <w:vAlign w:val="center"/>
          </w:tcPr>
          <w:p>
            <w:pPr>
              <w:jc w:val="center"/>
            </w:pPr>
            <w:r>
              <w:rPr>
                <w:szCs w:val="21"/>
              </w:rPr>
              <w:t>16</w:t>
            </w:r>
          </w:p>
        </w:tc>
        <w:tc>
          <w:tcPr>
            <w:tcW w:w="606" w:type="dxa"/>
            <w:vMerge w:val="continue"/>
            <w:vAlign w:val="center"/>
          </w:tcPr>
          <w:p>
            <w:pPr>
              <w:jc w:val="center"/>
            </w:pPr>
          </w:p>
        </w:tc>
        <w:tc>
          <w:tcPr>
            <w:tcW w:w="708" w:type="dxa"/>
            <w:vMerge w:val="restart"/>
            <w:vAlign w:val="center"/>
          </w:tcPr>
          <w:p>
            <w:pPr>
              <w:jc w:val="center"/>
            </w:pPr>
            <w:r>
              <w:rPr>
                <w:szCs w:val="21"/>
              </w:rPr>
              <w:t>农业废弃物资源化利</w:t>
            </w:r>
          </w:p>
          <w:p>
            <w:pPr>
              <w:jc w:val="center"/>
            </w:pPr>
            <w:r>
              <w:rPr>
                <w:szCs w:val="21"/>
              </w:rPr>
              <w:t>用</w:t>
            </w:r>
          </w:p>
        </w:tc>
        <w:tc>
          <w:tcPr>
            <w:tcW w:w="2127" w:type="dxa"/>
            <w:vAlign w:val="center"/>
          </w:tcPr>
          <w:p>
            <w:pPr>
              <w:jc w:val="center"/>
            </w:pPr>
            <w:r>
              <w:rPr>
                <w:szCs w:val="21"/>
              </w:rPr>
              <w:t>秸秆综合利用率</w:t>
            </w:r>
            <w:r>
              <w:rPr>
                <w:rFonts w:hint="eastAsia" w:ascii="宋体" w:hAnsi="宋体" w:cs="宋体"/>
                <w:szCs w:val="21"/>
              </w:rPr>
              <w:t>★</w:t>
            </w:r>
          </w:p>
        </w:tc>
        <w:tc>
          <w:tcPr>
            <w:tcW w:w="708" w:type="dxa"/>
            <w:vAlign w:val="center"/>
          </w:tcPr>
          <w:p>
            <w:pPr>
              <w:jc w:val="center"/>
            </w:pPr>
            <w:r>
              <w:rPr>
                <w:szCs w:val="21"/>
              </w:rPr>
              <w:t>%</w:t>
            </w:r>
          </w:p>
        </w:tc>
        <w:tc>
          <w:tcPr>
            <w:tcW w:w="794" w:type="dxa"/>
            <w:vAlign w:val="center"/>
          </w:tcPr>
          <w:p>
            <w:pPr>
              <w:jc w:val="center"/>
            </w:pPr>
            <w:r>
              <w:rPr>
                <w:szCs w:val="21"/>
              </w:rPr>
              <w:t>97.82</w:t>
            </w:r>
          </w:p>
        </w:tc>
        <w:tc>
          <w:tcPr>
            <w:tcW w:w="794" w:type="dxa"/>
            <w:vAlign w:val="center"/>
          </w:tcPr>
          <w:p>
            <w:pPr>
              <w:jc w:val="center"/>
            </w:pPr>
            <w:r>
              <w:rPr>
                <w:szCs w:val="21"/>
              </w:rPr>
              <w:t>97.85</w:t>
            </w:r>
          </w:p>
        </w:tc>
        <w:tc>
          <w:tcPr>
            <w:tcW w:w="794" w:type="dxa"/>
            <w:vAlign w:val="center"/>
          </w:tcPr>
          <w:p>
            <w:pPr>
              <w:jc w:val="center"/>
            </w:pPr>
            <w:r>
              <w:rPr>
                <w:szCs w:val="21"/>
              </w:rPr>
              <w:t>97.88</w:t>
            </w:r>
          </w:p>
        </w:tc>
        <w:tc>
          <w:tcPr>
            <w:tcW w:w="794" w:type="dxa"/>
            <w:vAlign w:val="center"/>
          </w:tcPr>
          <w:p>
            <w:pPr>
              <w:jc w:val="center"/>
            </w:pPr>
            <w:r>
              <w:rPr>
                <w:szCs w:val="21"/>
              </w:rPr>
              <w:t>97.9</w:t>
            </w:r>
          </w:p>
        </w:tc>
        <w:tc>
          <w:tcPr>
            <w:tcW w:w="794" w:type="dxa"/>
            <w:vAlign w:val="center"/>
          </w:tcPr>
          <w:p>
            <w:pPr>
              <w:jc w:val="center"/>
            </w:pPr>
            <w:r>
              <w:rPr>
                <w:szCs w:val="21"/>
              </w:rPr>
              <w:t>98</w:t>
            </w:r>
          </w:p>
        </w:tc>
        <w:tc>
          <w:tcPr>
            <w:tcW w:w="1644" w:type="dxa"/>
            <w:vAlign w:val="center"/>
          </w:tcPr>
          <w:p>
            <w:pPr>
              <w:jc w:val="center"/>
            </w:pPr>
            <w:r>
              <w:rPr>
                <w:szCs w:val="21"/>
              </w:rPr>
              <w:t>区农业农村局</w:t>
            </w:r>
          </w:p>
        </w:tc>
        <w:tc>
          <w:tcPr>
            <w:tcW w:w="1644" w:type="dxa"/>
            <w:vAlign w:val="center"/>
          </w:tcPr>
          <w:p>
            <w:pPr>
              <w:jc w:val="center"/>
            </w:pPr>
            <w:r>
              <w:rPr>
                <w:szCs w:val="21"/>
              </w:rPr>
              <w:t>区农业农村局</w:t>
            </w:r>
          </w:p>
        </w:tc>
        <w:tc>
          <w:tcPr>
            <w:tcW w:w="1644" w:type="dxa"/>
            <w:vAlign w:val="center"/>
          </w:tcPr>
          <w:p>
            <w:pPr>
              <w:jc w:val="center"/>
            </w:pPr>
            <w:r>
              <w:rPr>
                <w:szCs w:val="21"/>
              </w:rPr>
              <w:t>98%以上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trPr>
        <w:tc>
          <w:tcPr>
            <w:tcW w:w="387" w:type="dxa"/>
            <w:vAlign w:val="center"/>
          </w:tcPr>
          <w:p>
            <w:pPr>
              <w:jc w:val="center"/>
            </w:pPr>
            <w:r>
              <w:rPr>
                <w:szCs w:val="21"/>
              </w:rPr>
              <w:t>17</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畜禽粪污综合利用率</w:t>
            </w:r>
            <w:r>
              <w:rPr>
                <w:rFonts w:hint="eastAsia" w:ascii="宋体" w:hAnsi="宋体" w:cs="宋体"/>
                <w:szCs w:val="21"/>
              </w:rPr>
              <w:t>★</w:t>
            </w:r>
          </w:p>
        </w:tc>
        <w:tc>
          <w:tcPr>
            <w:tcW w:w="708" w:type="dxa"/>
            <w:vAlign w:val="center"/>
          </w:tcPr>
          <w:p>
            <w:pPr>
              <w:jc w:val="center"/>
            </w:pPr>
            <w:r>
              <w:rPr>
                <w:szCs w:val="21"/>
              </w:rPr>
              <w:t>%</w:t>
            </w:r>
          </w:p>
        </w:tc>
        <w:tc>
          <w:tcPr>
            <w:tcW w:w="794" w:type="dxa"/>
            <w:vAlign w:val="center"/>
          </w:tcPr>
          <w:p>
            <w:pPr>
              <w:jc w:val="center"/>
            </w:pPr>
            <w:r>
              <w:rPr>
                <w:szCs w:val="21"/>
              </w:rPr>
              <w:t>87.43</w:t>
            </w:r>
          </w:p>
        </w:tc>
        <w:tc>
          <w:tcPr>
            <w:tcW w:w="794" w:type="dxa"/>
            <w:vAlign w:val="center"/>
          </w:tcPr>
          <w:p>
            <w:pPr>
              <w:jc w:val="center"/>
            </w:pPr>
            <w:r>
              <w:rPr>
                <w:szCs w:val="21"/>
              </w:rPr>
              <w:t>88.5</w:t>
            </w:r>
          </w:p>
        </w:tc>
        <w:tc>
          <w:tcPr>
            <w:tcW w:w="794" w:type="dxa"/>
            <w:vAlign w:val="center"/>
          </w:tcPr>
          <w:p>
            <w:pPr>
              <w:jc w:val="center"/>
            </w:pPr>
            <w:r>
              <w:rPr>
                <w:szCs w:val="21"/>
              </w:rPr>
              <w:t>89</w:t>
            </w:r>
          </w:p>
        </w:tc>
        <w:tc>
          <w:tcPr>
            <w:tcW w:w="794" w:type="dxa"/>
            <w:vAlign w:val="center"/>
          </w:tcPr>
          <w:p>
            <w:pPr>
              <w:jc w:val="center"/>
            </w:pPr>
            <w:r>
              <w:rPr>
                <w:szCs w:val="21"/>
              </w:rPr>
              <w:t>89.5</w:t>
            </w:r>
          </w:p>
        </w:tc>
        <w:tc>
          <w:tcPr>
            <w:tcW w:w="794" w:type="dxa"/>
            <w:vAlign w:val="center"/>
          </w:tcPr>
          <w:p>
            <w:pPr>
              <w:jc w:val="center"/>
            </w:pPr>
            <w:r>
              <w:rPr>
                <w:szCs w:val="21"/>
              </w:rPr>
              <w:t>90</w:t>
            </w:r>
          </w:p>
        </w:tc>
        <w:tc>
          <w:tcPr>
            <w:tcW w:w="1644" w:type="dxa"/>
            <w:vAlign w:val="center"/>
          </w:tcPr>
          <w:p>
            <w:pPr>
              <w:jc w:val="center"/>
            </w:pPr>
            <w:r>
              <w:rPr>
                <w:szCs w:val="21"/>
              </w:rPr>
              <w:t>区农业农村局</w:t>
            </w:r>
          </w:p>
        </w:tc>
        <w:tc>
          <w:tcPr>
            <w:tcW w:w="1644" w:type="dxa"/>
            <w:vAlign w:val="center"/>
          </w:tcPr>
          <w:p>
            <w:pPr>
              <w:jc w:val="center"/>
            </w:pPr>
            <w:r>
              <w:rPr>
                <w:szCs w:val="21"/>
              </w:rPr>
              <w:t>区农业农村局</w:t>
            </w:r>
          </w:p>
        </w:tc>
        <w:tc>
          <w:tcPr>
            <w:tcW w:w="1644" w:type="dxa"/>
            <w:vAlign w:val="center"/>
          </w:tcPr>
          <w:p>
            <w:pPr>
              <w:jc w:val="center"/>
            </w:pPr>
            <w:r>
              <w:rPr>
                <w:szCs w:val="21"/>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trPr>
        <w:tc>
          <w:tcPr>
            <w:tcW w:w="387" w:type="dxa"/>
            <w:vAlign w:val="center"/>
          </w:tcPr>
          <w:p>
            <w:pPr>
              <w:jc w:val="center"/>
            </w:pPr>
            <w:r>
              <w:rPr>
                <w:szCs w:val="21"/>
              </w:rPr>
              <w:t>18</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农膜回收率</w:t>
            </w:r>
            <w:r>
              <w:rPr>
                <w:rFonts w:hint="eastAsia" w:ascii="宋体" w:hAnsi="宋体" w:cs="宋体"/>
                <w:szCs w:val="21"/>
              </w:rPr>
              <w:t>★</w:t>
            </w:r>
          </w:p>
        </w:tc>
        <w:tc>
          <w:tcPr>
            <w:tcW w:w="708" w:type="dxa"/>
            <w:vAlign w:val="center"/>
          </w:tcPr>
          <w:p>
            <w:pPr>
              <w:jc w:val="center"/>
            </w:pPr>
            <w:r>
              <w:rPr>
                <w:szCs w:val="21"/>
              </w:rPr>
              <w:t>%</w:t>
            </w:r>
          </w:p>
        </w:tc>
        <w:tc>
          <w:tcPr>
            <w:tcW w:w="794" w:type="dxa"/>
            <w:vAlign w:val="center"/>
          </w:tcPr>
          <w:p>
            <w:pPr>
              <w:jc w:val="center"/>
            </w:pPr>
            <w:r>
              <w:rPr>
                <w:szCs w:val="21"/>
              </w:rPr>
              <w:t>90.7</w:t>
            </w:r>
          </w:p>
        </w:tc>
        <w:tc>
          <w:tcPr>
            <w:tcW w:w="794" w:type="dxa"/>
            <w:vAlign w:val="center"/>
          </w:tcPr>
          <w:p>
            <w:pPr>
              <w:jc w:val="center"/>
            </w:pPr>
            <w:r>
              <w:rPr>
                <w:szCs w:val="21"/>
              </w:rPr>
              <w:t>92</w:t>
            </w:r>
          </w:p>
        </w:tc>
        <w:tc>
          <w:tcPr>
            <w:tcW w:w="794" w:type="dxa"/>
            <w:vAlign w:val="center"/>
          </w:tcPr>
          <w:p>
            <w:pPr>
              <w:jc w:val="center"/>
            </w:pPr>
            <w:r>
              <w:rPr>
                <w:szCs w:val="21"/>
              </w:rPr>
              <w:t>93</w:t>
            </w:r>
          </w:p>
        </w:tc>
        <w:tc>
          <w:tcPr>
            <w:tcW w:w="794" w:type="dxa"/>
            <w:vAlign w:val="center"/>
          </w:tcPr>
          <w:p>
            <w:pPr>
              <w:jc w:val="center"/>
            </w:pPr>
            <w:r>
              <w:rPr>
                <w:szCs w:val="21"/>
              </w:rPr>
              <w:t>94</w:t>
            </w:r>
          </w:p>
        </w:tc>
        <w:tc>
          <w:tcPr>
            <w:tcW w:w="794" w:type="dxa"/>
            <w:vAlign w:val="center"/>
          </w:tcPr>
          <w:p>
            <w:pPr>
              <w:jc w:val="center"/>
            </w:pPr>
            <w:r>
              <w:rPr>
                <w:szCs w:val="21"/>
              </w:rPr>
              <w:t>95</w:t>
            </w:r>
          </w:p>
        </w:tc>
        <w:tc>
          <w:tcPr>
            <w:tcW w:w="1644" w:type="dxa"/>
            <w:vAlign w:val="center"/>
          </w:tcPr>
          <w:p>
            <w:pPr>
              <w:jc w:val="center"/>
            </w:pPr>
            <w:r>
              <w:rPr>
                <w:szCs w:val="21"/>
              </w:rPr>
              <w:t>区农业农村局</w:t>
            </w:r>
          </w:p>
        </w:tc>
        <w:tc>
          <w:tcPr>
            <w:tcW w:w="1644" w:type="dxa"/>
            <w:vAlign w:val="center"/>
          </w:tcPr>
          <w:p>
            <w:pPr>
              <w:jc w:val="center"/>
            </w:pPr>
            <w:r>
              <w:rPr>
                <w:szCs w:val="21"/>
              </w:rPr>
              <w:t>区农业农村局</w:t>
            </w:r>
          </w:p>
        </w:tc>
        <w:tc>
          <w:tcPr>
            <w:tcW w:w="1644" w:type="dxa"/>
            <w:vAlign w:val="center"/>
          </w:tcPr>
          <w:p>
            <w:pPr>
              <w:jc w:val="center"/>
            </w:pPr>
            <w:r>
              <w:rPr>
                <w:szCs w:val="21"/>
              </w:rPr>
              <w:t>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trPr>
        <w:tc>
          <w:tcPr>
            <w:tcW w:w="387" w:type="dxa"/>
            <w:vAlign w:val="center"/>
          </w:tcPr>
          <w:p>
            <w:pPr>
              <w:jc w:val="center"/>
            </w:pPr>
            <w:r>
              <w:rPr>
                <w:szCs w:val="21"/>
              </w:rPr>
              <w:t>19</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农药包装废弃物回收率</w:t>
            </w:r>
          </w:p>
        </w:tc>
        <w:tc>
          <w:tcPr>
            <w:tcW w:w="708" w:type="dxa"/>
            <w:vAlign w:val="center"/>
          </w:tcPr>
          <w:p>
            <w:pPr>
              <w:jc w:val="center"/>
            </w:pPr>
            <w:r>
              <w:rPr>
                <w:szCs w:val="21"/>
              </w:rPr>
              <w:t>%</w:t>
            </w:r>
          </w:p>
        </w:tc>
        <w:tc>
          <w:tcPr>
            <w:tcW w:w="794" w:type="dxa"/>
            <w:vAlign w:val="center"/>
          </w:tcPr>
          <w:p>
            <w:pPr>
              <w:jc w:val="center"/>
            </w:pPr>
            <w:r>
              <w:rPr>
                <w:szCs w:val="21"/>
              </w:rPr>
              <w:t>70.38</w:t>
            </w:r>
          </w:p>
        </w:tc>
        <w:tc>
          <w:tcPr>
            <w:tcW w:w="794" w:type="dxa"/>
            <w:vAlign w:val="center"/>
          </w:tcPr>
          <w:p>
            <w:pPr>
              <w:jc w:val="center"/>
            </w:pPr>
            <w:r>
              <w:rPr>
                <w:szCs w:val="21"/>
              </w:rPr>
              <w:t>82</w:t>
            </w:r>
          </w:p>
        </w:tc>
        <w:tc>
          <w:tcPr>
            <w:tcW w:w="794" w:type="dxa"/>
            <w:vAlign w:val="center"/>
          </w:tcPr>
          <w:p>
            <w:pPr>
              <w:jc w:val="center"/>
            </w:pPr>
            <w:r>
              <w:rPr>
                <w:szCs w:val="21"/>
              </w:rPr>
              <w:t>85</w:t>
            </w:r>
          </w:p>
        </w:tc>
        <w:tc>
          <w:tcPr>
            <w:tcW w:w="794" w:type="dxa"/>
            <w:vAlign w:val="center"/>
          </w:tcPr>
          <w:p>
            <w:pPr>
              <w:jc w:val="center"/>
            </w:pPr>
            <w:r>
              <w:rPr>
                <w:szCs w:val="21"/>
              </w:rPr>
              <w:t>90</w:t>
            </w:r>
          </w:p>
        </w:tc>
        <w:tc>
          <w:tcPr>
            <w:tcW w:w="794" w:type="dxa"/>
            <w:vAlign w:val="center"/>
          </w:tcPr>
          <w:p>
            <w:pPr>
              <w:jc w:val="center"/>
            </w:pPr>
            <w:r>
              <w:rPr>
                <w:szCs w:val="21"/>
              </w:rPr>
              <w:t>92</w:t>
            </w:r>
          </w:p>
        </w:tc>
        <w:tc>
          <w:tcPr>
            <w:tcW w:w="1644" w:type="dxa"/>
            <w:vAlign w:val="center"/>
          </w:tcPr>
          <w:p>
            <w:pPr>
              <w:jc w:val="center"/>
            </w:pPr>
            <w:r>
              <w:rPr>
                <w:szCs w:val="21"/>
              </w:rPr>
              <w:t>区农业农村局</w:t>
            </w:r>
          </w:p>
        </w:tc>
        <w:tc>
          <w:tcPr>
            <w:tcW w:w="1644" w:type="dxa"/>
            <w:vAlign w:val="center"/>
          </w:tcPr>
          <w:p>
            <w:pPr>
              <w:jc w:val="center"/>
            </w:pPr>
            <w:r>
              <w:rPr>
                <w:szCs w:val="21"/>
              </w:rPr>
              <w:t>区农业农村局</w:t>
            </w:r>
          </w:p>
        </w:tc>
        <w:tc>
          <w:tcPr>
            <w:tcW w:w="1644" w:type="dxa"/>
            <w:vAlign w:val="center"/>
          </w:tcPr>
          <w:p>
            <w:pPr>
              <w:jc w:val="center"/>
            </w:pPr>
            <w:r>
              <w:rPr>
                <w:szCs w:val="21"/>
              </w:rPr>
              <w:t>92%以上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0" w:hRule="atLeast"/>
        </w:trPr>
        <w:tc>
          <w:tcPr>
            <w:tcW w:w="387" w:type="dxa"/>
            <w:vAlign w:val="center"/>
          </w:tcPr>
          <w:p>
            <w:pPr>
              <w:jc w:val="center"/>
            </w:pPr>
            <w:r>
              <w:rPr>
                <w:szCs w:val="21"/>
              </w:rPr>
              <w:t>20</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化学农药施用量亩均下降幅度</w:t>
            </w:r>
          </w:p>
        </w:tc>
        <w:tc>
          <w:tcPr>
            <w:tcW w:w="708"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4</w:t>
            </w:r>
          </w:p>
        </w:tc>
        <w:tc>
          <w:tcPr>
            <w:tcW w:w="794" w:type="dxa"/>
            <w:vAlign w:val="center"/>
          </w:tcPr>
          <w:p>
            <w:pPr>
              <w:jc w:val="center"/>
            </w:pPr>
            <w:r>
              <w:rPr>
                <w:szCs w:val="21"/>
              </w:rPr>
              <w:t>6</w:t>
            </w:r>
          </w:p>
        </w:tc>
        <w:tc>
          <w:tcPr>
            <w:tcW w:w="794" w:type="dxa"/>
            <w:vAlign w:val="center"/>
          </w:tcPr>
          <w:p>
            <w:pPr>
              <w:jc w:val="center"/>
            </w:pPr>
            <w:r>
              <w:rPr>
                <w:szCs w:val="21"/>
              </w:rPr>
              <w:t>8</w:t>
            </w:r>
          </w:p>
        </w:tc>
        <w:tc>
          <w:tcPr>
            <w:tcW w:w="794" w:type="dxa"/>
            <w:vAlign w:val="center"/>
          </w:tcPr>
          <w:p>
            <w:pPr>
              <w:jc w:val="center"/>
            </w:pPr>
            <w:r>
              <w:rPr>
                <w:szCs w:val="21"/>
              </w:rPr>
              <w:t>10</w:t>
            </w:r>
          </w:p>
        </w:tc>
        <w:tc>
          <w:tcPr>
            <w:tcW w:w="1644" w:type="dxa"/>
            <w:vAlign w:val="center"/>
          </w:tcPr>
          <w:p>
            <w:pPr>
              <w:jc w:val="center"/>
            </w:pPr>
            <w:r>
              <w:rPr>
                <w:szCs w:val="21"/>
              </w:rPr>
              <w:t>区农业农村局、区统计局</w:t>
            </w:r>
          </w:p>
        </w:tc>
        <w:tc>
          <w:tcPr>
            <w:tcW w:w="1644" w:type="dxa"/>
            <w:vAlign w:val="center"/>
          </w:tcPr>
          <w:p>
            <w:pPr>
              <w:jc w:val="center"/>
            </w:pPr>
            <w:r>
              <w:rPr>
                <w:szCs w:val="21"/>
              </w:rPr>
              <w:t>区农业农村局</w:t>
            </w:r>
          </w:p>
        </w:tc>
        <w:tc>
          <w:tcPr>
            <w:tcW w:w="1644" w:type="dxa"/>
            <w:vAlign w:val="center"/>
          </w:tcPr>
          <w:p>
            <w:pPr>
              <w:jc w:val="center"/>
            </w:pPr>
            <w:r>
              <w:rPr>
                <w:szCs w:val="21"/>
              </w:rPr>
              <w:t>单位耕地面积农药施用量较</w:t>
            </w:r>
          </w:p>
          <w:p>
            <w:pPr>
              <w:jc w:val="center"/>
            </w:pPr>
            <w:r>
              <w:rPr>
                <w:szCs w:val="21"/>
              </w:rPr>
              <w:t>2020年下降10%左右(耕地面积不变计)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0" w:hRule="atLeast"/>
        </w:trPr>
        <w:tc>
          <w:tcPr>
            <w:tcW w:w="387" w:type="dxa"/>
            <w:vAlign w:val="center"/>
          </w:tcPr>
          <w:p>
            <w:pPr>
              <w:jc w:val="center"/>
            </w:pPr>
            <w:r>
              <w:rPr>
                <w:szCs w:val="21"/>
              </w:rPr>
              <w:t>21</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rPr>
                <w:szCs w:val="21"/>
              </w:rPr>
            </w:pPr>
            <w:r>
              <w:rPr>
                <w:szCs w:val="21"/>
              </w:rPr>
              <w:t>化学肥料施用量亩均下降幅度</w:t>
            </w:r>
          </w:p>
        </w:tc>
        <w:tc>
          <w:tcPr>
            <w:tcW w:w="708"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3</w:t>
            </w:r>
          </w:p>
        </w:tc>
        <w:tc>
          <w:tcPr>
            <w:tcW w:w="794" w:type="dxa"/>
            <w:vAlign w:val="center"/>
          </w:tcPr>
          <w:p>
            <w:pPr>
              <w:jc w:val="center"/>
            </w:pPr>
            <w:r>
              <w:rPr>
                <w:szCs w:val="21"/>
              </w:rPr>
              <w:t>4</w:t>
            </w:r>
          </w:p>
        </w:tc>
        <w:tc>
          <w:tcPr>
            <w:tcW w:w="794" w:type="dxa"/>
            <w:vAlign w:val="center"/>
          </w:tcPr>
          <w:p>
            <w:pPr>
              <w:jc w:val="center"/>
            </w:pPr>
            <w:r>
              <w:rPr>
                <w:szCs w:val="21"/>
              </w:rPr>
              <w:t>5</w:t>
            </w:r>
          </w:p>
        </w:tc>
        <w:tc>
          <w:tcPr>
            <w:tcW w:w="794" w:type="dxa"/>
            <w:vAlign w:val="center"/>
          </w:tcPr>
          <w:p>
            <w:pPr>
              <w:jc w:val="center"/>
            </w:pPr>
            <w:r>
              <w:rPr>
                <w:szCs w:val="21"/>
              </w:rPr>
              <w:t>6</w:t>
            </w:r>
          </w:p>
        </w:tc>
        <w:tc>
          <w:tcPr>
            <w:tcW w:w="1644" w:type="dxa"/>
            <w:vAlign w:val="center"/>
          </w:tcPr>
          <w:p>
            <w:pPr>
              <w:jc w:val="center"/>
            </w:pPr>
            <w:r>
              <w:rPr>
                <w:szCs w:val="21"/>
              </w:rPr>
              <w:t>区农业农村局，区统计局</w:t>
            </w:r>
          </w:p>
        </w:tc>
        <w:tc>
          <w:tcPr>
            <w:tcW w:w="1644" w:type="dxa"/>
            <w:vAlign w:val="center"/>
          </w:tcPr>
          <w:p>
            <w:pPr>
              <w:jc w:val="center"/>
            </w:pPr>
            <w:r>
              <w:rPr>
                <w:szCs w:val="21"/>
              </w:rPr>
              <w:t>区农业农村局</w:t>
            </w:r>
          </w:p>
        </w:tc>
        <w:tc>
          <w:tcPr>
            <w:tcW w:w="1644" w:type="dxa"/>
            <w:vAlign w:val="center"/>
          </w:tcPr>
          <w:p>
            <w:pPr>
              <w:jc w:val="center"/>
            </w:pPr>
            <w:r>
              <w:rPr>
                <w:szCs w:val="21"/>
              </w:rPr>
              <w:t>单位耕地面积化肥施用量较</w:t>
            </w:r>
          </w:p>
          <w:p>
            <w:pPr>
              <w:jc w:val="center"/>
            </w:pPr>
            <w:r>
              <w:rPr>
                <w:szCs w:val="21"/>
              </w:rPr>
              <w:t>2020年下降6%左右(耕地面积不变计)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45" w:hRule="atLeast"/>
        </w:trPr>
        <w:tc>
          <w:tcPr>
            <w:tcW w:w="387" w:type="dxa"/>
            <w:vAlign w:val="center"/>
          </w:tcPr>
          <w:p>
            <w:pPr>
              <w:jc w:val="center"/>
              <w:rPr>
                <w:szCs w:val="21"/>
              </w:rPr>
            </w:pPr>
            <w:r>
              <w:rPr>
                <w:rFonts w:hint="eastAsia"/>
                <w:szCs w:val="21"/>
              </w:rPr>
              <w:t>22</w:t>
            </w:r>
          </w:p>
        </w:tc>
        <w:tc>
          <w:tcPr>
            <w:tcW w:w="606" w:type="dxa"/>
            <w:vMerge w:val="continue"/>
            <w:vAlign w:val="center"/>
          </w:tcPr>
          <w:p>
            <w:pPr>
              <w:jc w:val="center"/>
            </w:pPr>
          </w:p>
        </w:tc>
        <w:tc>
          <w:tcPr>
            <w:tcW w:w="708" w:type="dxa"/>
            <w:tcBorders>
              <w:top w:val="single" w:color="000000" w:sz="4" w:space="0"/>
            </w:tcBorders>
            <w:vAlign w:val="center"/>
          </w:tcPr>
          <w:p>
            <w:pPr>
              <w:jc w:val="center"/>
            </w:pPr>
            <w:r>
              <w:rPr>
                <w:szCs w:val="21"/>
              </w:rPr>
              <w:t>建筑垃圾</w:t>
            </w:r>
            <w:r>
              <w:rPr>
                <w:rFonts w:hint="eastAsia"/>
                <w:szCs w:val="21"/>
              </w:rPr>
              <w:t>资源化</w:t>
            </w:r>
            <w:r>
              <w:rPr>
                <w:szCs w:val="21"/>
              </w:rPr>
              <w:t>利用</w:t>
            </w:r>
          </w:p>
        </w:tc>
        <w:tc>
          <w:tcPr>
            <w:tcW w:w="2127" w:type="dxa"/>
            <w:vAlign w:val="center"/>
          </w:tcPr>
          <w:p>
            <w:pPr>
              <w:jc w:val="center"/>
            </w:pPr>
            <w:r>
              <w:rPr>
                <w:szCs w:val="21"/>
              </w:rPr>
              <w:t>建筑垃圾综合利用率</w:t>
            </w:r>
          </w:p>
        </w:tc>
        <w:tc>
          <w:tcPr>
            <w:tcW w:w="708" w:type="dxa"/>
            <w:vAlign w:val="center"/>
          </w:tcPr>
          <w:p>
            <w:pPr>
              <w:jc w:val="center"/>
            </w:pPr>
            <w:r>
              <w:rPr>
                <w:szCs w:val="21"/>
              </w:rPr>
              <w:t>%</w:t>
            </w:r>
          </w:p>
        </w:tc>
        <w:tc>
          <w:tcPr>
            <w:tcW w:w="794" w:type="dxa"/>
            <w:vAlign w:val="center"/>
          </w:tcPr>
          <w:p>
            <w:pPr>
              <w:jc w:val="center"/>
            </w:pPr>
            <w:r>
              <w:rPr>
                <w:szCs w:val="21"/>
              </w:rPr>
              <w:t>40</w:t>
            </w:r>
          </w:p>
        </w:tc>
        <w:tc>
          <w:tcPr>
            <w:tcW w:w="794" w:type="dxa"/>
            <w:vAlign w:val="center"/>
          </w:tcPr>
          <w:p>
            <w:pPr>
              <w:jc w:val="center"/>
            </w:pPr>
            <w:r>
              <w:rPr>
                <w:szCs w:val="21"/>
              </w:rPr>
              <w:t>28</w:t>
            </w:r>
          </w:p>
        </w:tc>
        <w:tc>
          <w:tcPr>
            <w:tcW w:w="794" w:type="dxa"/>
            <w:vAlign w:val="center"/>
          </w:tcPr>
          <w:p>
            <w:pPr>
              <w:jc w:val="center"/>
            </w:pPr>
            <w:r>
              <w:rPr>
                <w:szCs w:val="21"/>
              </w:rPr>
              <w:t>32</w:t>
            </w:r>
          </w:p>
        </w:tc>
        <w:tc>
          <w:tcPr>
            <w:tcW w:w="794" w:type="dxa"/>
            <w:vAlign w:val="center"/>
          </w:tcPr>
          <w:p>
            <w:pPr>
              <w:jc w:val="center"/>
            </w:pPr>
            <w:r>
              <w:rPr>
                <w:szCs w:val="21"/>
              </w:rPr>
              <w:t>36</w:t>
            </w:r>
          </w:p>
        </w:tc>
        <w:tc>
          <w:tcPr>
            <w:tcW w:w="794" w:type="dxa"/>
            <w:vAlign w:val="center"/>
          </w:tcPr>
          <w:p>
            <w:pPr>
              <w:jc w:val="center"/>
            </w:pPr>
            <w:r>
              <w:rPr>
                <w:szCs w:val="21"/>
              </w:rPr>
              <w:t>40</w:t>
            </w:r>
          </w:p>
        </w:tc>
        <w:tc>
          <w:tcPr>
            <w:tcW w:w="1644" w:type="dxa"/>
            <w:vAlign w:val="center"/>
          </w:tcPr>
          <w:p>
            <w:pPr>
              <w:jc w:val="center"/>
            </w:pPr>
            <w:r>
              <w:rPr>
                <w:szCs w:val="21"/>
              </w:rPr>
              <w:t>区城市管理局</w:t>
            </w:r>
          </w:p>
        </w:tc>
        <w:tc>
          <w:tcPr>
            <w:tcW w:w="1644" w:type="dxa"/>
            <w:vAlign w:val="center"/>
          </w:tcPr>
          <w:p>
            <w:pPr>
              <w:jc w:val="center"/>
            </w:pPr>
            <w:r>
              <w:rPr>
                <w:szCs w:val="21"/>
              </w:rPr>
              <w:t>区城市管理局</w:t>
            </w:r>
          </w:p>
        </w:tc>
        <w:tc>
          <w:tcPr>
            <w:tcW w:w="1644" w:type="dxa"/>
            <w:vAlign w:val="center"/>
          </w:tcPr>
          <w:p>
            <w:pPr>
              <w:jc w:val="center"/>
            </w:pPr>
            <w:r>
              <w:rPr>
                <w:szCs w:val="21"/>
              </w:rPr>
              <w:t>40%以上</w:t>
            </w:r>
          </w:p>
        </w:tc>
      </w:tr>
    </w:tbl>
    <w:p/>
    <w:tbl>
      <w:tblPr>
        <w:tblStyle w:val="18"/>
        <w:tblW w:w="134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7"/>
        <w:gridCol w:w="606"/>
        <w:gridCol w:w="708"/>
        <w:gridCol w:w="2127"/>
        <w:gridCol w:w="708"/>
        <w:gridCol w:w="794"/>
        <w:gridCol w:w="794"/>
        <w:gridCol w:w="794"/>
        <w:gridCol w:w="794"/>
        <w:gridCol w:w="794"/>
        <w:gridCol w:w="1644"/>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87" w:type="dxa"/>
            <w:textDirection w:val="tbRlV"/>
            <w:vAlign w:val="center"/>
          </w:tcPr>
          <w:p>
            <w:pPr>
              <w:jc w:val="center"/>
              <w:rPr>
                <w:rFonts w:eastAsia="黑体"/>
                <w:w w:val="90"/>
                <w:sz w:val="24"/>
                <w:szCs w:val="18"/>
              </w:rPr>
            </w:pPr>
            <w:r>
              <w:rPr>
                <w:rFonts w:eastAsia="黑体"/>
                <w:w w:val="90"/>
                <w:sz w:val="24"/>
                <w:szCs w:val="18"/>
              </w:rPr>
              <w:t>序号</w:t>
            </w:r>
          </w:p>
        </w:tc>
        <w:tc>
          <w:tcPr>
            <w:tcW w:w="606" w:type="dxa"/>
            <w:vAlign w:val="center"/>
          </w:tcPr>
          <w:p>
            <w:pPr>
              <w:jc w:val="center"/>
              <w:rPr>
                <w:rFonts w:eastAsia="黑体"/>
                <w:sz w:val="24"/>
                <w:szCs w:val="18"/>
              </w:rPr>
            </w:pPr>
            <w:r>
              <w:rPr>
                <w:rFonts w:eastAsia="黑体"/>
                <w:sz w:val="24"/>
                <w:szCs w:val="18"/>
              </w:rPr>
              <w:t>一级</w:t>
            </w:r>
          </w:p>
          <w:p>
            <w:pPr>
              <w:jc w:val="center"/>
              <w:rPr>
                <w:rFonts w:eastAsia="黑体"/>
                <w:sz w:val="24"/>
                <w:szCs w:val="18"/>
              </w:rPr>
            </w:pPr>
            <w:r>
              <w:rPr>
                <w:rFonts w:eastAsia="黑体"/>
                <w:sz w:val="24"/>
                <w:szCs w:val="18"/>
              </w:rPr>
              <w:t>指标</w:t>
            </w:r>
          </w:p>
        </w:tc>
        <w:tc>
          <w:tcPr>
            <w:tcW w:w="708" w:type="dxa"/>
            <w:vAlign w:val="center"/>
          </w:tcPr>
          <w:p>
            <w:pPr>
              <w:jc w:val="center"/>
              <w:rPr>
                <w:rFonts w:eastAsia="黑体"/>
                <w:sz w:val="24"/>
                <w:szCs w:val="18"/>
              </w:rPr>
            </w:pPr>
            <w:r>
              <w:rPr>
                <w:rFonts w:eastAsia="黑体"/>
                <w:sz w:val="24"/>
                <w:szCs w:val="18"/>
              </w:rPr>
              <w:t>二级</w:t>
            </w:r>
          </w:p>
          <w:p>
            <w:pPr>
              <w:jc w:val="center"/>
              <w:rPr>
                <w:rFonts w:eastAsia="黑体"/>
                <w:sz w:val="24"/>
                <w:szCs w:val="18"/>
              </w:rPr>
            </w:pPr>
            <w:r>
              <w:rPr>
                <w:rFonts w:eastAsia="黑体"/>
                <w:sz w:val="24"/>
                <w:szCs w:val="18"/>
              </w:rPr>
              <w:t>指标</w:t>
            </w:r>
          </w:p>
        </w:tc>
        <w:tc>
          <w:tcPr>
            <w:tcW w:w="2127" w:type="dxa"/>
            <w:vAlign w:val="center"/>
          </w:tcPr>
          <w:p>
            <w:pPr>
              <w:jc w:val="center"/>
              <w:rPr>
                <w:rFonts w:eastAsia="黑体"/>
                <w:sz w:val="24"/>
                <w:szCs w:val="18"/>
              </w:rPr>
            </w:pPr>
            <w:r>
              <w:rPr>
                <w:rFonts w:eastAsia="黑体"/>
                <w:sz w:val="24"/>
                <w:szCs w:val="18"/>
              </w:rPr>
              <w:t>三级指标</w:t>
            </w:r>
          </w:p>
        </w:tc>
        <w:tc>
          <w:tcPr>
            <w:tcW w:w="708" w:type="dxa"/>
            <w:vAlign w:val="center"/>
          </w:tcPr>
          <w:p>
            <w:pPr>
              <w:jc w:val="center"/>
              <w:rPr>
                <w:rFonts w:eastAsia="黑体"/>
                <w:sz w:val="24"/>
                <w:szCs w:val="18"/>
              </w:rPr>
            </w:pPr>
            <w:r>
              <w:rPr>
                <w:rFonts w:eastAsia="黑体"/>
                <w:sz w:val="24"/>
                <w:szCs w:val="18"/>
              </w:rPr>
              <w:t>单位</w:t>
            </w:r>
          </w:p>
        </w:tc>
        <w:tc>
          <w:tcPr>
            <w:tcW w:w="794" w:type="dxa"/>
            <w:vAlign w:val="center"/>
          </w:tcPr>
          <w:p>
            <w:pPr>
              <w:jc w:val="center"/>
              <w:rPr>
                <w:rFonts w:eastAsia="黑体"/>
                <w:sz w:val="24"/>
                <w:szCs w:val="18"/>
              </w:rPr>
            </w:pPr>
            <w:r>
              <w:rPr>
                <w:rFonts w:eastAsia="黑体"/>
                <w:sz w:val="24"/>
                <w:szCs w:val="18"/>
              </w:rPr>
              <w:t>2020年</w:t>
            </w:r>
          </w:p>
        </w:tc>
        <w:tc>
          <w:tcPr>
            <w:tcW w:w="794" w:type="dxa"/>
            <w:vAlign w:val="center"/>
          </w:tcPr>
          <w:p>
            <w:pPr>
              <w:jc w:val="center"/>
              <w:rPr>
                <w:rFonts w:eastAsia="黑体"/>
                <w:sz w:val="24"/>
                <w:szCs w:val="18"/>
              </w:rPr>
            </w:pPr>
            <w:r>
              <w:rPr>
                <w:rFonts w:eastAsia="黑体"/>
                <w:sz w:val="24"/>
                <w:szCs w:val="18"/>
              </w:rPr>
              <w:t>2022年</w:t>
            </w:r>
          </w:p>
        </w:tc>
        <w:tc>
          <w:tcPr>
            <w:tcW w:w="794" w:type="dxa"/>
            <w:vAlign w:val="center"/>
          </w:tcPr>
          <w:p>
            <w:pPr>
              <w:jc w:val="center"/>
              <w:rPr>
                <w:rFonts w:eastAsia="黑体"/>
                <w:sz w:val="24"/>
                <w:szCs w:val="18"/>
              </w:rPr>
            </w:pPr>
            <w:r>
              <w:rPr>
                <w:rFonts w:eastAsia="黑体"/>
                <w:sz w:val="24"/>
                <w:szCs w:val="18"/>
              </w:rPr>
              <w:t>2023年</w:t>
            </w:r>
          </w:p>
        </w:tc>
        <w:tc>
          <w:tcPr>
            <w:tcW w:w="794" w:type="dxa"/>
            <w:vAlign w:val="center"/>
          </w:tcPr>
          <w:p>
            <w:pPr>
              <w:jc w:val="center"/>
              <w:rPr>
                <w:rFonts w:eastAsia="黑体"/>
                <w:sz w:val="24"/>
                <w:szCs w:val="18"/>
              </w:rPr>
            </w:pPr>
            <w:r>
              <w:rPr>
                <w:rFonts w:eastAsia="黑体"/>
                <w:sz w:val="24"/>
                <w:szCs w:val="18"/>
              </w:rPr>
              <w:t>2024年</w:t>
            </w:r>
          </w:p>
        </w:tc>
        <w:tc>
          <w:tcPr>
            <w:tcW w:w="794" w:type="dxa"/>
            <w:vAlign w:val="center"/>
          </w:tcPr>
          <w:p>
            <w:pPr>
              <w:jc w:val="center"/>
              <w:rPr>
                <w:rFonts w:eastAsia="黑体"/>
                <w:sz w:val="24"/>
                <w:szCs w:val="18"/>
              </w:rPr>
            </w:pPr>
            <w:r>
              <w:rPr>
                <w:rFonts w:eastAsia="黑体"/>
                <w:sz w:val="24"/>
                <w:szCs w:val="18"/>
              </w:rPr>
              <w:t>2025年</w:t>
            </w:r>
          </w:p>
        </w:tc>
        <w:tc>
          <w:tcPr>
            <w:tcW w:w="1644" w:type="dxa"/>
            <w:vAlign w:val="center"/>
          </w:tcPr>
          <w:p>
            <w:pPr>
              <w:jc w:val="center"/>
              <w:rPr>
                <w:rFonts w:eastAsia="黑体"/>
                <w:sz w:val="24"/>
                <w:szCs w:val="18"/>
              </w:rPr>
            </w:pPr>
            <w:r>
              <w:rPr>
                <w:rFonts w:eastAsia="黑体"/>
                <w:sz w:val="24"/>
                <w:szCs w:val="18"/>
              </w:rPr>
              <w:t>数据来源部门</w:t>
            </w:r>
          </w:p>
        </w:tc>
        <w:tc>
          <w:tcPr>
            <w:tcW w:w="1644" w:type="dxa"/>
            <w:vAlign w:val="center"/>
          </w:tcPr>
          <w:p>
            <w:pPr>
              <w:jc w:val="center"/>
              <w:rPr>
                <w:rFonts w:eastAsia="黑体"/>
                <w:sz w:val="24"/>
                <w:szCs w:val="18"/>
              </w:rPr>
            </w:pPr>
            <w:r>
              <w:rPr>
                <w:rFonts w:eastAsia="黑体"/>
                <w:sz w:val="24"/>
                <w:szCs w:val="18"/>
              </w:rPr>
              <w:t>责任部门</w:t>
            </w:r>
          </w:p>
        </w:tc>
        <w:tc>
          <w:tcPr>
            <w:tcW w:w="1644" w:type="dxa"/>
            <w:vAlign w:val="center"/>
          </w:tcPr>
          <w:p>
            <w:pPr>
              <w:jc w:val="center"/>
              <w:rPr>
                <w:rFonts w:eastAsia="黑体"/>
                <w:sz w:val="24"/>
                <w:szCs w:val="18"/>
              </w:rPr>
            </w:pPr>
            <w:r>
              <w:rPr>
                <w:rFonts w:eastAsia="黑体"/>
                <w:sz w:val="24"/>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7" w:hRule="atLeast"/>
        </w:trPr>
        <w:tc>
          <w:tcPr>
            <w:tcW w:w="387" w:type="dxa"/>
            <w:vAlign w:val="center"/>
          </w:tcPr>
          <w:p>
            <w:pPr>
              <w:jc w:val="center"/>
            </w:pPr>
            <w:r>
              <w:rPr>
                <w:szCs w:val="21"/>
              </w:rPr>
              <w:t>23</w:t>
            </w:r>
          </w:p>
        </w:tc>
        <w:tc>
          <w:tcPr>
            <w:tcW w:w="606" w:type="dxa"/>
            <w:vMerge w:val="restart"/>
            <w:vAlign w:val="center"/>
          </w:tcPr>
          <w:p>
            <w:pPr>
              <w:jc w:val="center"/>
            </w:pPr>
            <w:r>
              <w:rPr>
                <w:szCs w:val="21"/>
              </w:rPr>
              <w:t>固体废物资源化利用</w:t>
            </w:r>
          </w:p>
        </w:tc>
        <w:tc>
          <w:tcPr>
            <w:tcW w:w="708" w:type="dxa"/>
            <w:vMerge w:val="restart"/>
            <w:vAlign w:val="center"/>
          </w:tcPr>
          <w:p>
            <w:pPr>
              <w:jc w:val="center"/>
            </w:pPr>
            <w:r>
              <w:rPr>
                <w:szCs w:val="21"/>
              </w:rPr>
              <w:t>生活领域固体废物资源化利</w:t>
            </w:r>
          </w:p>
          <w:p>
            <w:pPr>
              <w:jc w:val="center"/>
            </w:pPr>
            <w:r>
              <w:rPr>
                <w:szCs w:val="21"/>
              </w:rPr>
              <w:t>用</w:t>
            </w:r>
          </w:p>
        </w:tc>
        <w:tc>
          <w:tcPr>
            <w:tcW w:w="2127" w:type="dxa"/>
            <w:vAlign w:val="center"/>
          </w:tcPr>
          <w:p>
            <w:pPr>
              <w:jc w:val="center"/>
            </w:pPr>
            <w:r>
              <w:rPr>
                <w:szCs w:val="21"/>
              </w:rPr>
              <w:t>生活垃圾资源化利用率</w:t>
            </w:r>
            <w:r>
              <w:rPr>
                <w:rFonts w:hint="eastAsia" w:ascii="宋体" w:hAnsi="宋体" w:cs="宋体"/>
                <w:szCs w:val="21"/>
              </w:rPr>
              <w:t>★</w:t>
            </w:r>
          </w:p>
        </w:tc>
        <w:tc>
          <w:tcPr>
            <w:tcW w:w="708"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75</w:t>
            </w:r>
          </w:p>
        </w:tc>
        <w:tc>
          <w:tcPr>
            <w:tcW w:w="794" w:type="dxa"/>
            <w:vAlign w:val="center"/>
          </w:tcPr>
          <w:p>
            <w:pPr>
              <w:jc w:val="center"/>
            </w:pPr>
            <w:r>
              <w:rPr>
                <w:szCs w:val="21"/>
              </w:rPr>
              <w:t>80</w:t>
            </w:r>
          </w:p>
        </w:tc>
        <w:tc>
          <w:tcPr>
            <w:tcW w:w="794" w:type="dxa"/>
            <w:vAlign w:val="center"/>
          </w:tcPr>
          <w:p>
            <w:pPr>
              <w:jc w:val="center"/>
            </w:pPr>
            <w:r>
              <w:rPr>
                <w:szCs w:val="21"/>
              </w:rPr>
              <w:t>90</w:t>
            </w:r>
          </w:p>
        </w:tc>
        <w:tc>
          <w:tcPr>
            <w:tcW w:w="794" w:type="dxa"/>
            <w:vAlign w:val="center"/>
          </w:tcPr>
          <w:p>
            <w:pPr>
              <w:jc w:val="center"/>
            </w:pPr>
            <w:r>
              <w:rPr>
                <w:szCs w:val="21"/>
              </w:rPr>
              <w:t>95</w:t>
            </w:r>
          </w:p>
        </w:tc>
        <w:tc>
          <w:tcPr>
            <w:tcW w:w="1644" w:type="dxa"/>
            <w:vAlign w:val="center"/>
          </w:tcPr>
          <w:p>
            <w:pPr>
              <w:jc w:val="center"/>
            </w:pPr>
            <w:r>
              <w:rPr>
                <w:szCs w:val="21"/>
              </w:rPr>
              <w:t>区环境卫生管护服务中心</w:t>
            </w:r>
          </w:p>
        </w:tc>
        <w:tc>
          <w:tcPr>
            <w:tcW w:w="1644" w:type="dxa"/>
            <w:vAlign w:val="center"/>
          </w:tcPr>
          <w:p>
            <w:pPr>
              <w:jc w:val="center"/>
            </w:pPr>
            <w:r>
              <w:rPr>
                <w:szCs w:val="21"/>
              </w:rPr>
              <w:t>区环境卫生管护服务中心</w:t>
            </w:r>
          </w:p>
        </w:tc>
        <w:tc>
          <w:tcPr>
            <w:tcW w:w="1644" w:type="dxa"/>
            <w:vAlign w:val="center"/>
          </w:tcPr>
          <w:p>
            <w:pPr>
              <w:jc w:val="center"/>
            </w:pPr>
            <w:r>
              <w:rPr>
                <w:szCs w:val="21"/>
              </w:rPr>
              <w:t>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7" w:hRule="atLeast"/>
        </w:trPr>
        <w:tc>
          <w:tcPr>
            <w:tcW w:w="387" w:type="dxa"/>
            <w:vAlign w:val="center"/>
          </w:tcPr>
          <w:p>
            <w:pPr>
              <w:jc w:val="center"/>
            </w:pPr>
            <w:r>
              <w:rPr>
                <w:szCs w:val="21"/>
              </w:rPr>
              <w:t>24</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医疗卫生机构可回收物回收率</w:t>
            </w:r>
            <w:r>
              <w:rPr>
                <w:rFonts w:hint="eastAsia" w:ascii="宋体" w:hAnsi="宋体" w:cs="宋体"/>
                <w:szCs w:val="21"/>
              </w:rPr>
              <w:t>★</w:t>
            </w:r>
          </w:p>
        </w:tc>
        <w:tc>
          <w:tcPr>
            <w:tcW w:w="708" w:type="dxa"/>
            <w:vAlign w:val="center"/>
          </w:tcPr>
          <w:p>
            <w:pPr>
              <w:jc w:val="center"/>
            </w:pPr>
            <w:r>
              <w:rPr>
                <w:szCs w:val="21"/>
              </w:rPr>
              <w:t>%</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1644" w:type="dxa"/>
            <w:vAlign w:val="center"/>
          </w:tcPr>
          <w:p>
            <w:pPr>
              <w:jc w:val="center"/>
            </w:pPr>
            <w:r>
              <w:rPr>
                <w:szCs w:val="21"/>
              </w:rPr>
              <w:t>区卫生健康局</w:t>
            </w:r>
          </w:p>
        </w:tc>
        <w:tc>
          <w:tcPr>
            <w:tcW w:w="1644" w:type="dxa"/>
            <w:vAlign w:val="center"/>
          </w:tcPr>
          <w:p>
            <w:pPr>
              <w:jc w:val="center"/>
            </w:pPr>
            <w:r>
              <w:rPr>
                <w:szCs w:val="21"/>
              </w:rPr>
              <w:t>区卫生健康局</w:t>
            </w:r>
          </w:p>
        </w:tc>
        <w:tc>
          <w:tcPr>
            <w:tcW w:w="1644" w:type="dxa"/>
            <w:vAlign w:val="center"/>
          </w:tcPr>
          <w:p>
            <w:pPr>
              <w:jc w:val="center"/>
            </w:pPr>
            <w:r>
              <w:rPr>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7" w:hRule="atLeast"/>
        </w:trPr>
        <w:tc>
          <w:tcPr>
            <w:tcW w:w="387" w:type="dxa"/>
            <w:vAlign w:val="center"/>
          </w:tcPr>
          <w:p>
            <w:pPr>
              <w:jc w:val="center"/>
            </w:pPr>
            <w:r>
              <w:rPr>
                <w:szCs w:val="21"/>
              </w:rPr>
              <w:t>25</w:t>
            </w:r>
          </w:p>
        </w:tc>
        <w:tc>
          <w:tcPr>
            <w:tcW w:w="606" w:type="dxa"/>
            <w:vMerge w:val="restart"/>
            <w:vAlign w:val="center"/>
          </w:tcPr>
          <w:p>
            <w:pPr>
              <w:jc w:val="center"/>
            </w:pPr>
            <w:r>
              <w:rPr>
                <w:szCs w:val="21"/>
              </w:rPr>
              <w:t>固体废物最终处置</w:t>
            </w:r>
          </w:p>
        </w:tc>
        <w:tc>
          <w:tcPr>
            <w:tcW w:w="708" w:type="dxa"/>
            <w:vMerge w:val="restart"/>
            <w:vAlign w:val="center"/>
          </w:tcPr>
          <w:p>
            <w:pPr>
              <w:jc w:val="center"/>
            </w:pPr>
            <w:r>
              <w:rPr>
                <w:szCs w:val="21"/>
              </w:rPr>
              <w:t>危险废物安全处置</w:t>
            </w:r>
          </w:p>
          <w:p>
            <w:pPr>
              <w:jc w:val="center"/>
            </w:pPr>
          </w:p>
        </w:tc>
        <w:tc>
          <w:tcPr>
            <w:tcW w:w="2127" w:type="dxa"/>
            <w:vAlign w:val="center"/>
          </w:tcPr>
          <w:p>
            <w:pPr>
              <w:jc w:val="center"/>
            </w:pPr>
            <w:r>
              <w:rPr>
                <w:szCs w:val="21"/>
              </w:rPr>
              <w:t>工业危险废物填埋处置量下降幅度</w:t>
            </w:r>
            <w:r>
              <w:rPr>
                <w:rFonts w:hint="eastAsia" w:ascii="宋体" w:hAnsi="宋体" w:cs="宋体"/>
                <w:szCs w:val="21"/>
              </w:rPr>
              <w:t>★</w:t>
            </w:r>
          </w:p>
        </w:tc>
        <w:tc>
          <w:tcPr>
            <w:tcW w:w="708"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0</w:t>
            </w:r>
          </w:p>
        </w:tc>
        <w:tc>
          <w:tcPr>
            <w:tcW w:w="794" w:type="dxa"/>
            <w:vAlign w:val="center"/>
          </w:tcPr>
          <w:p>
            <w:pPr>
              <w:jc w:val="center"/>
            </w:pPr>
            <w:r>
              <w:rPr>
                <w:szCs w:val="21"/>
              </w:rPr>
              <w:t>0</w:t>
            </w:r>
          </w:p>
        </w:tc>
        <w:tc>
          <w:tcPr>
            <w:tcW w:w="794" w:type="dxa"/>
            <w:vAlign w:val="center"/>
          </w:tcPr>
          <w:p>
            <w:pPr>
              <w:jc w:val="center"/>
            </w:pPr>
            <w:r>
              <w:rPr>
                <w:szCs w:val="21"/>
              </w:rPr>
              <w:t>0</w:t>
            </w:r>
          </w:p>
        </w:tc>
        <w:tc>
          <w:tcPr>
            <w:tcW w:w="794" w:type="dxa"/>
            <w:vAlign w:val="center"/>
          </w:tcPr>
          <w:p>
            <w:pPr>
              <w:jc w:val="center"/>
            </w:pPr>
            <w:r>
              <w:rPr>
                <w:szCs w:val="21"/>
              </w:rPr>
              <w:t>0</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总体平稳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7" w:hRule="atLeast"/>
        </w:trPr>
        <w:tc>
          <w:tcPr>
            <w:tcW w:w="387" w:type="dxa"/>
            <w:vAlign w:val="center"/>
          </w:tcPr>
          <w:p>
            <w:pPr>
              <w:jc w:val="center"/>
            </w:pPr>
            <w:r>
              <w:rPr>
                <w:szCs w:val="21"/>
              </w:rPr>
              <w:t>26</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医疗废物收集处置体系覆盖率</w:t>
            </w:r>
            <w:r>
              <w:rPr>
                <w:rFonts w:hint="eastAsia" w:ascii="宋体" w:hAnsi="宋体" w:cs="宋体"/>
                <w:szCs w:val="21"/>
              </w:rPr>
              <w:t>★</w:t>
            </w:r>
          </w:p>
        </w:tc>
        <w:tc>
          <w:tcPr>
            <w:tcW w:w="708" w:type="dxa"/>
            <w:vAlign w:val="center"/>
          </w:tcPr>
          <w:p>
            <w:pPr>
              <w:jc w:val="center"/>
            </w:pPr>
            <w:r>
              <w:rPr>
                <w:szCs w:val="21"/>
              </w:rPr>
              <w:t>%</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1644" w:type="dxa"/>
            <w:vAlign w:val="center"/>
          </w:tcPr>
          <w:p>
            <w:pPr>
              <w:jc w:val="center"/>
            </w:pPr>
            <w:r>
              <w:rPr>
                <w:szCs w:val="21"/>
              </w:rPr>
              <w:t>区卫生健康局</w:t>
            </w:r>
          </w:p>
        </w:tc>
        <w:tc>
          <w:tcPr>
            <w:tcW w:w="1644" w:type="dxa"/>
            <w:vAlign w:val="center"/>
          </w:tcPr>
          <w:p>
            <w:pPr>
              <w:jc w:val="center"/>
            </w:pPr>
            <w:r>
              <w:rPr>
                <w:szCs w:val="21"/>
              </w:rPr>
              <w:t>区卫生健康局</w:t>
            </w:r>
          </w:p>
        </w:tc>
        <w:tc>
          <w:tcPr>
            <w:tcW w:w="1644" w:type="dxa"/>
            <w:vAlign w:val="center"/>
          </w:tcPr>
          <w:p>
            <w:pPr>
              <w:jc w:val="center"/>
            </w:pPr>
            <w:r>
              <w:rPr>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7" w:hRule="atLeast"/>
        </w:trPr>
        <w:tc>
          <w:tcPr>
            <w:tcW w:w="387" w:type="dxa"/>
            <w:vAlign w:val="center"/>
          </w:tcPr>
          <w:p>
            <w:pPr>
              <w:jc w:val="center"/>
            </w:pPr>
            <w:r>
              <w:rPr>
                <w:szCs w:val="21"/>
              </w:rPr>
              <w:t>27</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纳入危险废物收集处置体系的社会源危险废物产生单位数量</w:t>
            </w:r>
          </w:p>
        </w:tc>
        <w:tc>
          <w:tcPr>
            <w:tcW w:w="708" w:type="dxa"/>
            <w:vAlign w:val="center"/>
          </w:tcPr>
          <w:p>
            <w:pPr>
              <w:jc w:val="center"/>
            </w:pPr>
            <w:r>
              <w:rPr>
                <w:szCs w:val="21"/>
              </w:rPr>
              <w:t>家</w:t>
            </w:r>
          </w:p>
        </w:tc>
        <w:tc>
          <w:tcPr>
            <w:tcW w:w="794" w:type="dxa"/>
            <w:vAlign w:val="center"/>
          </w:tcPr>
          <w:p>
            <w:pPr>
              <w:jc w:val="center"/>
            </w:pPr>
            <w:r>
              <w:rPr>
                <w:szCs w:val="21"/>
              </w:rPr>
              <w:t>121</w:t>
            </w:r>
          </w:p>
        </w:tc>
        <w:tc>
          <w:tcPr>
            <w:tcW w:w="794" w:type="dxa"/>
            <w:vAlign w:val="center"/>
          </w:tcPr>
          <w:p>
            <w:pPr>
              <w:jc w:val="center"/>
            </w:pPr>
            <w:r>
              <w:rPr>
                <w:szCs w:val="21"/>
              </w:rPr>
              <w:t>267</w:t>
            </w:r>
          </w:p>
        </w:tc>
        <w:tc>
          <w:tcPr>
            <w:tcW w:w="794" w:type="dxa"/>
            <w:vAlign w:val="center"/>
          </w:tcPr>
          <w:p>
            <w:pPr>
              <w:jc w:val="center"/>
            </w:pPr>
            <w:r>
              <w:rPr>
                <w:szCs w:val="21"/>
              </w:rPr>
              <w:t>稳步</w:t>
            </w:r>
          </w:p>
          <w:p>
            <w:pPr>
              <w:jc w:val="center"/>
            </w:pPr>
            <w:r>
              <w:rPr>
                <w:szCs w:val="21"/>
              </w:rPr>
              <w:t>提高</w:t>
            </w:r>
          </w:p>
        </w:tc>
        <w:tc>
          <w:tcPr>
            <w:tcW w:w="794" w:type="dxa"/>
            <w:vAlign w:val="center"/>
          </w:tcPr>
          <w:p>
            <w:pPr>
              <w:jc w:val="center"/>
            </w:pPr>
            <w:r>
              <w:rPr>
                <w:szCs w:val="21"/>
              </w:rPr>
              <w:t>稳步</w:t>
            </w:r>
          </w:p>
          <w:p>
            <w:pPr>
              <w:jc w:val="center"/>
            </w:pPr>
            <w:r>
              <w:rPr>
                <w:szCs w:val="21"/>
              </w:rPr>
              <w:t>提高</w:t>
            </w:r>
          </w:p>
        </w:tc>
        <w:tc>
          <w:tcPr>
            <w:tcW w:w="794" w:type="dxa"/>
            <w:vAlign w:val="center"/>
          </w:tcPr>
          <w:p>
            <w:pPr>
              <w:jc w:val="center"/>
            </w:pPr>
            <w:r>
              <w:rPr>
                <w:szCs w:val="21"/>
              </w:rPr>
              <w:t>稳步</w:t>
            </w:r>
          </w:p>
          <w:p>
            <w:pPr>
              <w:jc w:val="center"/>
            </w:pPr>
            <w:r>
              <w:rPr>
                <w:szCs w:val="21"/>
              </w:rPr>
              <w:t>提高</w:t>
            </w:r>
          </w:p>
        </w:tc>
        <w:tc>
          <w:tcPr>
            <w:tcW w:w="1644" w:type="dxa"/>
            <w:vAlign w:val="center"/>
          </w:tcPr>
          <w:p>
            <w:pPr>
              <w:jc w:val="center"/>
            </w:pPr>
            <w:r>
              <w:rPr>
                <w:szCs w:val="21"/>
              </w:rPr>
              <w:t>市生态环境局天桥分局、区教育和体育局、区水务局、区市场监督管理局</w:t>
            </w:r>
          </w:p>
        </w:tc>
        <w:tc>
          <w:tcPr>
            <w:tcW w:w="1644" w:type="dxa"/>
            <w:vAlign w:val="center"/>
          </w:tcPr>
          <w:p>
            <w:pPr>
              <w:jc w:val="center"/>
            </w:pPr>
            <w:r>
              <w:rPr>
                <w:szCs w:val="21"/>
              </w:rPr>
              <w:t>市生态环境局天桥分局、区教育和体育局、区水务局、区市场监督管理局</w:t>
            </w:r>
          </w:p>
        </w:tc>
        <w:tc>
          <w:tcPr>
            <w:tcW w:w="1644" w:type="dxa"/>
            <w:vAlign w:val="center"/>
          </w:tcPr>
          <w:p>
            <w:pPr>
              <w:jc w:val="center"/>
            </w:pPr>
            <w:r>
              <w:rPr>
                <w:szCs w:val="21"/>
              </w:rPr>
              <w:t>稳步提高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7" w:hRule="atLeast"/>
        </w:trPr>
        <w:tc>
          <w:tcPr>
            <w:tcW w:w="387" w:type="dxa"/>
            <w:vAlign w:val="center"/>
          </w:tcPr>
          <w:p>
            <w:pPr>
              <w:jc w:val="center"/>
            </w:pPr>
            <w:r>
              <w:rPr>
                <w:szCs w:val="21"/>
              </w:rPr>
              <w:t>28</w:t>
            </w:r>
          </w:p>
        </w:tc>
        <w:tc>
          <w:tcPr>
            <w:tcW w:w="606" w:type="dxa"/>
            <w:vMerge w:val="continue"/>
            <w:vAlign w:val="center"/>
          </w:tcPr>
          <w:p>
            <w:pPr>
              <w:jc w:val="center"/>
            </w:pPr>
          </w:p>
        </w:tc>
        <w:tc>
          <w:tcPr>
            <w:tcW w:w="708" w:type="dxa"/>
            <w:vMerge w:val="restart"/>
            <w:vAlign w:val="center"/>
          </w:tcPr>
          <w:p>
            <w:pPr>
              <w:jc w:val="center"/>
            </w:pPr>
            <w:r>
              <w:rPr>
                <w:szCs w:val="21"/>
              </w:rPr>
              <w:t>一般工业固体废物贮存处置</w:t>
            </w:r>
          </w:p>
          <w:p>
            <w:pPr>
              <w:jc w:val="center"/>
            </w:pPr>
          </w:p>
        </w:tc>
        <w:tc>
          <w:tcPr>
            <w:tcW w:w="2127" w:type="dxa"/>
            <w:vAlign w:val="center"/>
          </w:tcPr>
          <w:p>
            <w:pPr>
              <w:jc w:val="center"/>
            </w:pPr>
            <w:r>
              <w:rPr>
                <w:szCs w:val="21"/>
              </w:rPr>
              <w:t>一般工业固体废物贮存处置量下降幅度</w:t>
            </w:r>
            <w:r>
              <w:rPr>
                <w:rFonts w:hint="eastAsia" w:ascii="宋体" w:hAnsi="宋体" w:cs="宋体"/>
                <w:szCs w:val="21"/>
              </w:rPr>
              <w:t>★</w:t>
            </w:r>
          </w:p>
        </w:tc>
        <w:tc>
          <w:tcPr>
            <w:tcW w:w="708"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稳步</w:t>
            </w:r>
          </w:p>
          <w:p>
            <w:pPr>
              <w:jc w:val="center"/>
            </w:pPr>
            <w:r>
              <w:rPr>
                <w:szCs w:val="21"/>
              </w:rPr>
              <w:t>推进</w:t>
            </w:r>
          </w:p>
        </w:tc>
        <w:tc>
          <w:tcPr>
            <w:tcW w:w="794" w:type="dxa"/>
            <w:vAlign w:val="center"/>
          </w:tcPr>
          <w:p>
            <w:pPr>
              <w:jc w:val="center"/>
            </w:pPr>
            <w:r>
              <w:rPr>
                <w:szCs w:val="21"/>
              </w:rPr>
              <w:t>稳步</w:t>
            </w:r>
          </w:p>
          <w:p>
            <w:pPr>
              <w:jc w:val="center"/>
            </w:pPr>
            <w:r>
              <w:rPr>
                <w:szCs w:val="21"/>
              </w:rPr>
              <w:t>推进</w:t>
            </w:r>
          </w:p>
        </w:tc>
        <w:tc>
          <w:tcPr>
            <w:tcW w:w="794" w:type="dxa"/>
            <w:vAlign w:val="center"/>
          </w:tcPr>
          <w:p>
            <w:pPr>
              <w:jc w:val="center"/>
            </w:pPr>
            <w:r>
              <w:rPr>
                <w:szCs w:val="21"/>
              </w:rPr>
              <w:t>稳步</w:t>
            </w:r>
          </w:p>
          <w:p>
            <w:pPr>
              <w:jc w:val="center"/>
            </w:pPr>
            <w:r>
              <w:rPr>
                <w:szCs w:val="21"/>
              </w:rPr>
              <w:t>推进</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市生态环境局天桥分局</w:t>
            </w:r>
          </w:p>
        </w:tc>
        <w:tc>
          <w:tcPr>
            <w:tcW w:w="16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7" w:hRule="atLeast"/>
        </w:trPr>
        <w:tc>
          <w:tcPr>
            <w:tcW w:w="387" w:type="dxa"/>
            <w:vAlign w:val="center"/>
          </w:tcPr>
          <w:p>
            <w:pPr>
              <w:jc w:val="center"/>
            </w:pPr>
            <w:r>
              <w:rPr>
                <w:szCs w:val="21"/>
              </w:rPr>
              <w:t>29</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完成大宗工业固体废物堆存场所(含尾矿库)综合整治的堆场数量占比</w:t>
            </w:r>
          </w:p>
        </w:tc>
        <w:tc>
          <w:tcPr>
            <w:tcW w:w="708"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1644" w:type="dxa"/>
            <w:vAlign w:val="center"/>
          </w:tcPr>
          <w:p>
            <w:pPr>
              <w:jc w:val="center"/>
            </w:pPr>
            <w:r>
              <w:rPr>
                <w:szCs w:val="21"/>
              </w:rPr>
              <w:t>市生态环境局天桥分局、区应急管理局</w:t>
            </w:r>
          </w:p>
        </w:tc>
        <w:tc>
          <w:tcPr>
            <w:tcW w:w="1644" w:type="dxa"/>
            <w:vAlign w:val="center"/>
          </w:tcPr>
          <w:p>
            <w:pPr>
              <w:jc w:val="center"/>
            </w:pPr>
            <w:r>
              <w:rPr>
                <w:szCs w:val="21"/>
              </w:rPr>
              <w:t>市生态环境局天桥分局、区应急管理局</w:t>
            </w:r>
          </w:p>
        </w:tc>
        <w:tc>
          <w:tcPr>
            <w:tcW w:w="1644" w:type="dxa"/>
            <w:vAlign w:val="center"/>
          </w:tcPr>
          <w:p>
            <w:pPr>
              <w:jc w:val="center"/>
            </w:pPr>
            <w:r>
              <w:rPr>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7" w:hRule="atLeast"/>
        </w:trPr>
        <w:tc>
          <w:tcPr>
            <w:tcW w:w="387" w:type="dxa"/>
            <w:vAlign w:val="center"/>
          </w:tcPr>
          <w:p>
            <w:pPr>
              <w:jc w:val="center"/>
            </w:pPr>
            <w:r>
              <w:rPr>
                <w:szCs w:val="21"/>
              </w:rPr>
              <w:t>30</w:t>
            </w:r>
          </w:p>
        </w:tc>
        <w:tc>
          <w:tcPr>
            <w:tcW w:w="606" w:type="dxa"/>
            <w:vMerge w:val="continue"/>
            <w:vAlign w:val="center"/>
          </w:tcPr>
          <w:p>
            <w:pPr>
              <w:jc w:val="center"/>
            </w:pPr>
          </w:p>
        </w:tc>
        <w:tc>
          <w:tcPr>
            <w:tcW w:w="708" w:type="dxa"/>
            <w:vAlign w:val="center"/>
          </w:tcPr>
          <w:p>
            <w:pPr>
              <w:jc w:val="center"/>
            </w:pPr>
            <w:r>
              <w:rPr>
                <w:szCs w:val="21"/>
              </w:rPr>
              <w:t>农业废弃物处置</w:t>
            </w:r>
          </w:p>
        </w:tc>
        <w:tc>
          <w:tcPr>
            <w:tcW w:w="2127" w:type="dxa"/>
            <w:vAlign w:val="center"/>
          </w:tcPr>
          <w:p>
            <w:pPr>
              <w:jc w:val="center"/>
              <w:rPr>
                <w:szCs w:val="21"/>
              </w:rPr>
            </w:pPr>
            <w:r>
              <w:rPr>
                <w:szCs w:val="21"/>
              </w:rPr>
              <w:t>病死畜禽集中无害化处理率</w:t>
            </w:r>
          </w:p>
        </w:tc>
        <w:tc>
          <w:tcPr>
            <w:tcW w:w="708" w:type="dxa"/>
            <w:vAlign w:val="center"/>
          </w:tcPr>
          <w:p>
            <w:pPr>
              <w:jc w:val="center"/>
            </w:pPr>
            <w:r>
              <w:rPr>
                <w:szCs w:val="21"/>
              </w:rPr>
              <w:t>%</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1644" w:type="dxa"/>
            <w:vAlign w:val="center"/>
          </w:tcPr>
          <w:p>
            <w:pPr>
              <w:jc w:val="center"/>
            </w:pPr>
            <w:r>
              <w:rPr>
                <w:szCs w:val="21"/>
              </w:rPr>
              <w:t>区农业农村局</w:t>
            </w:r>
          </w:p>
        </w:tc>
        <w:tc>
          <w:tcPr>
            <w:tcW w:w="1644" w:type="dxa"/>
            <w:vAlign w:val="center"/>
          </w:tcPr>
          <w:p>
            <w:pPr>
              <w:jc w:val="center"/>
            </w:pPr>
            <w:r>
              <w:rPr>
                <w:szCs w:val="21"/>
              </w:rPr>
              <w:t>区农业农村局</w:t>
            </w:r>
          </w:p>
        </w:tc>
        <w:tc>
          <w:tcPr>
            <w:tcW w:w="1644" w:type="dxa"/>
            <w:vAlign w:val="center"/>
          </w:tcPr>
          <w:p>
            <w:pPr>
              <w:jc w:val="center"/>
            </w:pPr>
            <w:r>
              <w:rPr>
                <w:szCs w:val="21"/>
              </w:rPr>
              <w:t>100%</w:t>
            </w:r>
          </w:p>
        </w:tc>
      </w:tr>
    </w:tbl>
    <w:p/>
    <w:tbl>
      <w:tblPr>
        <w:tblStyle w:val="18"/>
        <w:tblW w:w="134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7"/>
        <w:gridCol w:w="606"/>
        <w:gridCol w:w="708"/>
        <w:gridCol w:w="2127"/>
        <w:gridCol w:w="708"/>
        <w:gridCol w:w="794"/>
        <w:gridCol w:w="794"/>
        <w:gridCol w:w="794"/>
        <w:gridCol w:w="794"/>
        <w:gridCol w:w="794"/>
        <w:gridCol w:w="1644"/>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87" w:type="dxa"/>
            <w:textDirection w:val="tbRlV"/>
            <w:vAlign w:val="center"/>
          </w:tcPr>
          <w:p>
            <w:pPr>
              <w:jc w:val="center"/>
              <w:rPr>
                <w:rFonts w:eastAsia="黑体"/>
                <w:w w:val="90"/>
                <w:sz w:val="24"/>
                <w:szCs w:val="18"/>
              </w:rPr>
            </w:pPr>
            <w:r>
              <w:rPr>
                <w:rFonts w:eastAsia="黑体"/>
                <w:w w:val="90"/>
                <w:sz w:val="24"/>
                <w:szCs w:val="18"/>
              </w:rPr>
              <w:t>序号</w:t>
            </w:r>
          </w:p>
        </w:tc>
        <w:tc>
          <w:tcPr>
            <w:tcW w:w="606" w:type="dxa"/>
            <w:vAlign w:val="center"/>
          </w:tcPr>
          <w:p>
            <w:pPr>
              <w:jc w:val="center"/>
              <w:rPr>
                <w:rFonts w:eastAsia="黑体"/>
                <w:sz w:val="24"/>
                <w:szCs w:val="18"/>
              </w:rPr>
            </w:pPr>
            <w:r>
              <w:rPr>
                <w:rFonts w:eastAsia="黑体"/>
                <w:sz w:val="24"/>
                <w:szCs w:val="18"/>
              </w:rPr>
              <w:t>一级</w:t>
            </w:r>
          </w:p>
          <w:p>
            <w:pPr>
              <w:jc w:val="center"/>
              <w:rPr>
                <w:rFonts w:eastAsia="黑体"/>
                <w:sz w:val="24"/>
                <w:szCs w:val="18"/>
              </w:rPr>
            </w:pPr>
            <w:r>
              <w:rPr>
                <w:rFonts w:eastAsia="黑体"/>
                <w:sz w:val="24"/>
                <w:szCs w:val="18"/>
              </w:rPr>
              <w:t>指标</w:t>
            </w:r>
          </w:p>
        </w:tc>
        <w:tc>
          <w:tcPr>
            <w:tcW w:w="708" w:type="dxa"/>
            <w:vAlign w:val="center"/>
          </w:tcPr>
          <w:p>
            <w:pPr>
              <w:jc w:val="center"/>
              <w:rPr>
                <w:rFonts w:eastAsia="黑体"/>
                <w:sz w:val="24"/>
                <w:szCs w:val="18"/>
              </w:rPr>
            </w:pPr>
            <w:r>
              <w:rPr>
                <w:rFonts w:eastAsia="黑体"/>
                <w:sz w:val="24"/>
                <w:szCs w:val="18"/>
              </w:rPr>
              <w:t>二级</w:t>
            </w:r>
          </w:p>
          <w:p>
            <w:pPr>
              <w:jc w:val="center"/>
              <w:rPr>
                <w:rFonts w:eastAsia="黑体"/>
                <w:sz w:val="24"/>
                <w:szCs w:val="18"/>
              </w:rPr>
            </w:pPr>
            <w:r>
              <w:rPr>
                <w:rFonts w:eastAsia="黑体"/>
                <w:sz w:val="24"/>
                <w:szCs w:val="18"/>
              </w:rPr>
              <w:t>指标</w:t>
            </w:r>
          </w:p>
        </w:tc>
        <w:tc>
          <w:tcPr>
            <w:tcW w:w="2127" w:type="dxa"/>
            <w:vAlign w:val="center"/>
          </w:tcPr>
          <w:p>
            <w:pPr>
              <w:jc w:val="center"/>
              <w:rPr>
                <w:rFonts w:eastAsia="黑体"/>
                <w:sz w:val="24"/>
                <w:szCs w:val="18"/>
              </w:rPr>
            </w:pPr>
            <w:r>
              <w:rPr>
                <w:rFonts w:eastAsia="黑体"/>
                <w:sz w:val="24"/>
                <w:szCs w:val="18"/>
              </w:rPr>
              <w:t>三级指标</w:t>
            </w:r>
          </w:p>
        </w:tc>
        <w:tc>
          <w:tcPr>
            <w:tcW w:w="708" w:type="dxa"/>
            <w:vAlign w:val="center"/>
          </w:tcPr>
          <w:p>
            <w:pPr>
              <w:jc w:val="center"/>
              <w:rPr>
                <w:rFonts w:eastAsia="黑体"/>
                <w:sz w:val="24"/>
                <w:szCs w:val="18"/>
              </w:rPr>
            </w:pPr>
            <w:r>
              <w:rPr>
                <w:rFonts w:eastAsia="黑体"/>
                <w:sz w:val="24"/>
                <w:szCs w:val="18"/>
              </w:rPr>
              <w:t>单位</w:t>
            </w:r>
          </w:p>
        </w:tc>
        <w:tc>
          <w:tcPr>
            <w:tcW w:w="794" w:type="dxa"/>
            <w:vAlign w:val="center"/>
          </w:tcPr>
          <w:p>
            <w:pPr>
              <w:jc w:val="center"/>
              <w:rPr>
                <w:rFonts w:eastAsia="黑体"/>
                <w:sz w:val="24"/>
                <w:szCs w:val="18"/>
              </w:rPr>
            </w:pPr>
            <w:r>
              <w:rPr>
                <w:rFonts w:eastAsia="黑体"/>
                <w:sz w:val="24"/>
                <w:szCs w:val="18"/>
              </w:rPr>
              <w:t>2020年</w:t>
            </w:r>
          </w:p>
        </w:tc>
        <w:tc>
          <w:tcPr>
            <w:tcW w:w="794" w:type="dxa"/>
            <w:vAlign w:val="center"/>
          </w:tcPr>
          <w:p>
            <w:pPr>
              <w:jc w:val="center"/>
              <w:rPr>
                <w:rFonts w:eastAsia="黑体"/>
                <w:sz w:val="24"/>
                <w:szCs w:val="18"/>
              </w:rPr>
            </w:pPr>
            <w:r>
              <w:rPr>
                <w:rFonts w:eastAsia="黑体"/>
                <w:sz w:val="24"/>
                <w:szCs w:val="18"/>
              </w:rPr>
              <w:t>2022年</w:t>
            </w:r>
          </w:p>
        </w:tc>
        <w:tc>
          <w:tcPr>
            <w:tcW w:w="794" w:type="dxa"/>
            <w:vAlign w:val="center"/>
          </w:tcPr>
          <w:p>
            <w:pPr>
              <w:jc w:val="center"/>
              <w:rPr>
                <w:rFonts w:eastAsia="黑体"/>
                <w:sz w:val="24"/>
                <w:szCs w:val="18"/>
              </w:rPr>
            </w:pPr>
            <w:r>
              <w:rPr>
                <w:rFonts w:eastAsia="黑体"/>
                <w:sz w:val="24"/>
                <w:szCs w:val="18"/>
              </w:rPr>
              <w:t>2023年</w:t>
            </w:r>
          </w:p>
        </w:tc>
        <w:tc>
          <w:tcPr>
            <w:tcW w:w="794" w:type="dxa"/>
            <w:vAlign w:val="center"/>
          </w:tcPr>
          <w:p>
            <w:pPr>
              <w:jc w:val="center"/>
              <w:rPr>
                <w:rFonts w:eastAsia="黑体"/>
                <w:sz w:val="24"/>
                <w:szCs w:val="18"/>
              </w:rPr>
            </w:pPr>
            <w:r>
              <w:rPr>
                <w:rFonts w:eastAsia="黑体"/>
                <w:sz w:val="24"/>
                <w:szCs w:val="18"/>
              </w:rPr>
              <w:t>2024年</w:t>
            </w:r>
          </w:p>
        </w:tc>
        <w:tc>
          <w:tcPr>
            <w:tcW w:w="794" w:type="dxa"/>
            <w:vAlign w:val="center"/>
          </w:tcPr>
          <w:p>
            <w:pPr>
              <w:jc w:val="center"/>
              <w:rPr>
                <w:rFonts w:eastAsia="黑体"/>
                <w:sz w:val="24"/>
                <w:szCs w:val="18"/>
              </w:rPr>
            </w:pPr>
            <w:r>
              <w:rPr>
                <w:rFonts w:eastAsia="黑体"/>
                <w:sz w:val="24"/>
                <w:szCs w:val="18"/>
              </w:rPr>
              <w:t>2025年</w:t>
            </w:r>
          </w:p>
        </w:tc>
        <w:tc>
          <w:tcPr>
            <w:tcW w:w="1644" w:type="dxa"/>
            <w:vAlign w:val="center"/>
          </w:tcPr>
          <w:p>
            <w:pPr>
              <w:jc w:val="center"/>
              <w:rPr>
                <w:rFonts w:eastAsia="黑体"/>
                <w:sz w:val="24"/>
                <w:szCs w:val="18"/>
              </w:rPr>
            </w:pPr>
            <w:r>
              <w:rPr>
                <w:rFonts w:eastAsia="黑体"/>
                <w:sz w:val="24"/>
                <w:szCs w:val="18"/>
              </w:rPr>
              <w:t>数据来源部门</w:t>
            </w:r>
          </w:p>
        </w:tc>
        <w:tc>
          <w:tcPr>
            <w:tcW w:w="1644" w:type="dxa"/>
            <w:vAlign w:val="center"/>
          </w:tcPr>
          <w:p>
            <w:pPr>
              <w:jc w:val="center"/>
              <w:rPr>
                <w:rFonts w:eastAsia="黑体"/>
                <w:sz w:val="24"/>
                <w:szCs w:val="18"/>
              </w:rPr>
            </w:pPr>
            <w:r>
              <w:rPr>
                <w:rFonts w:eastAsia="黑体"/>
                <w:sz w:val="24"/>
                <w:szCs w:val="18"/>
              </w:rPr>
              <w:t>责任部门</w:t>
            </w:r>
          </w:p>
        </w:tc>
        <w:tc>
          <w:tcPr>
            <w:tcW w:w="1644" w:type="dxa"/>
            <w:vAlign w:val="center"/>
          </w:tcPr>
          <w:p>
            <w:pPr>
              <w:jc w:val="center"/>
              <w:rPr>
                <w:rFonts w:eastAsia="黑体"/>
                <w:sz w:val="24"/>
                <w:szCs w:val="18"/>
              </w:rPr>
            </w:pPr>
            <w:r>
              <w:rPr>
                <w:rFonts w:eastAsia="黑体"/>
                <w:sz w:val="24"/>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7" w:hRule="atLeast"/>
        </w:trPr>
        <w:tc>
          <w:tcPr>
            <w:tcW w:w="387" w:type="dxa"/>
            <w:vAlign w:val="center"/>
          </w:tcPr>
          <w:p>
            <w:pPr>
              <w:jc w:val="center"/>
            </w:pPr>
            <w:r>
              <w:rPr>
                <w:szCs w:val="21"/>
              </w:rPr>
              <w:t>31</w:t>
            </w:r>
          </w:p>
        </w:tc>
        <w:tc>
          <w:tcPr>
            <w:tcW w:w="606" w:type="dxa"/>
            <w:vMerge w:val="restart"/>
            <w:vAlign w:val="center"/>
          </w:tcPr>
          <w:p>
            <w:pPr>
              <w:jc w:val="center"/>
            </w:pPr>
            <w:r>
              <w:rPr>
                <w:szCs w:val="21"/>
              </w:rPr>
              <w:t>保障能力</w:t>
            </w:r>
          </w:p>
        </w:tc>
        <w:tc>
          <w:tcPr>
            <w:tcW w:w="708" w:type="dxa"/>
            <w:vMerge w:val="restart"/>
            <w:vAlign w:val="center"/>
          </w:tcPr>
          <w:p>
            <w:pPr>
              <w:jc w:val="center"/>
            </w:pPr>
            <w:r>
              <w:rPr>
                <w:szCs w:val="21"/>
              </w:rPr>
              <w:t>制度体系建设</w:t>
            </w:r>
          </w:p>
        </w:tc>
        <w:tc>
          <w:tcPr>
            <w:tcW w:w="2127" w:type="dxa"/>
            <w:vAlign w:val="center"/>
          </w:tcPr>
          <w:p>
            <w:pPr>
              <w:jc w:val="center"/>
            </w:pPr>
            <w:r>
              <w:rPr>
                <w:szCs w:val="21"/>
              </w:rPr>
              <w:t>“无废城市”建设地方性法规、政策性文件及有关规划制定</w:t>
            </w:r>
            <w:r>
              <w:rPr>
                <w:rFonts w:hint="eastAsia" w:ascii="宋体" w:hAnsi="宋体" w:cs="宋体"/>
                <w:szCs w:val="21"/>
              </w:rPr>
              <w:t>★</w:t>
            </w:r>
          </w:p>
        </w:tc>
        <w:tc>
          <w:tcPr>
            <w:tcW w:w="708" w:type="dxa"/>
            <w:vAlign w:val="center"/>
          </w:tcPr>
          <w:p>
            <w:pPr>
              <w:jc w:val="center"/>
            </w:pPr>
            <w:r>
              <w:rPr>
                <w:szCs w:val="21"/>
              </w:rPr>
              <w:t>一</w:t>
            </w:r>
          </w:p>
        </w:tc>
        <w:tc>
          <w:tcPr>
            <w:tcW w:w="794"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1个</w:t>
            </w:r>
          </w:p>
        </w:tc>
        <w:tc>
          <w:tcPr>
            <w:tcW w:w="794" w:type="dxa"/>
            <w:vAlign w:val="center"/>
          </w:tcPr>
          <w:p>
            <w:pPr>
              <w:jc w:val="center"/>
            </w:pPr>
            <w:r>
              <w:rPr>
                <w:szCs w:val="21"/>
              </w:rPr>
              <w:t>逐步</w:t>
            </w:r>
          </w:p>
          <w:p>
            <w:pPr>
              <w:jc w:val="center"/>
            </w:pPr>
            <w:r>
              <w:rPr>
                <w:szCs w:val="21"/>
              </w:rPr>
              <w:t>完善</w:t>
            </w:r>
          </w:p>
        </w:tc>
        <w:tc>
          <w:tcPr>
            <w:tcW w:w="794" w:type="dxa"/>
            <w:vAlign w:val="center"/>
          </w:tcPr>
          <w:p>
            <w:pPr>
              <w:jc w:val="center"/>
            </w:pPr>
            <w:r>
              <w:rPr>
                <w:szCs w:val="21"/>
              </w:rPr>
              <w:t>逐步</w:t>
            </w:r>
          </w:p>
          <w:p>
            <w:pPr>
              <w:jc w:val="center"/>
            </w:pPr>
            <w:r>
              <w:rPr>
                <w:szCs w:val="21"/>
              </w:rPr>
              <w:t>完善</w:t>
            </w:r>
          </w:p>
        </w:tc>
        <w:tc>
          <w:tcPr>
            <w:tcW w:w="1644" w:type="dxa"/>
            <w:vAlign w:val="center"/>
          </w:tcPr>
          <w:p>
            <w:pPr>
              <w:jc w:val="center"/>
            </w:pPr>
            <w:r>
              <w:rPr>
                <w:szCs w:val="21"/>
              </w:rPr>
              <w:t>区政府有关部门(单位)</w:t>
            </w:r>
          </w:p>
        </w:tc>
        <w:tc>
          <w:tcPr>
            <w:tcW w:w="1644" w:type="dxa"/>
            <w:vAlign w:val="center"/>
          </w:tcPr>
          <w:p>
            <w:pPr>
              <w:jc w:val="center"/>
            </w:pPr>
            <w:r>
              <w:rPr>
                <w:szCs w:val="21"/>
              </w:rPr>
              <w:t>区政府有关部门(单位)</w:t>
            </w:r>
          </w:p>
        </w:tc>
        <w:tc>
          <w:tcPr>
            <w:tcW w:w="1644" w:type="dxa"/>
            <w:vAlign w:val="center"/>
          </w:tcPr>
          <w:p>
            <w:pPr>
              <w:jc w:val="center"/>
            </w:pPr>
            <w:r>
              <w:rPr>
                <w:szCs w:val="21"/>
              </w:rPr>
              <w:t>逐步完善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7" w:hRule="atLeast"/>
        </w:trPr>
        <w:tc>
          <w:tcPr>
            <w:tcW w:w="387" w:type="dxa"/>
            <w:vAlign w:val="center"/>
          </w:tcPr>
          <w:p>
            <w:pPr>
              <w:jc w:val="center"/>
            </w:pPr>
            <w:r>
              <w:rPr>
                <w:szCs w:val="21"/>
              </w:rPr>
              <w:t>32</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“无废城市”建设协调机制</w:t>
            </w:r>
            <w:r>
              <w:rPr>
                <w:rFonts w:hint="eastAsia" w:ascii="宋体" w:hAnsi="宋体" w:cs="宋体"/>
                <w:szCs w:val="21"/>
              </w:rPr>
              <w:t>★</w:t>
            </w:r>
          </w:p>
        </w:tc>
        <w:tc>
          <w:tcPr>
            <w:tcW w:w="708" w:type="dxa"/>
            <w:vAlign w:val="center"/>
          </w:tcPr>
          <w:p>
            <w:pPr>
              <w:jc w:val="center"/>
            </w:pPr>
            <w:r>
              <w:rPr>
                <w:szCs w:val="21"/>
              </w:rPr>
              <w:t>一</w:t>
            </w:r>
          </w:p>
        </w:tc>
        <w:tc>
          <w:tcPr>
            <w:tcW w:w="794"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建立协调机制</w:t>
            </w:r>
          </w:p>
        </w:tc>
        <w:tc>
          <w:tcPr>
            <w:tcW w:w="794" w:type="dxa"/>
            <w:vAlign w:val="center"/>
          </w:tcPr>
          <w:p>
            <w:pPr>
              <w:jc w:val="center"/>
            </w:pPr>
            <w:r>
              <w:rPr>
                <w:szCs w:val="21"/>
              </w:rPr>
              <w:t>逐步</w:t>
            </w:r>
          </w:p>
          <w:p>
            <w:pPr>
              <w:jc w:val="center"/>
            </w:pPr>
            <w:r>
              <w:rPr>
                <w:szCs w:val="21"/>
              </w:rPr>
              <w:t>完善</w:t>
            </w:r>
          </w:p>
        </w:tc>
        <w:tc>
          <w:tcPr>
            <w:tcW w:w="794" w:type="dxa"/>
            <w:vAlign w:val="center"/>
          </w:tcPr>
          <w:p>
            <w:pPr>
              <w:jc w:val="center"/>
            </w:pPr>
            <w:r>
              <w:rPr>
                <w:szCs w:val="21"/>
              </w:rPr>
              <w:t>逐步</w:t>
            </w:r>
          </w:p>
          <w:p>
            <w:pPr>
              <w:jc w:val="center"/>
            </w:pPr>
            <w:r>
              <w:rPr>
                <w:szCs w:val="21"/>
              </w:rPr>
              <w:t>完善</w:t>
            </w:r>
          </w:p>
        </w:tc>
        <w:tc>
          <w:tcPr>
            <w:tcW w:w="1644" w:type="dxa"/>
            <w:vAlign w:val="center"/>
          </w:tcPr>
          <w:p>
            <w:pPr>
              <w:jc w:val="center"/>
            </w:pPr>
            <w:r>
              <w:rPr>
                <w:szCs w:val="21"/>
              </w:rPr>
              <w:t>区政府有关部门(单位)</w:t>
            </w:r>
          </w:p>
        </w:tc>
        <w:tc>
          <w:tcPr>
            <w:tcW w:w="1644" w:type="dxa"/>
            <w:vAlign w:val="center"/>
          </w:tcPr>
          <w:p>
            <w:pPr>
              <w:jc w:val="center"/>
            </w:pPr>
            <w:r>
              <w:rPr>
                <w:szCs w:val="21"/>
              </w:rPr>
              <w:t>区政府有关部门(单位)</w:t>
            </w:r>
          </w:p>
        </w:tc>
        <w:tc>
          <w:tcPr>
            <w:tcW w:w="16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7" w:hRule="atLeast"/>
        </w:trPr>
        <w:tc>
          <w:tcPr>
            <w:tcW w:w="387" w:type="dxa"/>
            <w:vAlign w:val="center"/>
          </w:tcPr>
          <w:p>
            <w:pPr>
              <w:jc w:val="center"/>
            </w:pPr>
            <w:r>
              <w:rPr>
                <w:szCs w:val="21"/>
              </w:rPr>
              <w:t>33</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“无废城市”建设成效纳入政绩考核情况</w:t>
            </w:r>
          </w:p>
        </w:tc>
        <w:tc>
          <w:tcPr>
            <w:tcW w:w="708" w:type="dxa"/>
            <w:vAlign w:val="center"/>
          </w:tcPr>
          <w:p>
            <w:pPr>
              <w:jc w:val="center"/>
            </w:pPr>
            <w:r>
              <w:rPr>
                <w:szCs w:val="21"/>
              </w:rPr>
              <w:t>一</w:t>
            </w:r>
          </w:p>
        </w:tc>
        <w:tc>
          <w:tcPr>
            <w:tcW w:w="794"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根据上级文件制定</w:t>
            </w:r>
          </w:p>
        </w:tc>
        <w:tc>
          <w:tcPr>
            <w:tcW w:w="794" w:type="dxa"/>
            <w:vAlign w:val="center"/>
          </w:tcPr>
          <w:p>
            <w:pPr>
              <w:jc w:val="center"/>
            </w:pPr>
            <w:r>
              <w:rPr>
                <w:szCs w:val="21"/>
              </w:rPr>
              <w:t>根据上级文件制定</w:t>
            </w:r>
          </w:p>
        </w:tc>
        <w:tc>
          <w:tcPr>
            <w:tcW w:w="794" w:type="dxa"/>
            <w:vAlign w:val="center"/>
          </w:tcPr>
          <w:p>
            <w:pPr>
              <w:jc w:val="center"/>
            </w:pPr>
            <w:r>
              <w:rPr>
                <w:szCs w:val="21"/>
              </w:rPr>
              <w:t>根据上级文件制定</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“无废城市”建设成效作为污染防治攻坚成效考核等重要内容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07" w:hRule="atLeast"/>
        </w:trPr>
        <w:tc>
          <w:tcPr>
            <w:tcW w:w="387" w:type="dxa"/>
            <w:vAlign w:val="center"/>
          </w:tcPr>
          <w:p>
            <w:pPr>
              <w:jc w:val="center"/>
            </w:pPr>
            <w:r>
              <w:rPr>
                <w:szCs w:val="21"/>
              </w:rPr>
              <w:t>34</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开展“无废城市细胞”建设的单位数量(机关、企事业单位、饭店、商场、集贸市场、社区、村镇)</w:t>
            </w:r>
          </w:p>
        </w:tc>
        <w:tc>
          <w:tcPr>
            <w:tcW w:w="708" w:type="dxa"/>
            <w:vAlign w:val="center"/>
          </w:tcPr>
          <w:p>
            <w:pPr>
              <w:jc w:val="center"/>
            </w:pPr>
            <w:r>
              <w:rPr>
                <w:szCs w:val="21"/>
              </w:rPr>
              <w:t>个</w:t>
            </w:r>
          </w:p>
        </w:tc>
        <w:tc>
          <w:tcPr>
            <w:tcW w:w="794"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26个</w:t>
            </w:r>
          </w:p>
          <w:p>
            <w:pPr>
              <w:jc w:val="center"/>
            </w:pPr>
            <w:r>
              <w:rPr>
                <w:szCs w:val="21"/>
              </w:rPr>
              <w:t>以上</w:t>
            </w:r>
          </w:p>
        </w:tc>
        <w:tc>
          <w:tcPr>
            <w:tcW w:w="794" w:type="dxa"/>
            <w:vAlign w:val="center"/>
          </w:tcPr>
          <w:p>
            <w:pPr>
              <w:jc w:val="center"/>
            </w:pPr>
            <w:r>
              <w:rPr>
                <w:szCs w:val="21"/>
              </w:rPr>
              <w:t>稳步</w:t>
            </w:r>
          </w:p>
          <w:p>
            <w:pPr>
              <w:jc w:val="center"/>
            </w:pPr>
            <w:r>
              <w:rPr>
                <w:szCs w:val="21"/>
              </w:rPr>
              <w:t>推进</w:t>
            </w:r>
          </w:p>
        </w:tc>
        <w:tc>
          <w:tcPr>
            <w:tcW w:w="794" w:type="dxa"/>
            <w:vAlign w:val="center"/>
          </w:tcPr>
          <w:p>
            <w:pPr>
              <w:jc w:val="center"/>
            </w:pPr>
            <w:r>
              <w:rPr>
                <w:szCs w:val="21"/>
              </w:rPr>
              <w:t>45个</w:t>
            </w:r>
          </w:p>
          <w:p>
            <w:pPr>
              <w:jc w:val="center"/>
            </w:pPr>
            <w:r>
              <w:rPr>
                <w:szCs w:val="21"/>
              </w:rPr>
              <w:t>以上</w:t>
            </w:r>
          </w:p>
        </w:tc>
        <w:tc>
          <w:tcPr>
            <w:tcW w:w="1644" w:type="dxa"/>
            <w:vAlign w:val="center"/>
          </w:tcPr>
          <w:p>
            <w:pPr>
              <w:jc w:val="center"/>
            </w:pPr>
            <w:r>
              <w:rPr>
                <w:szCs w:val="21"/>
              </w:rPr>
              <w:t>区政府有关部门(单位)</w:t>
            </w:r>
          </w:p>
        </w:tc>
        <w:tc>
          <w:tcPr>
            <w:tcW w:w="1644" w:type="dxa"/>
            <w:vAlign w:val="center"/>
          </w:tcPr>
          <w:p>
            <w:pPr>
              <w:jc w:val="center"/>
            </w:pPr>
            <w:r>
              <w:rPr>
                <w:szCs w:val="21"/>
              </w:rPr>
              <w:t>区政府有关部门(单位)</w:t>
            </w:r>
          </w:p>
        </w:tc>
        <w:tc>
          <w:tcPr>
            <w:tcW w:w="1644" w:type="dxa"/>
            <w:vAlign w:val="center"/>
          </w:tcPr>
          <w:p>
            <w:pPr>
              <w:jc w:val="center"/>
            </w:pPr>
            <w:r>
              <w:rPr>
                <w:szCs w:val="21"/>
              </w:rPr>
              <w:t>稳步推进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7" w:hRule="atLeast"/>
        </w:trPr>
        <w:tc>
          <w:tcPr>
            <w:tcW w:w="387" w:type="dxa"/>
            <w:vAlign w:val="center"/>
          </w:tcPr>
          <w:p>
            <w:pPr>
              <w:jc w:val="center"/>
            </w:pPr>
            <w:r>
              <w:rPr>
                <w:szCs w:val="21"/>
              </w:rPr>
              <w:t>35</w:t>
            </w:r>
          </w:p>
        </w:tc>
        <w:tc>
          <w:tcPr>
            <w:tcW w:w="606" w:type="dxa"/>
            <w:vMerge w:val="continue"/>
            <w:vAlign w:val="center"/>
          </w:tcPr>
          <w:p>
            <w:pPr>
              <w:jc w:val="center"/>
            </w:pPr>
          </w:p>
        </w:tc>
        <w:tc>
          <w:tcPr>
            <w:tcW w:w="708" w:type="dxa"/>
            <w:vMerge w:val="restart"/>
            <w:vAlign w:val="center"/>
          </w:tcPr>
          <w:p>
            <w:pPr>
              <w:jc w:val="center"/>
            </w:pPr>
            <w:r>
              <w:rPr>
                <w:szCs w:val="21"/>
              </w:rPr>
              <w:t>市场体系建设</w:t>
            </w:r>
          </w:p>
        </w:tc>
        <w:tc>
          <w:tcPr>
            <w:tcW w:w="2127" w:type="dxa"/>
            <w:vAlign w:val="center"/>
          </w:tcPr>
          <w:p>
            <w:pPr>
              <w:jc w:val="center"/>
            </w:pPr>
            <w:r>
              <w:rPr>
                <w:szCs w:val="21"/>
              </w:rPr>
              <w:t>“无废城市”建设项目投资总额</w:t>
            </w:r>
            <w:r>
              <w:rPr>
                <w:rFonts w:hint="eastAsia" w:ascii="宋体" w:hAnsi="宋体" w:cs="宋体"/>
                <w:szCs w:val="21"/>
              </w:rPr>
              <w:t>★</w:t>
            </w:r>
          </w:p>
        </w:tc>
        <w:tc>
          <w:tcPr>
            <w:tcW w:w="708" w:type="dxa"/>
            <w:vAlign w:val="center"/>
          </w:tcPr>
          <w:p>
            <w:pPr>
              <w:jc w:val="center"/>
            </w:pPr>
            <w:r>
              <w:rPr>
                <w:szCs w:val="21"/>
              </w:rPr>
              <w:t>亿元</w:t>
            </w:r>
          </w:p>
        </w:tc>
        <w:tc>
          <w:tcPr>
            <w:tcW w:w="794"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满足项目需要</w:t>
            </w:r>
          </w:p>
        </w:tc>
        <w:tc>
          <w:tcPr>
            <w:tcW w:w="794" w:type="dxa"/>
            <w:vAlign w:val="center"/>
          </w:tcPr>
          <w:p>
            <w:pPr>
              <w:jc w:val="center"/>
            </w:pPr>
            <w:r>
              <w:rPr>
                <w:szCs w:val="21"/>
              </w:rPr>
              <w:t>满足项目需要</w:t>
            </w:r>
          </w:p>
        </w:tc>
        <w:tc>
          <w:tcPr>
            <w:tcW w:w="794" w:type="dxa"/>
            <w:vAlign w:val="center"/>
          </w:tcPr>
          <w:p>
            <w:pPr>
              <w:jc w:val="center"/>
            </w:pPr>
            <w:r>
              <w:rPr>
                <w:szCs w:val="21"/>
              </w:rPr>
              <w:t>满足项目需要</w:t>
            </w:r>
          </w:p>
        </w:tc>
        <w:tc>
          <w:tcPr>
            <w:tcW w:w="1644" w:type="dxa"/>
            <w:vAlign w:val="center"/>
          </w:tcPr>
          <w:p>
            <w:pPr>
              <w:jc w:val="center"/>
            </w:pPr>
            <w:r>
              <w:rPr>
                <w:szCs w:val="21"/>
              </w:rPr>
              <w:t>区政府有关部门(单位)</w:t>
            </w:r>
          </w:p>
        </w:tc>
        <w:tc>
          <w:tcPr>
            <w:tcW w:w="1644" w:type="dxa"/>
            <w:vAlign w:val="center"/>
          </w:tcPr>
          <w:p>
            <w:pPr>
              <w:jc w:val="center"/>
            </w:pPr>
            <w:r>
              <w:rPr>
                <w:szCs w:val="21"/>
              </w:rPr>
              <w:t>区政府有关部门(单位)</w:t>
            </w:r>
          </w:p>
        </w:tc>
        <w:tc>
          <w:tcPr>
            <w:tcW w:w="1644" w:type="dxa"/>
            <w:vAlign w:val="center"/>
          </w:tcPr>
          <w:p>
            <w:pPr>
              <w:jc w:val="center"/>
            </w:pPr>
            <w:r>
              <w:rPr>
                <w:szCs w:val="21"/>
              </w:rPr>
              <w:t>稳步推进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7" w:hRule="atLeast"/>
        </w:trPr>
        <w:tc>
          <w:tcPr>
            <w:tcW w:w="387" w:type="dxa"/>
            <w:vAlign w:val="center"/>
          </w:tcPr>
          <w:p>
            <w:pPr>
              <w:jc w:val="center"/>
            </w:pPr>
            <w:r>
              <w:rPr>
                <w:szCs w:val="21"/>
              </w:rPr>
              <w:t>36</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纳入企业环境信用评价范围的固体废物相关企业数量占比</w:t>
            </w:r>
          </w:p>
        </w:tc>
        <w:tc>
          <w:tcPr>
            <w:tcW w:w="708" w:type="dxa"/>
            <w:vAlign w:val="center"/>
          </w:tcPr>
          <w:p>
            <w:pPr>
              <w:jc w:val="center"/>
            </w:pPr>
            <w:r>
              <w:rPr>
                <w:szCs w:val="21"/>
              </w:rPr>
              <w:t>%</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7" w:hRule="atLeast"/>
        </w:trPr>
        <w:tc>
          <w:tcPr>
            <w:tcW w:w="387" w:type="dxa"/>
            <w:vAlign w:val="center"/>
          </w:tcPr>
          <w:p>
            <w:pPr>
              <w:jc w:val="center"/>
            </w:pPr>
            <w:r>
              <w:rPr>
                <w:szCs w:val="21"/>
              </w:rPr>
              <w:t>37</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危险废物经营单位环境污染责任保险覆盖率</w:t>
            </w:r>
          </w:p>
        </w:tc>
        <w:tc>
          <w:tcPr>
            <w:tcW w:w="708" w:type="dxa"/>
            <w:vAlign w:val="center"/>
          </w:tcPr>
          <w:p>
            <w:pPr>
              <w:jc w:val="center"/>
            </w:pPr>
            <w:r>
              <w:rPr>
                <w:szCs w:val="21"/>
              </w:rPr>
              <w:t>%</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7" w:hRule="atLeast"/>
        </w:trPr>
        <w:tc>
          <w:tcPr>
            <w:tcW w:w="387" w:type="dxa"/>
            <w:vAlign w:val="center"/>
          </w:tcPr>
          <w:p>
            <w:pPr>
              <w:jc w:val="center"/>
            </w:pPr>
            <w:r>
              <w:rPr>
                <w:szCs w:val="21"/>
              </w:rPr>
              <w:t>38</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rPr>
                <w:szCs w:val="21"/>
              </w:rPr>
            </w:pPr>
            <w:r>
              <w:rPr>
                <w:szCs w:val="21"/>
              </w:rPr>
              <w:t>政府采购中综合利用产品占比</w:t>
            </w:r>
          </w:p>
        </w:tc>
        <w:tc>
          <w:tcPr>
            <w:tcW w:w="708"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稳步</w:t>
            </w:r>
          </w:p>
          <w:p>
            <w:pPr>
              <w:jc w:val="center"/>
            </w:pPr>
            <w:r>
              <w:rPr>
                <w:szCs w:val="21"/>
              </w:rPr>
              <w:t>推进</w:t>
            </w:r>
          </w:p>
        </w:tc>
        <w:tc>
          <w:tcPr>
            <w:tcW w:w="794" w:type="dxa"/>
            <w:vAlign w:val="center"/>
          </w:tcPr>
          <w:p>
            <w:pPr>
              <w:jc w:val="center"/>
            </w:pPr>
            <w:r>
              <w:rPr>
                <w:szCs w:val="21"/>
              </w:rPr>
              <w:t>稳步</w:t>
            </w:r>
          </w:p>
          <w:p>
            <w:pPr>
              <w:jc w:val="center"/>
            </w:pPr>
            <w:r>
              <w:rPr>
                <w:szCs w:val="21"/>
              </w:rPr>
              <w:t>推进</w:t>
            </w:r>
          </w:p>
        </w:tc>
        <w:tc>
          <w:tcPr>
            <w:tcW w:w="794" w:type="dxa"/>
            <w:vAlign w:val="center"/>
          </w:tcPr>
          <w:p>
            <w:pPr>
              <w:jc w:val="center"/>
            </w:pPr>
            <w:r>
              <w:rPr>
                <w:szCs w:val="21"/>
              </w:rPr>
              <w:t>稳步</w:t>
            </w:r>
          </w:p>
          <w:p>
            <w:pPr>
              <w:jc w:val="center"/>
            </w:pPr>
            <w:r>
              <w:rPr>
                <w:szCs w:val="21"/>
              </w:rPr>
              <w:t>推进</w:t>
            </w:r>
          </w:p>
        </w:tc>
        <w:tc>
          <w:tcPr>
            <w:tcW w:w="1644" w:type="dxa"/>
            <w:vAlign w:val="center"/>
          </w:tcPr>
          <w:p>
            <w:pPr>
              <w:jc w:val="center"/>
            </w:pPr>
            <w:r>
              <w:rPr>
                <w:szCs w:val="21"/>
              </w:rPr>
              <w:t>区财政局</w:t>
            </w:r>
          </w:p>
          <w:p>
            <w:pPr>
              <w:jc w:val="center"/>
            </w:pPr>
            <w:r>
              <w:rPr>
                <w:szCs w:val="21"/>
              </w:rPr>
              <w:t>区政府有关部门(单位)</w:t>
            </w:r>
          </w:p>
        </w:tc>
        <w:tc>
          <w:tcPr>
            <w:tcW w:w="1644" w:type="dxa"/>
            <w:vAlign w:val="center"/>
          </w:tcPr>
          <w:p>
            <w:pPr>
              <w:jc w:val="center"/>
            </w:pPr>
            <w:r>
              <w:rPr>
                <w:szCs w:val="21"/>
              </w:rPr>
              <w:t>区财政局等区政府有关部门(单位)</w:t>
            </w:r>
          </w:p>
        </w:tc>
        <w:tc>
          <w:tcPr>
            <w:tcW w:w="1644" w:type="dxa"/>
            <w:vAlign w:val="center"/>
          </w:tcPr>
          <w:p>
            <w:pPr>
              <w:jc w:val="center"/>
            </w:pPr>
            <w:r>
              <w:rPr>
                <w:szCs w:val="21"/>
              </w:rPr>
              <w:t>稳步推进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20" w:hRule="atLeast"/>
        </w:trPr>
        <w:tc>
          <w:tcPr>
            <w:tcW w:w="387" w:type="dxa"/>
            <w:vAlign w:val="center"/>
          </w:tcPr>
          <w:p>
            <w:pPr>
              <w:jc w:val="center"/>
            </w:pPr>
            <w:r>
              <w:rPr>
                <w:snapToGrid w:val="0"/>
                <w:szCs w:val="21"/>
              </w:rPr>
              <w:t>39</w:t>
            </w:r>
          </w:p>
        </w:tc>
        <w:tc>
          <w:tcPr>
            <w:tcW w:w="606" w:type="dxa"/>
            <w:vMerge w:val="continue"/>
            <w:vAlign w:val="center"/>
          </w:tcPr>
          <w:p>
            <w:pPr>
              <w:jc w:val="center"/>
            </w:pPr>
          </w:p>
        </w:tc>
        <w:tc>
          <w:tcPr>
            <w:tcW w:w="708" w:type="dxa"/>
            <w:vAlign w:val="center"/>
          </w:tcPr>
          <w:p>
            <w:pPr>
              <w:jc w:val="center"/>
            </w:pPr>
            <w:r>
              <w:rPr>
                <w:szCs w:val="21"/>
              </w:rPr>
              <w:t>技术体系建设</w:t>
            </w:r>
          </w:p>
        </w:tc>
        <w:tc>
          <w:tcPr>
            <w:tcW w:w="2127" w:type="dxa"/>
            <w:vAlign w:val="center"/>
          </w:tcPr>
          <w:p>
            <w:pPr>
              <w:jc w:val="center"/>
            </w:pPr>
            <w:r>
              <w:rPr>
                <w:szCs w:val="21"/>
              </w:rPr>
              <w:t>固体废物回收利用处置技术工艺，设备研发及成果转化</w:t>
            </w:r>
          </w:p>
        </w:tc>
        <w:tc>
          <w:tcPr>
            <w:tcW w:w="708" w:type="dxa"/>
            <w:vAlign w:val="center"/>
          </w:tcPr>
          <w:p>
            <w:pPr>
              <w:jc w:val="center"/>
            </w:pPr>
            <w:r>
              <w:rPr>
                <w:szCs w:val="21"/>
              </w:rPr>
              <w:t>项</w:t>
            </w:r>
          </w:p>
        </w:tc>
        <w:tc>
          <w:tcPr>
            <w:tcW w:w="794"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稳步推进</w:t>
            </w:r>
          </w:p>
        </w:tc>
        <w:tc>
          <w:tcPr>
            <w:tcW w:w="794" w:type="dxa"/>
            <w:vAlign w:val="center"/>
          </w:tcPr>
          <w:p>
            <w:pPr>
              <w:jc w:val="center"/>
            </w:pPr>
            <w:r>
              <w:rPr>
                <w:szCs w:val="21"/>
              </w:rPr>
              <w:t>稳步推进</w:t>
            </w:r>
          </w:p>
        </w:tc>
        <w:tc>
          <w:tcPr>
            <w:tcW w:w="794" w:type="dxa"/>
            <w:vAlign w:val="center"/>
          </w:tcPr>
          <w:p>
            <w:pPr>
              <w:jc w:val="center"/>
            </w:pPr>
            <w:r>
              <w:rPr>
                <w:szCs w:val="21"/>
              </w:rPr>
              <w:t>稳步推进</w:t>
            </w:r>
          </w:p>
        </w:tc>
        <w:tc>
          <w:tcPr>
            <w:tcW w:w="1644" w:type="dxa"/>
            <w:vAlign w:val="center"/>
          </w:tcPr>
          <w:p>
            <w:pPr>
              <w:jc w:val="center"/>
            </w:pPr>
            <w:r>
              <w:rPr>
                <w:szCs w:val="21"/>
              </w:rPr>
              <w:t>区政府有关部门(单位)</w:t>
            </w:r>
          </w:p>
        </w:tc>
        <w:tc>
          <w:tcPr>
            <w:tcW w:w="1644" w:type="dxa"/>
            <w:vAlign w:val="center"/>
          </w:tcPr>
          <w:p>
            <w:pPr>
              <w:jc w:val="center"/>
            </w:pPr>
            <w:r>
              <w:rPr>
                <w:szCs w:val="21"/>
              </w:rPr>
              <w:t>区政府有关部门(单位)</w:t>
            </w:r>
          </w:p>
        </w:tc>
        <w:tc>
          <w:tcPr>
            <w:tcW w:w="1644" w:type="dxa"/>
            <w:vAlign w:val="center"/>
          </w:tcPr>
          <w:p>
            <w:pPr>
              <w:jc w:val="center"/>
            </w:pPr>
            <w:r>
              <w:rPr>
                <w:szCs w:val="21"/>
              </w:rPr>
              <w:t>稳步推进</w:t>
            </w:r>
          </w:p>
        </w:tc>
      </w:tr>
    </w:tbl>
    <w:p>
      <w:pPr>
        <w:pStyle w:val="2"/>
      </w:pPr>
    </w:p>
    <w:tbl>
      <w:tblPr>
        <w:tblStyle w:val="18"/>
        <w:tblW w:w="134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7"/>
        <w:gridCol w:w="606"/>
        <w:gridCol w:w="708"/>
        <w:gridCol w:w="2127"/>
        <w:gridCol w:w="708"/>
        <w:gridCol w:w="794"/>
        <w:gridCol w:w="794"/>
        <w:gridCol w:w="794"/>
        <w:gridCol w:w="794"/>
        <w:gridCol w:w="794"/>
        <w:gridCol w:w="1644"/>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87" w:type="dxa"/>
            <w:textDirection w:val="tbRlV"/>
            <w:vAlign w:val="center"/>
          </w:tcPr>
          <w:p>
            <w:pPr>
              <w:jc w:val="center"/>
              <w:rPr>
                <w:rFonts w:eastAsia="黑体"/>
                <w:w w:val="90"/>
                <w:sz w:val="24"/>
                <w:szCs w:val="18"/>
              </w:rPr>
            </w:pPr>
            <w:r>
              <w:rPr>
                <w:rFonts w:eastAsia="黑体"/>
                <w:w w:val="90"/>
                <w:sz w:val="24"/>
                <w:szCs w:val="18"/>
              </w:rPr>
              <w:t>序号</w:t>
            </w:r>
          </w:p>
        </w:tc>
        <w:tc>
          <w:tcPr>
            <w:tcW w:w="606" w:type="dxa"/>
            <w:vAlign w:val="center"/>
          </w:tcPr>
          <w:p>
            <w:pPr>
              <w:jc w:val="center"/>
              <w:rPr>
                <w:rFonts w:eastAsia="黑体"/>
                <w:sz w:val="24"/>
                <w:szCs w:val="18"/>
              </w:rPr>
            </w:pPr>
            <w:r>
              <w:rPr>
                <w:rFonts w:eastAsia="黑体"/>
                <w:sz w:val="24"/>
                <w:szCs w:val="18"/>
              </w:rPr>
              <w:t>一级</w:t>
            </w:r>
          </w:p>
          <w:p>
            <w:pPr>
              <w:jc w:val="center"/>
              <w:rPr>
                <w:rFonts w:eastAsia="黑体"/>
                <w:sz w:val="24"/>
                <w:szCs w:val="18"/>
              </w:rPr>
            </w:pPr>
            <w:r>
              <w:rPr>
                <w:rFonts w:eastAsia="黑体"/>
                <w:sz w:val="24"/>
                <w:szCs w:val="18"/>
              </w:rPr>
              <w:t>指标</w:t>
            </w:r>
          </w:p>
        </w:tc>
        <w:tc>
          <w:tcPr>
            <w:tcW w:w="708" w:type="dxa"/>
            <w:vAlign w:val="center"/>
          </w:tcPr>
          <w:p>
            <w:pPr>
              <w:jc w:val="center"/>
              <w:rPr>
                <w:rFonts w:eastAsia="黑体"/>
                <w:sz w:val="24"/>
                <w:szCs w:val="18"/>
              </w:rPr>
            </w:pPr>
            <w:r>
              <w:rPr>
                <w:rFonts w:eastAsia="黑体"/>
                <w:sz w:val="24"/>
                <w:szCs w:val="18"/>
              </w:rPr>
              <w:t>二级</w:t>
            </w:r>
          </w:p>
          <w:p>
            <w:pPr>
              <w:jc w:val="center"/>
              <w:rPr>
                <w:rFonts w:eastAsia="黑体"/>
                <w:sz w:val="24"/>
                <w:szCs w:val="18"/>
              </w:rPr>
            </w:pPr>
            <w:r>
              <w:rPr>
                <w:rFonts w:eastAsia="黑体"/>
                <w:sz w:val="24"/>
                <w:szCs w:val="18"/>
              </w:rPr>
              <w:t>指标</w:t>
            </w:r>
          </w:p>
        </w:tc>
        <w:tc>
          <w:tcPr>
            <w:tcW w:w="2127" w:type="dxa"/>
            <w:vAlign w:val="center"/>
          </w:tcPr>
          <w:p>
            <w:pPr>
              <w:jc w:val="center"/>
              <w:rPr>
                <w:rFonts w:eastAsia="黑体"/>
                <w:sz w:val="24"/>
                <w:szCs w:val="18"/>
              </w:rPr>
            </w:pPr>
            <w:r>
              <w:rPr>
                <w:rFonts w:eastAsia="黑体"/>
                <w:sz w:val="24"/>
                <w:szCs w:val="18"/>
              </w:rPr>
              <w:t>三级指标</w:t>
            </w:r>
          </w:p>
        </w:tc>
        <w:tc>
          <w:tcPr>
            <w:tcW w:w="708" w:type="dxa"/>
            <w:vAlign w:val="center"/>
          </w:tcPr>
          <w:p>
            <w:pPr>
              <w:jc w:val="center"/>
              <w:rPr>
                <w:rFonts w:eastAsia="黑体"/>
                <w:sz w:val="24"/>
                <w:szCs w:val="18"/>
              </w:rPr>
            </w:pPr>
            <w:r>
              <w:rPr>
                <w:rFonts w:eastAsia="黑体"/>
                <w:sz w:val="24"/>
                <w:szCs w:val="18"/>
              </w:rPr>
              <w:t>单位</w:t>
            </w:r>
          </w:p>
        </w:tc>
        <w:tc>
          <w:tcPr>
            <w:tcW w:w="794" w:type="dxa"/>
            <w:vAlign w:val="center"/>
          </w:tcPr>
          <w:p>
            <w:pPr>
              <w:jc w:val="center"/>
              <w:rPr>
                <w:rFonts w:eastAsia="黑体"/>
                <w:sz w:val="24"/>
                <w:szCs w:val="18"/>
              </w:rPr>
            </w:pPr>
            <w:r>
              <w:rPr>
                <w:rFonts w:eastAsia="黑体"/>
                <w:sz w:val="24"/>
                <w:szCs w:val="18"/>
              </w:rPr>
              <w:t>2020年</w:t>
            </w:r>
          </w:p>
        </w:tc>
        <w:tc>
          <w:tcPr>
            <w:tcW w:w="794" w:type="dxa"/>
            <w:vAlign w:val="center"/>
          </w:tcPr>
          <w:p>
            <w:pPr>
              <w:jc w:val="center"/>
              <w:rPr>
                <w:rFonts w:eastAsia="黑体"/>
                <w:sz w:val="24"/>
                <w:szCs w:val="18"/>
              </w:rPr>
            </w:pPr>
            <w:r>
              <w:rPr>
                <w:rFonts w:eastAsia="黑体"/>
                <w:sz w:val="24"/>
                <w:szCs w:val="18"/>
              </w:rPr>
              <w:t>2022年</w:t>
            </w:r>
          </w:p>
        </w:tc>
        <w:tc>
          <w:tcPr>
            <w:tcW w:w="794" w:type="dxa"/>
            <w:vAlign w:val="center"/>
          </w:tcPr>
          <w:p>
            <w:pPr>
              <w:jc w:val="center"/>
              <w:rPr>
                <w:rFonts w:eastAsia="黑体"/>
                <w:sz w:val="24"/>
                <w:szCs w:val="18"/>
              </w:rPr>
            </w:pPr>
            <w:r>
              <w:rPr>
                <w:rFonts w:eastAsia="黑体"/>
                <w:sz w:val="24"/>
                <w:szCs w:val="18"/>
              </w:rPr>
              <w:t>2023年</w:t>
            </w:r>
          </w:p>
        </w:tc>
        <w:tc>
          <w:tcPr>
            <w:tcW w:w="794" w:type="dxa"/>
            <w:vAlign w:val="center"/>
          </w:tcPr>
          <w:p>
            <w:pPr>
              <w:jc w:val="center"/>
              <w:rPr>
                <w:rFonts w:eastAsia="黑体"/>
                <w:sz w:val="24"/>
                <w:szCs w:val="18"/>
              </w:rPr>
            </w:pPr>
            <w:r>
              <w:rPr>
                <w:rFonts w:eastAsia="黑体"/>
                <w:sz w:val="24"/>
                <w:szCs w:val="18"/>
              </w:rPr>
              <w:t>2024年</w:t>
            </w:r>
          </w:p>
        </w:tc>
        <w:tc>
          <w:tcPr>
            <w:tcW w:w="794" w:type="dxa"/>
            <w:vAlign w:val="center"/>
          </w:tcPr>
          <w:p>
            <w:pPr>
              <w:jc w:val="center"/>
              <w:rPr>
                <w:rFonts w:eastAsia="黑体"/>
                <w:sz w:val="24"/>
                <w:szCs w:val="18"/>
              </w:rPr>
            </w:pPr>
            <w:r>
              <w:rPr>
                <w:rFonts w:eastAsia="黑体"/>
                <w:sz w:val="24"/>
                <w:szCs w:val="18"/>
              </w:rPr>
              <w:t>2025年</w:t>
            </w:r>
          </w:p>
        </w:tc>
        <w:tc>
          <w:tcPr>
            <w:tcW w:w="1644" w:type="dxa"/>
            <w:vAlign w:val="center"/>
          </w:tcPr>
          <w:p>
            <w:pPr>
              <w:jc w:val="center"/>
              <w:rPr>
                <w:rFonts w:eastAsia="黑体"/>
                <w:sz w:val="24"/>
                <w:szCs w:val="18"/>
              </w:rPr>
            </w:pPr>
            <w:r>
              <w:rPr>
                <w:rFonts w:eastAsia="黑体"/>
                <w:sz w:val="24"/>
                <w:szCs w:val="18"/>
              </w:rPr>
              <w:t>数据来源部门</w:t>
            </w:r>
          </w:p>
        </w:tc>
        <w:tc>
          <w:tcPr>
            <w:tcW w:w="1644" w:type="dxa"/>
            <w:vAlign w:val="center"/>
          </w:tcPr>
          <w:p>
            <w:pPr>
              <w:jc w:val="center"/>
              <w:rPr>
                <w:rFonts w:eastAsia="黑体"/>
                <w:sz w:val="24"/>
                <w:szCs w:val="18"/>
              </w:rPr>
            </w:pPr>
            <w:r>
              <w:rPr>
                <w:rFonts w:eastAsia="黑体"/>
                <w:sz w:val="24"/>
                <w:szCs w:val="18"/>
              </w:rPr>
              <w:t>责任部门</w:t>
            </w:r>
          </w:p>
        </w:tc>
        <w:tc>
          <w:tcPr>
            <w:tcW w:w="1644" w:type="dxa"/>
            <w:vAlign w:val="center"/>
          </w:tcPr>
          <w:p>
            <w:pPr>
              <w:jc w:val="center"/>
              <w:rPr>
                <w:rFonts w:eastAsia="黑体"/>
                <w:sz w:val="24"/>
                <w:szCs w:val="18"/>
              </w:rPr>
            </w:pPr>
            <w:r>
              <w:rPr>
                <w:rFonts w:eastAsia="黑体"/>
                <w:sz w:val="24"/>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7" w:hRule="atLeast"/>
        </w:trPr>
        <w:tc>
          <w:tcPr>
            <w:tcW w:w="387" w:type="dxa"/>
            <w:vAlign w:val="center"/>
          </w:tcPr>
          <w:p>
            <w:pPr>
              <w:jc w:val="center"/>
            </w:pPr>
            <w:r>
              <w:rPr>
                <w:szCs w:val="21"/>
              </w:rPr>
              <w:t>40</w:t>
            </w:r>
          </w:p>
        </w:tc>
        <w:tc>
          <w:tcPr>
            <w:tcW w:w="606" w:type="dxa"/>
            <w:vMerge w:val="restart"/>
            <w:vAlign w:val="center"/>
          </w:tcPr>
          <w:p>
            <w:pPr>
              <w:jc w:val="center"/>
            </w:pPr>
            <w:r>
              <w:rPr>
                <w:szCs w:val="21"/>
              </w:rPr>
              <w:t>保障能力</w:t>
            </w:r>
          </w:p>
          <w:p>
            <w:pPr>
              <w:jc w:val="center"/>
            </w:pPr>
          </w:p>
        </w:tc>
        <w:tc>
          <w:tcPr>
            <w:tcW w:w="708" w:type="dxa"/>
            <w:vMerge w:val="restart"/>
            <w:vAlign w:val="center"/>
          </w:tcPr>
          <w:p>
            <w:pPr>
              <w:jc w:val="center"/>
            </w:pPr>
            <w:r>
              <w:rPr>
                <w:szCs w:val="21"/>
              </w:rPr>
              <w:t>监管体系建设</w:t>
            </w:r>
          </w:p>
          <w:p>
            <w:pPr>
              <w:jc w:val="center"/>
            </w:pPr>
          </w:p>
        </w:tc>
        <w:tc>
          <w:tcPr>
            <w:tcW w:w="2127" w:type="dxa"/>
            <w:vAlign w:val="center"/>
          </w:tcPr>
          <w:p>
            <w:pPr>
              <w:jc w:val="center"/>
            </w:pPr>
            <w:r>
              <w:rPr>
                <w:szCs w:val="21"/>
              </w:rPr>
              <w:t>固体废物管理信息化监管情况</w:t>
            </w:r>
            <w:r>
              <w:rPr>
                <w:rFonts w:hint="eastAsia" w:ascii="宋体" w:hAnsi="宋体" w:cs="宋体"/>
                <w:szCs w:val="21"/>
              </w:rPr>
              <w:t>★</w:t>
            </w:r>
          </w:p>
        </w:tc>
        <w:tc>
          <w:tcPr>
            <w:tcW w:w="708" w:type="dxa"/>
            <w:vAlign w:val="center"/>
          </w:tcPr>
          <w:p>
            <w:pPr>
              <w:jc w:val="center"/>
            </w:pPr>
            <w:r>
              <w:rPr>
                <w:szCs w:val="21"/>
              </w:rPr>
              <w:t>项</w:t>
            </w:r>
          </w:p>
        </w:tc>
        <w:tc>
          <w:tcPr>
            <w:tcW w:w="794" w:type="dxa"/>
            <w:vAlign w:val="center"/>
          </w:tcPr>
          <w:p>
            <w:pPr>
              <w:jc w:val="center"/>
            </w:pPr>
            <w:r>
              <w:rPr>
                <w:szCs w:val="21"/>
              </w:rPr>
              <w:t>配合上级建立生活垃圾、医疗废物、市政污泥监管平台、规范运行省固废监管平台</w:t>
            </w:r>
          </w:p>
        </w:tc>
        <w:tc>
          <w:tcPr>
            <w:tcW w:w="794" w:type="dxa"/>
            <w:vAlign w:val="center"/>
          </w:tcPr>
          <w:p>
            <w:pPr>
              <w:jc w:val="center"/>
            </w:pPr>
            <w:r>
              <w:rPr>
                <w:szCs w:val="21"/>
              </w:rPr>
              <w:t>/</w:t>
            </w:r>
          </w:p>
        </w:tc>
        <w:tc>
          <w:tcPr>
            <w:tcW w:w="794" w:type="dxa"/>
            <w:vAlign w:val="center"/>
          </w:tcPr>
          <w:p>
            <w:pPr>
              <w:jc w:val="center"/>
            </w:pPr>
            <w:r>
              <w:rPr>
                <w:szCs w:val="21"/>
              </w:rPr>
              <w:t>配合市级智慧生态黄河管理平台建设工作</w:t>
            </w:r>
          </w:p>
        </w:tc>
        <w:tc>
          <w:tcPr>
            <w:tcW w:w="794" w:type="dxa"/>
            <w:vAlign w:val="center"/>
          </w:tcPr>
          <w:p>
            <w:pPr>
              <w:jc w:val="center"/>
            </w:pPr>
            <w:r>
              <w:rPr>
                <w:szCs w:val="21"/>
              </w:rPr>
              <w:t>配合市级完善智慧生态黄河管理平台相关功能</w:t>
            </w:r>
          </w:p>
        </w:tc>
        <w:tc>
          <w:tcPr>
            <w:tcW w:w="794" w:type="dxa"/>
            <w:vAlign w:val="center"/>
          </w:tcPr>
          <w:p>
            <w:pPr>
              <w:jc w:val="center"/>
            </w:pPr>
            <w:r>
              <w:rPr>
                <w:szCs w:val="21"/>
              </w:rPr>
              <w:t>配合市级完善智慧生态黄河管理平台相关功能</w:t>
            </w:r>
          </w:p>
        </w:tc>
        <w:tc>
          <w:tcPr>
            <w:tcW w:w="1644" w:type="dxa"/>
            <w:vAlign w:val="center"/>
          </w:tcPr>
          <w:p>
            <w:pPr>
              <w:jc w:val="center"/>
            </w:pPr>
            <w:r>
              <w:rPr>
                <w:szCs w:val="21"/>
              </w:rPr>
              <w:t>区政府有关部门(单位)</w:t>
            </w:r>
          </w:p>
        </w:tc>
        <w:tc>
          <w:tcPr>
            <w:tcW w:w="1644" w:type="dxa"/>
            <w:vAlign w:val="center"/>
          </w:tcPr>
          <w:p>
            <w:pPr>
              <w:jc w:val="center"/>
            </w:pPr>
            <w:r>
              <w:rPr>
                <w:szCs w:val="21"/>
              </w:rPr>
              <w:t>区政府有关部门(单位)</w:t>
            </w:r>
          </w:p>
        </w:tc>
        <w:tc>
          <w:tcPr>
            <w:tcW w:w="1644" w:type="dxa"/>
            <w:vAlign w:val="center"/>
          </w:tcPr>
          <w:p>
            <w:pPr>
              <w:jc w:val="cente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52" w:hRule="atLeast"/>
        </w:trPr>
        <w:tc>
          <w:tcPr>
            <w:tcW w:w="387" w:type="dxa"/>
            <w:vAlign w:val="center"/>
          </w:tcPr>
          <w:p>
            <w:pPr>
              <w:jc w:val="center"/>
            </w:pPr>
            <w:r>
              <w:rPr>
                <w:szCs w:val="21"/>
              </w:rPr>
              <w:t>41</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危险废物规范化管理抽查合格率</w:t>
            </w:r>
          </w:p>
        </w:tc>
        <w:tc>
          <w:tcPr>
            <w:tcW w:w="708" w:type="dxa"/>
            <w:vAlign w:val="center"/>
          </w:tcPr>
          <w:p>
            <w:pPr>
              <w:jc w:val="center"/>
            </w:pPr>
            <w:r>
              <w:rPr>
                <w:szCs w:val="21"/>
              </w:rPr>
              <w:t>%</w:t>
            </w:r>
          </w:p>
        </w:tc>
        <w:tc>
          <w:tcPr>
            <w:tcW w:w="794" w:type="dxa"/>
            <w:vAlign w:val="center"/>
          </w:tcPr>
          <w:p>
            <w:pPr>
              <w:jc w:val="center"/>
            </w:pPr>
            <w:r>
              <w:rPr>
                <w:szCs w:val="21"/>
              </w:rPr>
              <w:t>98.42</w:t>
            </w:r>
          </w:p>
        </w:tc>
        <w:tc>
          <w:tcPr>
            <w:tcW w:w="794" w:type="dxa"/>
            <w:vAlign w:val="center"/>
          </w:tcPr>
          <w:p>
            <w:pPr>
              <w:jc w:val="center"/>
            </w:pPr>
            <w:r>
              <w:rPr>
                <w:szCs w:val="21"/>
              </w:rPr>
              <w:t>/</w:t>
            </w:r>
          </w:p>
        </w:tc>
        <w:tc>
          <w:tcPr>
            <w:tcW w:w="794" w:type="dxa"/>
            <w:vAlign w:val="center"/>
          </w:tcPr>
          <w:p>
            <w:pPr>
              <w:jc w:val="center"/>
            </w:pPr>
            <w:r>
              <w:rPr>
                <w:szCs w:val="21"/>
              </w:rPr>
              <w:t>98</w:t>
            </w:r>
          </w:p>
        </w:tc>
        <w:tc>
          <w:tcPr>
            <w:tcW w:w="794" w:type="dxa"/>
            <w:vAlign w:val="center"/>
          </w:tcPr>
          <w:p>
            <w:pPr>
              <w:jc w:val="center"/>
            </w:pPr>
            <w:r>
              <w:rPr>
                <w:szCs w:val="21"/>
              </w:rPr>
              <w:t>99</w:t>
            </w:r>
          </w:p>
        </w:tc>
        <w:tc>
          <w:tcPr>
            <w:tcW w:w="794" w:type="dxa"/>
            <w:vAlign w:val="center"/>
          </w:tcPr>
          <w:p>
            <w:pPr>
              <w:jc w:val="center"/>
            </w:pPr>
            <w:r>
              <w:rPr>
                <w:szCs w:val="21"/>
              </w:rPr>
              <w:t>100</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 w:hRule="atLeast"/>
        </w:trPr>
        <w:tc>
          <w:tcPr>
            <w:tcW w:w="387" w:type="dxa"/>
            <w:vAlign w:val="center"/>
          </w:tcPr>
          <w:p>
            <w:pPr>
              <w:jc w:val="center"/>
            </w:pPr>
            <w:r>
              <w:rPr>
                <w:szCs w:val="21"/>
              </w:rPr>
              <w:t>42</w:t>
            </w:r>
          </w:p>
        </w:tc>
        <w:tc>
          <w:tcPr>
            <w:tcW w:w="606" w:type="dxa"/>
            <w:vMerge w:val="continue"/>
            <w:vAlign w:val="center"/>
          </w:tcPr>
          <w:p>
            <w:pPr>
              <w:jc w:val="center"/>
            </w:pPr>
          </w:p>
        </w:tc>
        <w:tc>
          <w:tcPr>
            <w:tcW w:w="708" w:type="dxa"/>
            <w:vMerge w:val="continue"/>
            <w:vAlign w:val="center"/>
          </w:tcPr>
          <w:p/>
        </w:tc>
        <w:tc>
          <w:tcPr>
            <w:tcW w:w="2127" w:type="dxa"/>
            <w:vAlign w:val="center"/>
          </w:tcPr>
          <w:p>
            <w:pPr>
              <w:jc w:val="center"/>
            </w:pPr>
            <w:r>
              <w:rPr>
                <w:szCs w:val="21"/>
              </w:rPr>
              <w:t>固体废物环境污染刑事案件立案率</w:t>
            </w:r>
          </w:p>
        </w:tc>
        <w:tc>
          <w:tcPr>
            <w:tcW w:w="708" w:type="dxa"/>
            <w:vAlign w:val="center"/>
          </w:tcPr>
          <w:p>
            <w:pPr>
              <w:jc w:val="center"/>
            </w:pPr>
            <w:r>
              <w:rPr>
                <w:szCs w:val="21"/>
              </w:rPr>
              <w:t>%</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1644" w:type="dxa"/>
            <w:vAlign w:val="center"/>
          </w:tcPr>
          <w:p>
            <w:pPr>
              <w:jc w:val="center"/>
            </w:pPr>
            <w:r>
              <w:rPr>
                <w:szCs w:val="21"/>
              </w:rPr>
              <w:t>区公安分局</w:t>
            </w:r>
          </w:p>
        </w:tc>
        <w:tc>
          <w:tcPr>
            <w:tcW w:w="1644" w:type="dxa"/>
            <w:vAlign w:val="center"/>
          </w:tcPr>
          <w:p>
            <w:pPr>
              <w:jc w:val="center"/>
            </w:pPr>
            <w:r>
              <w:rPr>
                <w:szCs w:val="21"/>
              </w:rPr>
              <w:t>区公安分局</w:t>
            </w:r>
          </w:p>
        </w:tc>
        <w:tc>
          <w:tcPr>
            <w:tcW w:w="1644" w:type="dxa"/>
            <w:vAlign w:val="center"/>
          </w:tcPr>
          <w:p>
            <w:pPr>
              <w:jc w:val="center"/>
            </w:pPr>
            <w:r>
              <w:rPr>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8" w:hRule="atLeast"/>
        </w:trPr>
        <w:tc>
          <w:tcPr>
            <w:tcW w:w="387" w:type="dxa"/>
            <w:vAlign w:val="center"/>
          </w:tcPr>
          <w:p>
            <w:pPr>
              <w:jc w:val="center"/>
            </w:pPr>
            <w:r>
              <w:rPr>
                <w:szCs w:val="21"/>
              </w:rPr>
              <w:t>43</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涉固体废物信访、投诉、举报案件办结率</w:t>
            </w:r>
          </w:p>
        </w:tc>
        <w:tc>
          <w:tcPr>
            <w:tcW w:w="708" w:type="dxa"/>
            <w:vAlign w:val="center"/>
          </w:tcPr>
          <w:p>
            <w:pPr>
              <w:jc w:val="center"/>
            </w:pPr>
            <w:r>
              <w:rPr>
                <w:szCs w:val="21"/>
              </w:rPr>
              <w:t>%</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4" w:hRule="atLeast"/>
        </w:trPr>
        <w:tc>
          <w:tcPr>
            <w:tcW w:w="387" w:type="dxa"/>
            <w:vAlign w:val="center"/>
          </w:tcPr>
          <w:p>
            <w:pPr>
              <w:jc w:val="center"/>
            </w:pPr>
            <w:r>
              <w:rPr>
                <w:szCs w:val="21"/>
              </w:rPr>
              <w:t>44</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pPr>
            <w:r>
              <w:rPr>
                <w:szCs w:val="21"/>
              </w:rPr>
              <w:t>固体废物环境污染案件开展生态环境损害赔偿工作的覆盖率</w:t>
            </w:r>
          </w:p>
        </w:tc>
        <w:tc>
          <w:tcPr>
            <w:tcW w:w="708" w:type="dxa"/>
            <w:vAlign w:val="center"/>
          </w:tcPr>
          <w:p>
            <w:pPr>
              <w:jc w:val="center"/>
            </w:pPr>
            <w:r>
              <w:rPr>
                <w:szCs w:val="21"/>
              </w:rPr>
              <w:t>%</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794" w:type="dxa"/>
            <w:vAlign w:val="center"/>
          </w:tcPr>
          <w:p>
            <w:pPr>
              <w:jc w:val="center"/>
            </w:pPr>
            <w:r>
              <w:rPr>
                <w:szCs w:val="21"/>
              </w:rPr>
              <w:t>100</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市生态环境局天桥分局</w:t>
            </w:r>
          </w:p>
        </w:tc>
        <w:tc>
          <w:tcPr>
            <w:tcW w:w="1644" w:type="dxa"/>
            <w:vAlign w:val="center"/>
          </w:tcPr>
          <w:p>
            <w:pPr>
              <w:jc w:val="center"/>
            </w:pPr>
            <w:r>
              <w:rPr>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1" w:hRule="atLeast"/>
        </w:trPr>
        <w:tc>
          <w:tcPr>
            <w:tcW w:w="387" w:type="dxa"/>
            <w:vAlign w:val="center"/>
          </w:tcPr>
          <w:p>
            <w:pPr>
              <w:jc w:val="center"/>
            </w:pPr>
            <w:r>
              <w:rPr>
                <w:szCs w:val="21"/>
              </w:rPr>
              <w:t>45</w:t>
            </w:r>
          </w:p>
        </w:tc>
        <w:tc>
          <w:tcPr>
            <w:tcW w:w="606" w:type="dxa"/>
            <w:vMerge w:val="restart"/>
            <w:vAlign w:val="center"/>
          </w:tcPr>
          <w:p>
            <w:pPr>
              <w:jc w:val="center"/>
            </w:pPr>
            <w:r>
              <w:rPr>
                <w:szCs w:val="21"/>
              </w:rPr>
              <w:t>群众获得感</w:t>
            </w:r>
          </w:p>
        </w:tc>
        <w:tc>
          <w:tcPr>
            <w:tcW w:w="708" w:type="dxa"/>
            <w:vMerge w:val="restart"/>
            <w:vAlign w:val="center"/>
          </w:tcPr>
          <w:p>
            <w:r>
              <w:rPr>
                <w:szCs w:val="21"/>
              </w:rPr>
              <w:t>群众获得感</w:t>
            </w:r>
          </w:p>
        </w:tc>
        <w:tc>
          <w:tcPr>
            <w:tcW w:w="2127" w:type="dxa"/>
            <w:vAlign w:val="center"/>
          </w:tcPr>
          <w:p>
            <w:pPr>
              <w:jc w:val="center"/>
            </w:pPr>
            <w:r>
              <w:rPr>
                <w:szCs w:val="21"/>
              </w:rPr>
              <w:t>“无废城市”建设宣传教育培训普及率</w:t>
            </w:r>
          </w:p>
        </w:tc>
        <w:tc>
          <w:tcPr>
            <w:tcW w:w="708"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90</w:t>
            </w:r>
          </w:p>
        </w:tc>
        <w:tc>
          <w:tcPr>
            <w:tcW w:w="1644" w:type="dxa"/>
            <w:vAlign w:val="center"/>
          </w:tcPr>
          <w:p>
            <w:pPr>
              <w:jc w:val="center"/>
            </w:pPr>
            <w:r>
              <w:rPr>
                <w:szCs w:val="21"/>
              </w:rPr>
              <w:t>区政府有关部门(单位)</w:t>
            </w:r>
          </w:p>
        </w:tc>
        <w:tc>
          <w:tcPr>
            <w:tcW w:w="1644" w:type="dxa"/>
            <w:vAlign w:val="center"/>
          </w:tcPr>
          <w:p>
            <w:pPr>
              <w:jc w:val="center"/>
            </w:pPr>
            <w:r>
              <w:rPr>
                <w:szCs w:val="21"/>
              </w:rPr>
              <w:t>区政府有关部门(单位)</w:t>
            </w:r>
          </w:p>
        </w:tc>
        <w:tc>
          <w:tcPr>
            <w:tcW w:w="1644" w:type="dxa"/>
            <w:vAlign w:val="center"/>
          </w:tcPr>
          <w:p>
            <w:pPr>
              <w:jc w:val="center"/>
            </w:pPr>
            <w:r>
              <w:rPr>
                <w:szCs w:val="21"/>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1" w:hRule="atLeast"/>
        </w:trPr>
        <w:tc>
          <w:tcPr>
            <w:tcW w:w="387" w:type="dxa"/>
            <w:vAlign w:val="center"/>
          </w:tcPr>
          <w:p>
            <w:pPr>
              <w:jc w:val="center"/>
            </w:pPr>
            <w:r>
              <w:rPr>
                <w:snapToGrid w:val="0"/>
                <w:szCs w:val="21"/>
              </w:rPr>
              <w:t>46</w:t>
            </w:r>
          </w:p>
        </w:tc>
        <w:tc>
          <w:tcPr>
            <w:tcW w:w="606" w:type="dxa"/>
            <w:vMerge w:val="continue"/>
            <w:vAlign w:val="center"/>
          </w:tcPr>
          <w:p>
            <w:pPr>
              <w:jc w:val="center"/>
            </w:pPr>
          </w:p>
        </w:tc>
        <w:tc>
          <w:tcPr>
            <w:tcW w:w="708" w:type="dxa"/>
            <w:vMerge w:val="continue"/>
            <w:vAlign w:val="center"/>
          </w:tcPr>
          <w:p/>
        </w:tc>
        <w:tc>
          <w:tcPr>
            <w:tcW w:w="2127" w:type="dxa"/>
            <w:vAlign w:val="center"/>
          </w:tcPr>
          <w:p>
            <w:pPr>
              <w:jc w:val="center"/>
            </w:pPr>
            <w:r>
              <w:rPr>
                <w:szCs w:val="21"/>
              </w:rPr>
              <w:t>政府、企事业单位、非政府环境组织、公众对“无废城市”建设的参与程度</w:t>
            </w:r>
          </w:p>
        </w:tc>
        <w:tc>
          <w:tcPr>
            <w:tcW w:w="708"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稳步</w:t>
            </w:r>
          </w:p>
          <w:p>
            <w:pPr>
              <w:jc w:val="center"/>
            </w:pPr>
            <w:r>
              <w:rPr>
                <w:szCs w:val="21"/>
              </w:rPr>
              <w:t>提升</w:t>
            </w:r>
          </w:p>
        </w:tc>
        <w:tc>
          <w:tcPr>
            <w:tcW w:w="794" w:type="dxa"/>
            <w:vAlign w:val="center"/>
          </w:tcPr>
          <w:p>
            <w:pPr>
              <w:jc w:val="center"/>
            </w:pPr>
            <w:r>
              <w:rPr>
                <w:szCs w:val="21"/>
              </w:rPr>
              <w:t>稳步</w:t>
            </w:r>
          </w:p>
          <w:p>
            <w:pPr>
              <w:jc w:val="center"/>
            </w:pPr>
            <w:r>
              <w:rPr>
                <w:szCs w:val="21"/>
              </w:rPr>
              <w:t>提升</w:t>
            </w:r>
          </w:p>
        </w:tc>
        <w:tc>
          <w:tcPr>
            <w:tcW w:w="794" w:type="dxa"/>
            <w:vAlign w:val="center"/>
          </w:tcPr>
          <w:p>
            <w:pPr>
              <w:jc w:val="center"/>
            </w:pPr>
            <w:r>
              <w:rPr>
                <w:szCs w:val="21"/>
              </w:rPr>
              <w:t>稳步</w:t>
            </w:r>
          </w:p>
          <w:p>
            <w:pPr>
              <w:jc w:val="center"/>
            </w:pPr>
            <w:r>
              <w:rPr>
                <w:szCs w:val="21"/>
              </w:rPr>
              <w:t>提升</w:t>
            </w:r>
          </w:p>
        </w:tc>
        <w:tc>
          <w:tcPr>
            <w:tcW w:w="1644" w:type="dxa"/>
            <w:vAlign w:val="center"/>
          </w:tcPr>
          <w:p>
            <w:pPr>
              <w:jc w:val="center"/>
            </w:pPr>
            <w:r>
              <w:rPr>
                <w:szCs w:val="21"/>
              </w:rPr>
              <w:t>区政府有关部门(单位)</w:t>
            </w:r>
          </w:p>
        </w:tc>
        <w:tc>
          <w:tcPr>
            <w:tcW w:w="1644" w:type="dxa"/>
            <w:vAlign w:val="center"/>
          </w:tcPr>
          <w:p>
            <w:pPr>
              <w:jc w:val="center"/>
            </w:pPr>
            <w:r>
              <w:rPr>
                <w:szCs w:val="21"/>
              </w:rPr>
              <w:t>区政府有关部门(单位)</w:t>
            </w:r>
          </w:p>
        </w:tc>
        <w:tc>
          <w:tcPr>
            <w:tcW w:w="1644" w:type="dxa"/>
            <w:vAlign w:val="center"/>
          </w:tcPr>
          <w:p>
            <w:pPr>
              <w:jc w:val="center"/>
            </w:pPr>
            <w:r>
              <w:rPr>
                <w:szCs w:val="21"/>
              </w:rPr>
              <w:t>稳步提升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3" w:hRule="atLeast"/>
        </w:trPr>
        <w:tc>
          <w:tcPr>
            <w:tcW w:w="387" w:type="dxa"/>
            <w:vAlign w:val="center"/>
          </w:tcPr>
          <w:p>
            <w:pPr>
              <w:jc w:val="center"/>
            </w:pPr>
            <w:r>
              <w:rPr>
                <w:szCs w:val="21"/>
              </w:rPr>
              <w:t>47</w:t>
            </w:r>
          </w:p>
        </w:tc>
        <w:tc>
          <w:tcPr>
            <w:tcW w:w="606" w:type="dxa"/>
            <w:vMerge w:val="continue"/>
            <w:vAlign w:val="center"/>
          </w:tcPr>
          <w:p>
            <w:pPr>
              <w:jc w:val="center"/>
            </w:pPr>
          </w:p>
        </w:tc>
        <w:tc>
          <w:tcPr>
            <w:tcW w:w="708" w:type="dxa"/>
            <w:vMerge w:val="continue"/>
            <w:vAlign w:val="center"/>
          </w:tcPr>
          <w:p>
            <w:pPr>
              <w:jc w:val="center"/>
            </w:pPr>
          </w:p>
        </w:tc>
        <w:tc>
          <w:tcPr>
            <w:tcW w:w="2127" w:type="dxa"/>
            <w:vAlign w:val="center"/>
          </w:tcPr>
          <w:p>
            <w:pPr>
              <w:jc w:val="center"/>
              <w:rPr>
                <w:szCs w:val="21"/>
              </w:rPr>
            </w:pPr>
            <w:r>
              <w:rPr>
                <w:szCs w:val="21"/>
              </w:rPr>
              <w:t>公众对“无废城市”建设成效的满意程度</w:t>
            </w:r>
            <w:r>
              <w:rPr>
                <w:rFonts w:hint="eastAsia" w:ascii="宋体" w:hAnsi="宋体" w:cs="宋体"/>
                <w:szCs w:val="21"/>
              </w:rPr>
              <w:t>★</w:t>
            </w:r>
          </w:p>
        </w:tc>
        <w:tc>
          <w:tcPr>
            <w:tcW w:w="708"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w:t>
            </w:r>
          </w:p>
        </w:tc>
        <w:tc>
          <w:tcPr>
            <w:tcW w:w="794" w:type="dxa"/>
            <w:vAlign w:val="center"/>
          </w:tcPr>
          <w:p>
            <w:pPr>
              <w:jc w:val="center"/>
            </w:pPr>
            <w:r>
              <w:rPr>
                <w:szCs w:val="21"/>
              </w:rPr>
              <w:t>90</w:t>
            </w:r>
          </w:p>
        </w:tc>
        <w:tc>
          <w:tcPr>
            <w:tcW w:w="1644" w:type="dxa"/>
            <w:vAlign w:val="center"/>
          </w:tcPr>
          <w:p>
            <w:pPr>
              <w:jc w:val="center"/>
            </w:pPr>
            <w:r>
              <w:rPr>
                <w:szCs w:val="21"/>
              </w:rPr>
              <w:t>第三方调查</w:t>
            </w:r>
          </w:p>
        </w:tc>
        <w:tc>
          <w:tcPr>
            <w:tcW w:w="1644" w:type="dxa"/>
            <w:vAlign w:val="center"/>
          </w:tcPr>
          <w:p>
            <w:pPr>
              <w:jc w:val="center"/>
            </w:pPr>
            <w:r>
              <w:rPr>
                <w:szCs w:val="21"/>
              </w:rPr>
              <w:t>区政府有关部门(单位)</w:t>
            </w:r>
          </w:p>
        </w:tc>
        <w:tc>
          <w:tcPr>
            <w:tcW w:w="1644" w:type="dxa"/>
            <w:vAlign w:val="center"/>
          </w:tcPr>
          <w:p>
            <w:pPr>
              <w:jc w:val="center"/>
            </w:pPr>
            <w:r>
              <w:rPr>
                <w:szCs w:val="21"/>
              </w:rPr>
              <w:t>90%以上</w:t>
            </w:r>
          </w:p>
        </w:tc>
      </w:tr>
    </w:tbl>
    <w:p>
      <w:pPr>
        <w:pStyle w:val="2"/>
      </w:pPr>
    </w:p>
    <w:p>
      <w:pPr>
        <w:pStyle w:val="2"/>
        <w:ind w:left="720" w:hanging="720" w:hangingChars="300"/>
        <w:rPr>
          <w:sz w:val="24"/>
        </w:rPr>
      </w:pPr>
      <w:r>
        <w:rPr>
          <w:rFonts w:hint="eastAsia"/>
          <w:sz w:val="24"/>
        </w:rPr>
        <w:t>备注：1.★为《“无废城市”建设指标体系(2021年版)》规定的必选指标。</w:t>
      </w:r>
      <w:r>
        <w:rPr>
          <w:rFonts w:hint="eastAsia"/>
          <w:sz w:val="24"/>
        </w:rPr>
        <w:cr/>
      </w:r>
      <w:r>
        <w:rPr>
          <w:rFonts w:hint="eastAsia"/>
          <w:sz w:val="24"/>
        </w:rPr>
        <w:t xml:space="preserve">2.指标计算过程中，基准年为2020年，评价年为计算目标值当年。 </w:t>
      </w:r>
    </w:p>
    <w:p>
      <w:pPr>
        <w:pStyle w:val="2"/>
      </w:pPr>
    </w:p>
    <w:p>
      <w:pPr>
        <w:rPr>
          <w:rFonts w:eastAsia="黑体"/>
          <w:szCs w:val="32"/>
        </w:rPr>
      </w:pPr>
      <w:r>
        <w:rPr>
          <w:rFonts w:eastAsia="黑体"/>
          <w:sz w:val="32"/>
          <w:szCs w:val="32"/>
        </w:rPr>
        <w:t>附件2</w:t>
      </w:r>
    </w:p>
    <w:p>
      <w:pPr>
        <w:jc w:val="center"/>
        <w:rPr>
          <w:rFonts w:eastAsia="方正小标宋_GBK"/>
          <w:sz w:val="44"/>
          <w:szCs w:val="44"/>
        </w:rPr>
      </w:pPr>
      <w:r>
        <w:rPr>
          <w:rFonts w:eastAsia="方正小标宋_GBK"/>
          <w:sz w:val="44"/>
          <w:szCs w:val="44"/>
        </w:rPr>
        <w:t>天桥区“无废城市”建设实施方案(2023—2025年)项目清单</w:t>
      </w:r>
    </w:p>
    <w:p>
      <w:pPr>
        <w:rPr>
          <w:sz w:val="24"/>
          <w:szCs w:val="18"/>
        </w:rPr>
      </w:pPr>
    </w:p>
    <w:tbl>
      <w:tblPr>
        <w:tblStyle w:val="18"/>
        <w:tblW w:w="134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215"/>
        <w:gridCol w:w="1020"/>
        <w:gridCol w:w="1020"/>
        <w:gridCol w:w="2722"/>
        <w:gridCol w:w="1020"/>
        <w:gridCol w:w="1020"/>
        <w:gridCol w:w="811"/>
        <w:gridCol w:w="989"/>
        <w:gridCol w:w="3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29" w:type="dxa"/>
            <w:vAlign w:val="center"/>
          </w:tcPr>
          <w:p>
            <w:pPr>
              <w:jc w:val="center"/>
              <w:rPr>
                <w:rFonts w:eastAsia="黑体"/>
                <w:sz w:val="24"/>
                <w:szCs w:val="18"/>
              </w:rPr>
            </w:pPr>
            <w:r>
              <w:rPr>
                <w:rFonts w:eastAsia="黑体"/>
                <w:sz w:val="24"/>
                <w:szCs w:val="18"/>
              </w:rPr>
              <w:t>序号</w:t>
            </w:r>
          </w:p>
        </w:tc>
        <w:tc>
          <w:tcPr>
            <w:tcW w:w="1215" w:type="dxa"/>
            <w:vAlign w:val="center"/>
          </w:tcPr>
          <w:p>
            <w:pPr>
              <w:jc w:val="center"/>
              <w:rPr>
                <w:rFonts w:eastAsia="黑体"/>
                <w:sz w:val="24"/>
                <w:szCs w:val="18"/>
              </w:rPr>
            </w:pPr>
            <w:r>
              <w:rPr>
                <w:rFonts w:eastAsia="黑体"/>
                <w:sz w:val="24"/>
                <w:szCs w:val="18"/>
              </w:rPr>
              <w:t>项目名称</w:t>
            </w:r>
          </w:p>
        </w:tc>
        <w:tc>
          <w:tcPr>
            <w:tcW w:w="1020" w:type="dxa"/>
            <w:vAlign w:val="center"/>
          </w:tcPr>
          <w:p>
            <w:pPr>
              <w:jc w:val="center"/>
              <w:rPr>
                <w:rFonts w:eastAsia="黑体"/>
                <w:sz w:val="24"/>
                <w:szCs w:val="18"/>
              </w:rPr>
            </w:pPr>
            <w:r>
              <w:rPr>
                <w:rFonts w:eastAsia="黑体"/>
                <w:sz w:val="24"/>
                <w:szCs w:val="18"/>
              </w:rPr>
              <w:t>责任主体</w:t>
            </w:r>
          </w:p>
        </w:tc>
        <w:tc>
          <w:tcPr>
            <w:tcW w:w="1020" w:type="dxa"/>
            <w:vAlign w:val="center"/>
          </w:tcPr>
          <w:p>
            <w:pPr>
              <w:jc w:val="center"/>
              <w:rPr>
                <w:rFonts w:eastAsia="黑体"/>
                <w:sz w:val="24"/>
                <w:szCs w:val="18"/>
              </w:rPr>
            </w:pPr>
            <w:r>
              <w:rPr>
                <w:rFonts w:eastAsia="黑体"/>
                <w:sz w:val="24"/>
                <w:szCs w:val="18"/>
              </w:rPr>
              <w:t>实施主体</w:t>
            </w:r>
          </w:p>
        </w:tc>
        <w:tc>
          <w:tcPr>
            <w:tcW w:w="2722" w:type="dxa"/>
            <w:vAlign w:val="center"/>
          </w:tcPr>
          <w:p>
            <w:pPr>
              <w:jc w:val="center"/>
              <w:rPr>
                <w:rFonts w:eastAsia="黑体"/>
                <w:sz w:val="24"/>
                <w:szCs w:val="18"/>
              </w:rPr>
            </w:pPr>
            <w:r>
              <w:rPr>
                <w:rFonts w:eastAsia="黑体"/>
                <w:sz w:val="24"/>
                <w:szCs w:val="18"/>
              </w:rPr>
              <w:t>建设内容</w:t>
            </w:r>
          </w:p>
        </w:tc>
        <w:tc>
          <w:tcPr>
            <w:tcW w:w="1020" w:type="dxa"/>
            <w:vAlign w:val="center"/>
          </w:tcPr>
          <w:p>
            <w:pPr>
              <w:jc w:val="center"/>
              <w:rPr>
                <w:rFonts w:eastAsia="黑体"/>
                <w:sz w:val="24"/>
                <w:szCs w:val="18"/>
              </w:rPr>
            </w:pPr>
            <w:r>
              <w:rPr>
                <w:rFonts w:eastAsia="黑体"/>
                <w:sz w:val="24"/>
                <w:szCs w:val="18"/>
              </w:rPr>
              <w:t>建设地点</w:t>
            </w:r>
          </w:p>
        </w:tc>
        <w:tc>
          <w:tcPr>
            <w:tcW w:w="1020" w:type="dxa"/>
            <w:vAlign w:val="center"/>
          </w:tcPr>
          <w:p>
            <w:pPr>
              <w:jc w:val="center"/>
              <w:rPr>
                <w:rFonts w:eastAsia="黑体"/>
                <w:sz w:val="24"/>
                <w:szCs w:val="18"/>
              </w:rPr>
            </w:pPr>
            <w:r>
              <w:rPr>
                <w:rFonts w:eastAsia="黑体"/>
                <w:sz w:val="24"/>
                <w:szCs w:val="18"/>
              </w:rPr>
              <w:t>建设时间</w:t>
            </w:r>
          </w:p>
        </w:tc>
        <w:tc>
          <w:tcPr>
            <w:tcW w:w="811" w:type="dxa"/>
            <w:vAlign w:val="center"/>
          </w:tcPr>
          <w:p>
            <w:pPr>
              <w:jc w:val="center"/>
              <w:rPr>
                <w:rFonts w:eastAsia="黑体"/>
                <w:sz w:val="24"/>
                <w:szCs w:val="18"/>
              </w:rPr>
            </w:pPr>
            <w:r>
              <w:rPr>
                <w:rFonts w:eastAsia="黑体"/>
                <w:sz w:val="24"/>
                <w:szCs w:val="18"/>
              </w:rPr>
              <w:t>总投资(万元)</w:t>
            </w:r>
          </w:p>
        </w:tc>
        <w:tc>
          <w:tcPr>
            <w:tcW w:w="989" w:type="dxa"/>
            <w:vAlign w:val="center"/>
          </w:tcPr>
          <w:p>
            <w:pPr>
              <w:jc w:val="center"/>
              <w:rPr>
                <w:rFonts w:eastAsia="黑体"/>
                <w:sz w:val="24"/>
                <w:szCs w:val="18"/>
              </w:rPr>
            </w:pPr>
            <w:r>
              <w:rPr>
                <w:rFonts w:eastAsia="黑体"/>
                <w:sz w:val="24"/>
                <w:szCs w:val="18"/>
              </w:rPr>
              <w:t>资金筹措方式</w:t>
            </w:r>
          </w:p>
        </w:tc>
        <w:tc>
          <w:tcPr>
            <w:tcW w:w="3121" w:type="dxa"/>
            <w:vAlign w:val="center"/>
          </w:tcPr>
          <w:p>
            <w:pPr>
              <w:jc w:val="center"/>
              <w:rPr>
                <w:rFonts w:eastAsia="黑体"/>
                <w:sz w:val="24"/>
                <w:szCs w:val="18"/>
              </w:rPr>
            </w:pPr>
            <w:r>
              <w:rPr>
                <w:rFonts w:eastAsia="黑体"/>
                <w:sz w:val="24"/>
                <w:szCs w:val="18"/>
              </w:rPr>
              <w:t>经济社会环境效益分析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29" w:type="dxa"/>
            <w:vAlign w:val="center"/>
          </w:tcPr>
          <w:p>
            <w:pPr>
              <w:jc w:val="center"/>
            </w:pPr>
            <w:r>
              <w:rPr>
                <w:szCs w:val="21"/>
              </w:rPr>
              <w:t>1</w:t>
            </w:r>
          </w:p>
        </w:tc>
        <w:tc>
          <w:tcPr>
            <w:tcW w:w="1215" w:type="dxa"/>
            <w:vAlign w:val="center"/>
          </w:tcPr>
          <w:p>
            <w:pPr>
              <w:jc w:val="center"/>
            </w:pPr>
            <w:r>
              <w:rPr>
                <w:szCs w:val="21"/>
              </w:rPr>
              <w:t>济南市天桥区泺口垃圾中转站项目</w:t>
            </w:r>
          </w:p>
        </w:tc>
        <w:tc>
          <w:tcPr>
            <w:tcW w:w="1020" w:type="dxa"/>
            <w:vAlign w:val="center"/>
          </w:tcPr>
          <w:p>
            <w:pPr>
              <w:jc w:val="center"/>
            </w:pPr>
            <w:r>
              <w:rPr>
                <w:szCs w:val="21"/>
              </w:rPr>
              <w:t>天桥区</w:t>
            </w:r>
          </w:p>
        </w:tc>
        <w:tc>
          <w:tcPr>
            <w:tcW w:w="1020" w:type="dxa"/>
            <w:vAlign w:val="center"/>
          </w:tcPr>
          <w:p>
            <w:pPr>
              <w:jc w:val="center"/>
            </w:pPr>
            <w:r>
              <w:rPr>
                <w:szCs w:val="21"/>
              </w:rPr>
              <w:t>济南天晨商业管理有限公司</w:t>
            </w:r>
          </w:p>
        </w:tc>
        <w:tc>
          <w:tcPr>
            <w:tcW w:w="2722" w:type="dxa"/>
            <w:vAlign w:val="center"/>
          </w:tcPr>
          <w:p>
            <w:pPr>
              <w:jc w:val="center"/>
            </w:pPr>
            <w:r>
              <w:rPr>
                <w:szCs w:val="21"/>
              </w:rPr>
              <w:t>新建垃圾中转站主体设施1栋、生活服务及配套设施1栋、维修车间1栋，同步实施道路及停车场、绿化、室外管网、围墙等工程。</w:t>
            </w:r>
          </w:p>
        </w:tc>
        <w:tc>
          <w:tcPr>
            <w:tcW w:w="1020" w:type="dxa"/>
            <w:vAlign w:val="center"/>
          </w:tcPr>
          <w:p>
            <w:pPr>
              <w:jc w:val="center"/>
            </w:pPr>
            <w:r>
              <w:rPr>
                <w:szCs w:val="21"/>
              </w:rPr>
              <w:t>天桥区</w:t>
            </w:r>
          </w:p>
        </w:tc>
        <w:tc>
          <w:tcPr>
            <w:tcW w:w="1020" w:type="dxa"/>
            <w:vAlign w:val="center"/>
          </w:tcPr>
          <w:p>
            <w:pPr>
              <w:jc w:val="center"/>
            </w:pPr>
            <w:r>
              <w:rPr>
                <w:szCs w:val="21"/>
              </w:rPr>
              <w:t>2023-2024</w:t>
            </w:r>
          </w:p>
        </w:tc>
        <w:tc>
          <w:tcPr>
            <w:tcW w:w="811" w:type="dxa"/>
            <w:vAlign w:val="center"/>
          </w:tcPr>
          <w:p>
            <w:pPr>
              <w:jc w:val="center"/>
            </w:pPr>
            <w:r>
              <w:rPr>
                <w:szCs w:val="21"/>
              </w:rPr>
              <w:t>18300</w:t>
            </w:r>
          </w:p>
        </w:tc>
        <w:tc>
          <w:tcPr>
            <w:tcW w:w="989" w:type="dxa"/>
            <w:vAlign w:val="center"/>
          </w:tcPr>
          <w:p>
            <w:pPr>
              <w:jc w:val="center"/>
            </w:pPr>
            <w:r>
              <w:rPr>
                <w:szCs w:val="21"/>
              </w:rPr>
              <w:t>自筹</w:t>
            </w:r>
          </w:p>
        </w:tc>
        <w:tc>
          <w:tcPr>
            <w:tcW w:w="3121" w:type="dxa"/>
            <w:vAlign w:val="center"/>
          </w:tcPr>
          <w:p>
            <w:pPr>
              <w:jc w:val="center"/>
            </w:pPr>
            <w:r>
              <w:rPr>
                <w:szCs w:val="21"/>
              </w:rPr>
              <w:t>项目建设有利于提高城市生活垃圾治理水平，解决原有垃圾中转站存在的臭气扩散、噪音污染、噪声扰民等问题，提高城市环境卫生总体水平。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29" w:type="dxa"/>
            <w:vAlign w:val="center"/>
          </w:tcPr>
          <w:p>
            <w:pPr>
              <w:jc w:val="center"/>
            </w:pPr>
            <w:r>
              <w:rPr>
                <w:szCs w:val="21"/>
              </w:rPr>
              <w:t>2</w:t>
            </w:r>
          </w:p>
        </w:tc>
        <w:tc>
          <w:tcPr>
            <w:tcW w:w="1215" w:type="dxa"/>
            <w:vAlign w:val="center"/>
          </w:tcPr>
          <w:p>
            <w:pPr>
              <w:jc w:val="center"/>
            </w:pPr>
            <w:r>
              <w:rPr>
                <w:szCs w:val="21"/>
              </w:rPr>
              <w:t>山东辰美电气有限公司年综合利用 30万吨钛石膏项目</w:t>
            </w:r>
          </w:p>
        </w:tc>
        <w:tc>
          <w:tcPr>
            <w:tcW w:w="1020" w:type="dxa"/>
            <w:vAlign w:val="center"/>
          </w:tcPr>
          <w:p>
            <w:pPr>
              <w:jc w:val="center"/>
            </w:pPr>
            <w:r>
              <w:rPr>
                <w:szCs w:val="21"/>
              </w:rPr>
              <w:t>山东辰美电气有限公司</w:t>
            </w:r>
          </w:p>
        </w:tc>
        <w:tc>
          <w:tcPr>
            <w:tcW w:w="1020" w:type="dxa"/>
            <w:vAlign w:val="center"/>
          </w:tcPr>
          <w:p>
            <w:pPr>
              <w:jc w:val="center"/>
            </w:pPr>
            <w:r>
              <w:rPr>
                <w:szCs w:val="21"/>
              </w:rPr>
              <w:t>山东辰美电气有限公司</w:t>
            </w:r>
          </w:p>
        </w:tc>
        <w:tc>
          <w:tcPr>
            <w:tcW w:w="2722" w:type="dxa"/>
            <w:vAlign w:val="center"/>
          </w:tcPr>
          <w:p>
            <w:pPr>
              <w:jc w:val="center"/>
            </w:pPr>
            <w:r>
              <w:rPr>
                <w:szCs w:val="21"/>
              </w:rPr>
              <w:t>在济南裕兴化工有限责任公司厂区内建设年综合利用30万吨钛石膏项目，利用裕兴化工产生的钛石膏及外购钢渣生产免烧砖。</w:t>
            </w:r>
          </w:p>
        </w:tc>
        <w:tc>
          <w:tcPr>
            <w:tcW w:w="1020" w:type="dxa"/>
            <w:vAlign w:val="center"/>
          </w:tcPr>
          <w:p>
            <w:pPr>
              <w:jc w:val="center"/>
            </w:pPr>
            <w:r>
              <w:rPr>
                <w:szCs w:val="21"/>
              </w:rPr>
              <w:t>天桥区</w:t>
            </w:r>
          </w:p>
        </w:tc>
        <w:tc>
          <w:tcPr>
            <w:tcW w:w="1020" w:type="dxa"/>
            <w:vAlign w:val="center"/>
          </w:tcPr>
          <w:p>
            <w:pPr>
              <w:jc w:val="center"/>
            </w:pPr>
            <w:r>
              <w:rPr>
                <w:szCs w:val="21"/>
              </w:rPr>
              <w:t>2023-2025</w:t>
            </w:r>
          </w:p>
        </w:tc>
        <w:tc>
          <w:tcPr>
            <w:tcW w:w="811" w:type="dxa"/>
            <w:vAlign w:val="center"/>
          </w:tcPr>
          <w:p>
            <w:pPr>
              <w:jc w:val="center"/>
            </w:pPr>
            <w:r>
              <w:rPr>
                <w:szCs w:val="21"/>
              </w:rPr>
              <w:t>2800</w:t>
            </w:r>
          </w:p>
        </w:tc>
        <w:tc>
          <w:tcPr>
            <w:tcW w:w="989" w:type="dxa"/>
            <w:vAlign w:val="center"/>
          </w:tcPr>
          <w:p>
            <w:pPr>
              <w:jc w:val="center"/>
            </w:pPr>
            <w:r>
              <w:rPr>
                <w:szCs w:val="21"/>
              </w:rPr>
              <w:t>自筹</w:t>
            </w:r>
          </w:p>
        </w:tc>
        <w:tc>
          <w:tcPr>
            <w:tcW w:w="3121" w:type="dxa"/>
            <w:vAlign w:val="center"/>
          </w:tcPr>
          <w:p>
            <w:pPr>
              <w:jc w:val="center"/>
            </w:pPr>
            <w:r>
              <w:rPr>
                <w:szCs w:val="21"/>
              </w:rPr>
              <w:t>项目可有效拓宽钛石膏综合利用途径，降低环境安全风险隐患，提升固体废物资源化利用水平，节约废物处置成本，促进绿色循环发展，实现环境治理与经济效益双丰收。</w:t>
            </w:r>
          </w:p>
        </w:tc>
      </w:tr>
    </w:tbl>
    <w:p>
      <w:pPr>
        <w:rPr>
          <w:sz w:val="24"/>
          <w:szCs w:val="18"/>
        </w:rPr>
      </w:pPr>
    </w:p>
    <w:p>
      <w:pPr>
        <w:rPr>
          <w:sz w:val="24"/>
          <w:szCs w:val="18"/>
        </w:rPr>
      </w:pPr>
      <w:r>
        <w:rPr>
          <w:sz w:val="24"/>
          <w:szCs w:val="18"/>
        </w:rPr>
        <w:t>备注：根据全区“无废城市”建设工作整体推进情况，对重点项目进行调整、完善。</w:t>
      </w:r>
    </w:p>
    <w:p>
      <w:pPr>
        <w:pStyle w:val="2"/>
      </w:pPr>
      <w:r>
        <w:br w:type="page"/>
      </w:r>
      <w:r>
        <w:rPr>
          <w:rFonts w:eastAsia="黑体"/>
          <w:sz w:val="32"/>
          <w:szCs w:val="32"/>
        </w:rPr>
        <w:t>附件3</w:t>
      </w:r>
    </w:p>
    <w:p>
      <w:pPr>
        <w:jc w:val="center"/>
        <w:rPr>
          <w:rFonts w:eastAsia="方正小标宋_GBK"/>
          <w:sz w:val="44"/>
          <w:szCs w:val="44"/>
        </w:rPr>
      </w:pPr>
      <w:r>
        <w:rPr>
          <w:rFonts w:eastAsia="方正小标宋_GBK"/>
          <w:sz w:val="44"/>
          <w:szCs w:val="44"/>
        </w:rPr>
        <w:t>天桥区“无废城市”建设实施方案(2023—2025年)任务清单</w:t>
      </w:r>
    </w:p>
    <w:p>
      <w:pPr>
        <w:rPr>
          <w:rFonts w:eastAsia="黑体"/>
          <w:sz w:val="24"/>
        </w:rPr>
      </w:pPr>
    </w:p>
    <w:p>
      <w:pPr>
        <w:rPr>
          <w:sz w:val="24"/>
          <w:szCs w:val="18"/>
        </w:rPr>
      </w:pPr>
      <w:r>
        <w:rPr>
          <w:rFonts w:eastAsia="黑体"/>
          <w:sz w:val="24"/>
        </w:rPr>
        <w:t>一、制度体系</w:t>
      </w:r>
    </w:p>
    <w:tbl>
      <w:tblPr>
        <w:tblStyle w:val="18"/>
        <w:tblW w:w="13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3157"/>
        <w:gridCol w:w="6425"/>
        <w:gridCol w:w="182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95" w:type="dxa"/>
            <w:vAlign w:val="center"/>
          </w:tcPr>
          <w:p>
            <w:pPr>
              <w:jc w:val="center"/>
              <w:rPr>
                <w:rFonts w:eastAsia="黑体"/>
                <w:sz w:val="24"/>
                <w:szCs w:val="18"/>
              </w:rPr>
            </w:pPr>
            <w:r>
              <w:rPr>
                <w:rFonts w:eastAsia="黑体"/>
                <w:sz w:val="24"/>
                <w:szCs w:val="18"/>
              </w:rPr>
              <w:t>序号</w:t>
            </w:r>
          </w:p>
        </w:tc>
        <w:tc>
          <w:tcPr>
            <w:tcW w:w="3157" w:type="dxa"/>
            <w:vAlign w:val="center"/>
          </w:tcPr>
          <w:p>
            <w:pPr>
              <w:jc w:val="center"/>
              <w:rPr>
                <w:rFonts w:eastAsia="黑体"/>
                <w:sz w:val="24"/>
                <w:szCs w:val="18"/>
              </w:rPr>
            </w:pPr>
            <w:r>
              <w:rPr>
                <w:rFonts w:eastAsia="黑体"/>
                <w:sz w:val="24"/>
                <w:szCs w:val="18"/>
              </w:rPr>
              <w:t>任务名称</w:t>
            </w:r>
          </w:p>
        </w:tc>
        <w:tc>
          <w:tcPr>
            <w:tcW w:w="6425" w:type="dxa"/>
            <w:vAlign w:val="center"/>
          </w:tcPr>
          <w:p>
            <w:pPr>
              <w:jc w:val="center"/>
              <w:rPr>
                <w:rFonts w:eastAsia="黑体"/>
                <w:sz w:val="24"/>
                <w:szCs w:val="18"/>
              </w:rPr>
            </w:pPr>
            <w:r>
              <w:rPr>
                <w:rFonts w:eastAsia="黑体"/>
                <w:sz w:val="24"/>
                <w:szCs w:val="18"/>
              </w:rPr>
              <w:t>主要内容</w:t>
            </w:r>
          </w:p>
        </w:tc>
        <w:tc>
          <w:tcPr>
            <w:tcW w:w="1828" w:type="dxa"/>
            <w:vAlign w:val="center"/>
          </w:tcPr>
          <w:p>
            <w:pPr>
              <w:jc w:val="center"/>
              <w:rPr>
                <w:rFonts w:eastAsia="黑体"/>
                <w:sz w:val="24"/>
                <w:szCs w:val="18"/>
              </w:rPr>
            </w:pPr>
            <w:r>
              <w:rPr>
                <w:rFonts w:eastAsia="黑体"/>
                <w:sz w:val="24"/>
                <w:szCs w:val="18"/>
              </w:rPr>
              <w:t>责任单位</w:t>
            </w:r>
          </w:p>
        </w:tc>
        <w:tc>
          <w:tcPr>
            <w:tcW w:w="1234" w:type="dxa"/>
            <w:vAlign w:val="center"/>
          </w:tcPr>
          <w:p>
            <w:pPr>
              <w:jc w:val="center"/>
              <w:rPr>
                <w:rFonts w:eastAsia="黑体"/>
                <w:sz w:val="24"/>
                <w:szCs w:val="18"/>
              </w:rPr>
            </w:pPr>
            <w:r>
              <w:rPr>
                <w:rFonts w:eastAsia="黑体"/>
                <w:sz w:val="24"/>
                <w:szCs w:val="18"/>
              </w:rPr>
              <w:t>实施时间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4" w:hRule="atLeast"/>
        </w:trPr>
        <w:tc>
          <w:tcPr>
            <w:tcW w:w="695" w:type="dxa"/>
            <w:vAlign w:val="center"/>
          </w:tcPr>
          <w:p>
            <w:pPr>
              <w:jc w:val="center"/>
            </w:pPr>
            <w:r>
              <w:rPr>
                <w:szCs w:val="21"/>
              </w:rPr>
              <w:t>1</w:t>
            </w:r>
          </w:p>
        </w:tc>
        <w:tc>
          <w:tcPr>
            <w:tcW w:w="3157" w:type="dxa"/>
            <w:vAlign w:val="center"/>
          </w:tcPr>
          <w:p>
            <w:r>
              <w:rPr>
                <w:szCs w:val="21"/>
              </w:rPr>
              <w:t>建立天桥区“无废城市”建设工作协调机制</w:t>
            </w:r>
          </w:p>
        </w:tc>
        <w:tc>
          <w:tcPr>
            <w:tcW w:w="6425" w:type="dxa"/>
            <w:vAlign w:val="center"/>
          </w:tcPr>
          <w:p>
            <w:r>
              <w:rPr>
                <w:szCs w:val="21"/>
              </w:rPr>
              <w:t>建立区政府主要领导同志牵头，相关部门共同参与，横向到边、纵向到底的组织协调机制，按照济南市工作方案要求，完成分解指标和任务，确保我区“无废城市”确定的任务、措施、目标顺利完成。</w:t>
            </w:r>
          </w:p>
        </w:tc>
        <w:tc>
          <w:tcPr>
            <w:tcW w:w="1828" w:type="dxa"/>
            <w:vAlign w:val="center"/>
          </w:tcPr>
          <w:p>
            <w:pPr>
              <w:jc w:val="center"/>
            </w:pPr>
            <w:r>
              <w:rPr>
                <w:szCs w:val="21"/>
              </w:rPr>
              <w:t>区政府有关部门</w:t>
            </w:r>
          </w:p>
          <w:p>
            <w:pPr>
              <w:jc w:val="center"/>
            </w:pPr>
            <w:r>
              <w:rPr>
                <w:szCs w:val="21"/>
              </w:rPr>
              <w:t>(单位)、各街道办事处</w:t>
            </w:r>
          </w:p>
        </w:tc>
        <w:tc>
          <w:tcPr>
            <w:tcW w:w="1234" w:type="dxa"/>
            <w:vAlign w:val="center"/>
          </w:tcPr>
          <w:p>
            <w:pPr>
              <w:jc w:val="center"/>
            </w:pPr>
            <w:r>
              <w:rPr>
                <w:szCs w:val="21"/>
              </w:rPr>
              <w:t>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695" w:type="dxa"/>
            <w:vAlign w:val="center"/>
          </w:tcPr>
          <w:p>
            <w:pPr>
              <w:jc w:val="center"/>
            </w:pPr>
            <w:r>
              <w:rPr>
                <w:szCs w:val="21"/>
              </w:rPr>
              <w:t>2</w:t>
            </w:r>
          </w:p>
        </w:tc>
        <w:tc>
          <w:tcPr>
            <w:tcW w:w="3157" w:type="dxa"/>
            <w:vAlign w:val="center"/>
          </w:tcPr>
          <w:p>
            <w:r>
              <w:rPr>
                <w:szCs w:val="21"/>
              </w:rPr>
              <w:t>制定“无废城市”宣传工作方案</w:t>
            </w:r>
          </w:p>
        </w:tc>
        <w:tc>
          <w:tcPr>
            <w:tcW w:w="6425" w:type="dxa"/>
            <w:vAlign w:val="center"/>
          </w:tcPr>
          <w:p>
            <w:r>
              <w:rPr>
                <w:szCs w:val="21"/>
              </w:rPr>
              <w:t>明确“无废城市”宣传内容、形式、地点和时间等内容。</w:t>
            </w:r>
          </w:p>
        </w:tc>
        <w:tc>
          <w:tcPr>
            <w:tcW w:w="1828" w:type="dxa"/>
            <w:vAlign w:val="center"/>
          </w:tcPr>
          <w:p>
            <w:pPr>
              <w:jc w:val="center"/>
            </w:pPr>
            <w:r>
              <w:rPr>
                <w:szCs w:val="21"/>
              </w:rPr>
              <w:t>市生态环境局天桥分局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695" w:type="dxa"/>
            <w:vAlign w:val="center"/>
          </w:tcPr>
          <w:p>
            <w:pPr>
              <w:jc w:val="center"/>
            </w:pPr>
            <w:r>
              <w:rPr>
                <w:szCs w:val="21"/>
              </w:rPr>
              <w:t>3</w:t>
            </w:r>
          </w:p>
        </w:tc>
        <w:tc>
          <w:tcPr>
            <w:tcW w:w="3157" w:type="dxa"/>
            <w:vAlign w:val="center"/>
          </w:tcPr>
          <w:p>
            <w:r>
              <w:rPr>
                <w:szCs w:val="21"/>
              </w:rPr>
              <w:t>建立“无废城市”培训制度</w:t>
            </w:r>
          </w:p>
        </w:tc>
        <w:tc>
          <w:tcPr>
            <w:tcW w:w="6425" w:type="dxa"/>
            <w:vAlign w:val="center"/>
          </w:tcPr>
          <w:p>
            <w:r>
              <w:rPr>
                <w:szCs w:val="21"/>
              </w:rPr>
              <w:t>定期开展“无废城市”相关培训学习，提升相关人员专业技术水平，宣传“无废城市”建设相关经验模式，学习相关先进经验做法。</w:t>
            </w:r>
          </w:p>
        </w:tc>
        <w:tc>
          <w:tcPr>
            <w:tcW w:w="1828" w:type="dxa"/>
            <w:vAlign w:val="center"/>
          </w:tcPr>
          <w:p>
            <w:pPr>
              <w:jc w:val="center"/>
            </w:pPr>
            <w:r>
              <w:rPr>
                <w:szCs w:val="21"/>
              </w:rPr>
              <w:t>区政府有关部门</w:t>
            </w:r>
          </w:p>
          <w:p>
            <w:pPr>
              <w:jc w:val="center"/>
            </w:pPr>
            <w:r>
              <w:rPr>
                <w:szCs w:val="21"/>
              </w:rPr>
              <w:t>(单位)</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95" w:type="dxa"/>
            <w:vAlign w:val="center"/>
          </w:tcPr>
          <w:p>
            <w:pPr>
              <w:jc w:val="center"/>
            </w:pPr>
            <w:r>
              <w:rPr>
                <w:szCs w:val="21"/>
              </w:rPr>
              <w:t>4</w:t>
            </w:r>
          </w:p>
        </w:tc>
        <w:tc>
          <w:tcPr>
            <w:tcW w:w="3157" w:type="dxa"/>
            <w:vAlign w:val="center"/>
          </w:tcPr>
          <w:p>
            <w:r>
              <w:rPr>
                <w:szCs w:val="21"/>
              </w:rPr>
              <w:t>制定农膜污染防治、农药包装废弃物回收、秸秆综合利用和畜禽粪污综合利用等工作实施方案</w:t>
            </w:r>
          </w:p>
        </w:tc>
        <w:tc>
          <w:tcPr>
            <w:tcW w:w="6425" w:type="dxa"/>
            <w:vAlign w:val="center"/>
          </w:tcPr>
          <w:p>
            <w:r>
              <w:rPr>
                <w:szCs w:val="21"/>
              </w:rPr>
              <w:t>为推动农业源固体废物资源化利用及回收，制定废旧农膜回收、农药包装废弃物回收、秸秆综合利用和畜禽粪污综合利用等相关工作实施方案。</w:t>
            </w:r>
          </w:p>
        </w:tc>
        <w:tc>
          <w:tcPr>
            <w:tcW w:w="1828" w:type="dxa"/>
            <w:vAlign w:val="center"/>
          </w:tcPr>
          <w:p>
            <w:pPr>
              <w:jc w:val="center"/>
            </w:pPr>
            <w:r>
              <w:rPr>
                <w:szCs w:val="21"/>
              </w:rPr>
              <w:t>区农业农村局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95" w:type="dxa"/>
            <w:vAlign w:val="center"/>
          </w:tcPr>
          <w:p>
            <w:pPr>
              <w:jc w:val="center"/>
            </w:pPr>
            <w:r>
              <w:rPr>
                <w:szCs w:val="21"/>
              </w:rPr>
              <w:t>5</w:t>
            </w:r>
          </w:p>
        </w:tc>
        <w:tc>
          <w:tcPr>
            <w:tcW w:w="3157" w:type="dxa"/>
            <w:vAlign w:val="center"/>
          </w:tcPr>
          <w:p>
            <w:r>
              <w:rPr>
                <w:szCs w:val="21"/>
              </w:rPr>
              <w:t>建立绿色工厂创建推动工作机制</w:t>
            </w:r>
          </w:p>
        </w:tc>
        <w:tc>
          <w:tcPr>
            <w:tcW w:w="6425" w:type="dxa"/>
            <w:vAlign w:val="center"/>
          </w:tcPr>
          <w:p>
            <w:r>
              <w:rPr>
                <w:szCs w:val="21"/>
              </w:rPr>
              <w:t>积极推动省级和市级绿色工厂申报，对通过绿色认证的工厂实施持续跟踪监管。</w:t>
            </w:r>
          </w:p>
        </w:tc>
        <w:tc>
          <w:tcPr>
            <w:tcW w:w="1828" w:type="dxa"/>
            <w:vAlign w:val="center"/>
          </w:tcPr>
          <w:p>
            <w:pPr>
              <w:jc w:val="center"/>
            </w:pPr>
            <w:r>
              <w:rPr>
                <w:szCs w:val="21"/>
              </w:rPr>
              <w:t>区工业和信息化局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695" w:type="dxa"/>
            <w:vAlign w:val="center"/>
          </w:tcPr>
          <w:p>
            <w:pPr>
              <w:jc w:val="center"/>
            </w:pPr>
            <w:r>
              <w:rPr>
                <w:szCs w:val="21"/>
              </w:rPr>
              <w:t>6</w:t>
            </w:r>
          </w:p>
        </w:tc>
        <w:tc>
          <w:tcPr>
            <w:tcW w:w="3157" w:type="dxa"/>
            <w:vAlign w:val="center"/>
          </w:tcPr>
          <w:p>
            <w:r>
              <w:rPr>
                <w:szCs w:val="21"/>
              </w:rPr>
              <w:t>建立健全政府绿色采购制度</w:t>
            </w:r>
          </w:p>
        </w:tc>
        <w:tc>
          <w:tcPr>
            <w:tcW w:w="6425" w:type="dxa"/>
            <w:vAlign w:val="center"/>
          </w:tcPr>
          <w:p>
            <w:r>
              <w:rPr>
                <w:szCs w:val="21"/>
              </w:rPr>
              <w:t>落实绿色采购制度要求，督促采购人严格执行节能环保强制采购和优先采购政策规定。</w:t>
            </w:r>
          </w:p>
        </w:tc>
        <w:tc>
          <w:tcPr>
            <w:tcW w:w="1828" w:type="dxa"/>
            <w:vAlign w:val="center"/>
          </w:tcPr>
          <w:p>
            <w:pPr>
              <w:jc w:val="center"/>
            </w:pPr>
            <w:r>
              <w:rPr>
                <w:szCs w:val="21"/>
              </w:rPr>
              <w:t>区政府有关部门</w:t>
            </w:r>
          </w:p>
          <w:p>
            <w:pPr>
              <w:jc w:val="center"/>
            </w:pPr>
            <w:r>
              <w:rPr>
                <w:szCs w:val="21"/>
              </w:rPr>
              <w:t>(单位)</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695" w:type="dxa"/>
            <w:vAlign w:val="center"/>
          </w:tcPr>
          <w:p>
            <w:pPr>
              <w:jc w:val="center"/>
            </w:pPr>
            <w:r>
              <w:rPr>
                <w:szCs w:val="21"/>
              </w:rPr>
              <w:t>7</w:t>
            </w:r>
          </w:p>
        </w:tc>
        <w:tc>
          <w:tcPr>
            <w:tcW w:w="3157" w:type="dxa"/>
            <w:vAlign w:val="center"/>
          </w:tcPr>
          <w:p>
            <w:r>
              <w:rPr>
                <w:szCs w:val="21"/>
              </w:rPr>
              <w:t>完善医疗废物应急处置预案</w:t>
            </w:r>
          </w:p>
        </w:tc>
        <w:tc>
          <w:tcPr>
            <w:tcW w:w="6425" w:type="dxa"/>
            <w:vAlign w:val="center"/>
          </w:tcPr>
          <w:p>
            <w:r>
              <w:rPr>
                <w:szCs w:val="21"/>
              </w:rPr>
              <w:t>完善医疗废物应急处置预案，重点提升涉疫医疗废物收运能力，强化涉疫医疗废物收运过程环境管理和风险防范。</w:t>
            </w:r>
          </w:p>
        </w:tc>
        <w:tc>
          <w:tcPr>
            <w:tcW w:w="1828" w:type="dxa"/>
            <w:vAlign w:val="center"/>
          </w:tcPr>
          <w:p>
            <w:pPr>
              <w:jc w:val="center"/>
            </w:pPr>
            <w:r>
              <w:rPr>
                <w:szCs w:val="21"/>
              </w:rPr>
              <w:t>市生态环境局天桥分局</w:t>
            </w:r>
          </w:p>
        </w:tc>
        <w:tc>
          <w:tcPr>
            <w:tcW w:w="1234" w:type="dxa"/>
            <w:vAlign w:val="center"/>
          </w:tcPr>
          <w:p>
            <w:pPr>
              <w:jc w:val="center"/>
            </w:pPr>
            <w:r>
              <w:rPr>
                <w:szCs w:val="21"/>
              </w:rPr>
              <w:t>2023-2023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95" w:type="dxa"/>
            <w:vAlign w:val="center"/>
          </w:tcPr>
          <w:p>
            <w:pPr>
              <w:jc w:val="center"/>
            </w:pPr>
            <w:r>
              <w:rPr>
                <w:szCs w:val="21"/>
              </w:rPr>
              <w:t>8</w:t>
            </w:r>
          </w:p>
        </w:tc>
        <w:tc>
          <w:tcPr>
            <w:tcW w:w="3157" w:type="dxa"/>
            <w:vAlign w:val="center"/>
          </w:tcPr>
          <w:p>
            <w:r>
              <w:rPr>
                <w:szCs w:val="21"/>
              </w:rPr>
              <w:t>制定塑料污染治理年度工作要点</w:t>
            </w:r>
          </w:p>
        </w:tc>
        <w:tc>
          <w:tcPr>
            <w:tcW w:w="6425" w:type="dxa"/>
            <w:vAlign w:val="center"/>
          </w:tcPr>
          <w:p>
            <w:r>
              <w:rPr>
                <w:szCs w:val="21"/>
              </w:rPr>
              <w:t>根据国家和省塑料污染治理相关要求，制定塑料污染治理年度工作要点，明确任务措施、工作目标和责任单位等内容。</w:t>
            </w:r>
          </w:p>
        </w:tc>
        <w:tc>
          <w:tcPr>
            <w:tcW w:w="1828" w:type="dxa"/>
            <w:vAlign w:val="center"/>
          </w:tcPr>
          <w:p>
            <w:pPr>
              <w:jc w:val="center"/>
            </w:pPr>
            <w:r>
              <w:rPr>
                <w:szCs w:val="21"/>
              </w:rPr>
              <w:t>区发展和改革局、市生态环境局天桥分局</w:t>
            </w:r>
          </w:p>
        </w:tc>
        <w:tc>
          <w:tcPr>
            <w:tcW w:w="1234" w:type="dxa"/>
            <w:vAlign w:val="center"/>
          </w:tcPr>
          <w:p>
            <w:pPr>
              <w:jc w:val="center"/>
            </w:pPr>
            <w:r>
              <w:rPr>
                <w:szCs w:val="21"/>
              </w:rPr>
              <w:t>2023-2025</w:t>
            </w:r>
          </w:p>
        </w:tc>
      </w:tr>
    </w:tbl>
    <w:p>
      <w:pPr>
        <w:pStyle w:val="2"/>
        <w:rPr>
          <w:rFonts w:eastAsia="黑体"/>
          <w:sz w:val="24"/>
        </w:rPr>
      </w:pPr>
    </w:p>
    <w:p/>
    <w:p>
      <w:pPr>
        <w:pStyle w:val="2"/>
      </w:pPr>
      <w:r>
        <w:rPr>
          <w:rFonts w:eastAsia="黑体"/>
          <w:sz w:val="24"/>
        </w:rPr>
        <w:t>二、技术体系</w:t>
      </w:r>
    </w:p>
    <w:tbl>
      <w:tblPr>
        <w:tblStyle w:val="18"/>
        <w:tblW w:w="13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3157"/>
        <w:gridCol w:w="6425"/>
        <w:gridCol w:w="182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95" w:type="dxa"/>
            <w:vAlign w:val="center"/>
          </w:tcPr>
          <w:p>
            <w:pPr>
              <w:jc w:val="center"/>
              <w:rPr>
                <w:rFonts w:eastAsia="黑体"/>
                <w:sz w:val="24"/>
                <w:szCs w:val="18"/>
              </w:rPr>
            </w:pPr>
            <w:r>
              <w:rPr>
                <w:rFonts w:eastAsia="黑体"/>
                <w:sz w:val="24"/>
                <w:szCs w:val="18"/>
              </w:rPr>
              <w:t>序号</w:t>
            </w:r>
          </w:p>
        </w:tc>
        <w:tc>
          <w:tcPr>
            <w:tcW w:w="3157" w:type="dxa"/>
            <w:vAlign w:val="center"/>
          </w:tcPr>
          <w:p>
            <w:pPr>
              <w:jc w:val="center"/>
              <w:rPr>
                <w:rFonts w:eastAsia="黑体"/>
                <w:sz w:val="24"/>
                <w:szCs w:val="18"/>
              </w:rPr>
            </w:pPr>
            <w:r>
              <w:rPr>
                <w:rFonts w:eastAsia="黑体"/>
                <w:sz w:val="24"/>
                <w:szCs w:val="18"/>
              </w:rPr>
              <w:t>任务名称</w:t>
            </w:r>
          </w:p>
        </w:tc>
        <w:tc>
          <w:tcPr>
            <w:tcW w:w="6425" w:type="dxa"/>
            <w:vAlign w:val="center"/>
          </w:tcPr>
          <w:p>
            <w:pPr>
              <w:jc w:val="center"/>
              <w:rPr>
                <w:rFonts w:eastAsia="黑体"/>
                <w:sz w:val="24"/>
                <w:szCs w:val="18"/>
              </w:rPr>
            </w:pPr>
            <w:r>
              <w:rPr>
                <w:rFonts w:eastAsia="黑体"/>
                <w:sz w:val="24"/>
                <w:szCs w:val="18"/>
              </w:rPr>
              <w:t>主要内容</w:t>
            </w:r>
          </w:p>
        </w:tc>
        <w:tc>
          <w:tcPr>
            <w:tcW w:w="1828" w:type="dxa"/>
            <w:vAlign w:val="center"/>
          </w:tcPr>
          <w:p>
            <w:pPr>
              <w:jc w:val="center"/>
              <w:rPr>
                <w:rFonts w:eastAsia="黑体"/>
                <w:sz w:val="24"/>
                <w:szCs w:val="18"/>
              </w:rPr>
            </w:pPr>
            <w:r>
              <w:rPr>
                <w:rFonts w:eastAsia="黑体"/>
                <w:sz w:val="24"/>
                <w:szCs w:val="18"/>
              </w:rPr>
              <w:t>责任单位</w:t>
            </w:r>
          </w:p>
        </w:tc>
        <w:tc>
          <w:tcPr>
            <w:tcW w:w="1234" w:type="dxa"/>
            <w:vAlign w:val="center"/>
          </w:tcPr>
          <w:p>
            <w:pPr>
              <w:jc w:val="center"/>
              <w:rPr>
                <w:rFonts w:eastAsia="黑体"/>
                <w:sz w:val="24"/>
                <w:szCs w:val="18"/>
              </w:rPr>
            </w:pPr>
            <w:r>
              <w:rPr>
                <w:rFonts w:eastAsia="黑体"/>
                <w:sz w:val="24"/>
                <w:szCs w:val="18"/>
              </w:rPr>
              <w:t>实施时间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5" w:type="dxa"/>
            <w:vAlign w:val="center"/>
          </w:tcPr>
          <w:p>
            <w:pPr>
              <w:jc w:val="center"/>
            </w:pPr>
            <w:r>
              <w:rPr>
                <w:szCs w:val="21"/>
              </w:rPr>
              <w:t>1</w:t>
            </w:r>
          </w:p>
        </w:tc>
        <w:tc>
          <w:tcPr>
            <w:tcW w:w="3157" w:type="dxa"/>
            <w:vAlign w:val="center"/>
          </w:tcPr>
          <w:p>
            <w:r>
              <w:rPr>
                <w:szCs w:val="21"/>
              </w:rPr>
              <w:t>秸秆资源化利用技术推广</w:t>
            </w:r>
          </w:p>
        </w:tc>
        <w:tc>
          <w:tcPr>
            <w:tcW w:w="6425" w:type="dxa"/>
            <w:vAlign w:val="center"/>
          </w:tcPr>
          <w:p>
            <w:r>
              <w:rPr>
                <w:szCs w:val="21"/>
              </w:rPr>
              <w:t>加大秸秆精细化还田力度。</w:t>
            </w:r>
          </w:p>
        </w:tc>
        <w:tc>
          <w:tcPr>
            <w:tcW w:w="1828" w:type="dxa"/>
            <w:vAlign w:val="center"/>
          </w:tcPr>
          <w:p>
            <w:pPr>
              <w:jc w:val="center"/>
            </w:pPr>
            <w:r>
              <w:rPr>
                <w:szCs w:val="21"/>
              </w:rPr>
              <w:t>区农业农村局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5" w:type="dxa"/>
            <w:vAlign w:val="center"/>
          </w:tcPr>
          <w:p>
            <w:pPr>
              <w:jc w:val="center"/>
            </w:pPr>
            <w:r>
              <w:rPr>
                <w:szCs w:val="21"/>
              </w:rPr>
              <w:t>2</w:t>
            </w:r>
          </w:p>
        </w:tc>
        <w:tc>
          <w:tcPr>
            <w:tcW w:w="3157" w:type="dxa"/>
            <w:vAlign w:val="center"/>
          </w:tcPr>
          <w:p>
            <w:r>
              <w:rPr>
                <w:szCs w:val="21"/>
              </w:rPr>
              <w:t>农膜减量化利用技术推广</w:t>
            </w:r>
          </w:p>
        </w:tc>
        <w:tc>
          <w:tcPr>
            <w:tcW w:w="6425" w:type="dxa"/>
            <w:vAlign w:val="center"/>
          </w:tcPr>
          <w:p>
            <w:r>
              <w:rPr>
                <w:szCs w:val="21"/>
              </w:rPr>
              <w:t>加大0.01毫米以上高强度加厚地膜和全生物可降解地膜推广力度。</w:t>
            </w:r>
          </w:p>
        </w:tc>
        <w:tc>
          <w:tcPr>
            <w:tcW w:w="1828" w:type="dxa"/>
            <w:vAlign w:val="center"/>
          </w:tcPr>
          <w:p>
            <w:pPr>
              <w:jc w:val="center"/>
            </w:pPr>
            <w:r>
              <w:rPr>
                <w:szCs w:val="21"/>
              </w:rPr>
              <w:t>区农业农村局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695" w:type="dxa"/>
            <w:vAlign w:val="center"/>
          </w:tcPr>
          <w:p>
            <w:pPr>
              <w:jc w:val="center"/>
            </w:pPr>
            <w:r>
              <w:rPr>
                <w:szCs w:val="21"/>
              </w:rPr>
              <w:t>3</w:t>
            </w:r>
          </w:p>
        </w:tc>
        <w:tc>
          <w:tcPr>
            <w:tcW w:w="3157" w:type="dxa"/>
            <w:vAlign w:val="center"/>
          </w:tcPr>
          <w:p>
            <w:r>
              <w:rPr>
                <w:szCs w:val="21"/>
              </w:rPr>
              <w:t>一般工业固废资源化利用技术推广</w:t>
            </w:r>
          </w:p>
        </w:tc>
        <w:tc>
          <w:tcPr>
            <w:tcW w:w="6425" w:type="dxa"/>
            <w:vAlign w:val="center"/>
          </w:tcPr>
          <w:p>
            <w:r>
              <w:rPr>
                <w:szCs w:val="21"/>
              </w:rPr>
              <w:t>鼓励企业联合高校和科研院所，依托现有固体废物资源化利用相关技术创新中心、共同体，促进关键核心技术攻关和成果转移转化。</w:t>
            </w:r>
          </w:p>
        </w:tc>
        <w:tc>
          <w:tcPr>
            <w:tcW w:w="1828" w:type="dxa"/>
            <w:vAlign w:val="center"/>
          </w:tcPr>
          <w:p>
            <w:pPr>
              <w:jc w:val="center"/>
            </w:pPr>
            <w:r>
              <w:rPr>
                <w:szCs w:val="21"/>
              </w:rPr>
              <w:t>区科学技术局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695" w:type="dxa"/>
            <w:vAlign w:val="center"/>
          </w:tcPr>
          <w:p>
            <w:pPr>
              <w:jc w:val="center"/>
            </w:pPr>
            <w:r>
              <w:rPr>
                <w:szCs w:val="21"/>
              </w:rPr>
              <w:t>4</w:t>
            </w:r>
          </w:p>
        </w:tc>
        <w:tc>
          <w:tcPr>
            <w:tcW w:w="3157" w:type="dxa"/>
            <w:vAlign w:val="center"/>
          </w:tcPr>
          <w:p>
            <w:r>
              <w:rPr>
                <w:szCs w:val="21"/>
              </w:rPr>
              <w:t>重点行业一般工业固体废物源头减量技术推广</w:t>
            </w:r>
          </w:p>
        </w:tc>
        <w:tc>
          <w:tcPr>
            <w:tcW w:w="6425" w:type="dxa"/>
            <w:vAlign w:val="center"/>
          </w:tcPr>
          <w:p>
            <w:r>
              <w:rPr>
                <w:szCs w:val="21"/>
              </w:rPr>
              <w:t>以化工制造等行业为重点，制定一般工业固体废物源头减量措施；引导产废企业加强生产过程管理、优化固废处理工艺，提高固废资源品质，降低综合利用难度。</w:t>
            </w:r>
          </w:p>
        </w:tc>
        <w:tc>
          <w:tcPr>
            <w:tcW w:w="1828" w:type="dxa"/>
            <w:vAlign w:val="center"/>
          </w:tcPr>
          <w:p>
            <w:pPr>
              <w:jc w:val="center"/>
            </w:pPr>
            <w:r>
              <w:rPr>
                <w:szCs w:val="21"/>
              </w:rPr>
              <w:t>市生态环境局天桥分局、区工业和信息化局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5" w:type="dxa"/>
            <w:vAlign w:val="center"/>
          </w:tcPr>
          <w:p>
            <w:pPr>
              <w:jc w:val="center"/>
            </w:pPr>
            <w:r>
              <w:rPr>
                <w:szCs w:val="21"/>
              </w:rPr>
              <w:t>5</w:t>
            </w:r>
          </w:p>
        </w:tc>
        <w:tc>
          <w:tcPr>
            <w:tcW w:w="3157" w:type="dxa"/>
            <w:vAlign w:val="center"/>
          </w:tcPr>
          <w:p>
            <w:r>
              <w:rPr>
                <w:szCs w:val="21"/>
              </w:rPr>
              <w:t>推动重点行业绿色化改造</w:t>
            </w:r>
          </w:p>
        </w:tc>
        <w:tc>
          <w:tcPr>
            <w:tcW w:w="6425" w:type="dxa"/>
            <w:vAlign w:val="center"/>
          </w:tcPr>
          <w:p>
            <w:r>
              <w:rPr>
                <w:szCs w:val="21"/>
              </w:rPr>
              <w:t>加快推动化工等行业绿色化改造。</w:t>
            </w:r>
          </w:p>
        </w:tc>
        <w:tc>
          <w:tcPr>
            <w:tcW w:w="1828" w:type="dxa"/>
            <w:vAlign w:val="center"/>
          </w:tcPr>
          <w:p>
            <w:pPr>
              <w:jc w:val="center"/>
            </w:pPr>
            <w:r>
              <w:rPr>
                <w:szCs w:val="21"/>
              </w:rPr>
              <w:t>区工业和信息化局</w:t>
            </w:r>
          </w:p>
        </w:tc>
        <w:tc>
          <w:tcPr>
            <w:tcW w:w="1234" w:type="dxa"/>
            <w:vAlign w:val="center"/>
          </w:tcPr>
          <w:p>
            <w:pPr>
              <w:jc w:val="center"/>
            </w:pPr>
            <w:r>
              <w:rPr>
                <w:szCs w:val="21"/>
              </w:rPr>
              <w:t>2023-2025</w:t>
            </w:r>
          </w:p>
        </w:tc>
      </w:tr>
    </w:tbl>
    <w:p>
      <w:pPr>
        <w:rPr>
          <w:sz w:val="24"/>
        </w:rPr>
      </w:pPr>
    </w:p>
    <w:p>
      <w:pPr>
        <w:rPr>
          <w:rFonts w:eastAsia="黑体"/>
          <w:sz w:val="24"/>
        </w:rPr>
      </w:pPr>
      <w:r>
        <w:rPr>
          <w:rFonts w:eastAsia="黑体"/>
          <w:sz w:val="24"/>
        </w:rPr>
        <w:t>三、市场体系</w:t>
      </w:r>
    </w:p>
    <w:tbl>
      <w:tblPr>
        <w:tblStyle w:val="18"/>
        <w:tblW w:w="13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3157"/>
        <w:gridCol w:w="6425"/>
        <w:gridCol w:w="182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95" w:type="dxa"/>
            <w:vAlign w:val="center"/>
          </w:tcPr>
          <w:p>
            <w:pPr>
              <w:jc w:val="center"/>
              <w:rPr>
                <w:rFonts w:eastAsia="黑体"/>
                <w:sz w:val="24"/>
                <w:szCs w:val="18"/>
              </w:rPr>
            </w:pPr>
            <w:r>
              <w:rPr>
                <w:rFonts w:eastAsia="黑体"/>
                <w:sz w:val="24"/>
                <w:szCs w:val="18"/>
              </w:rPr>
              <w:t>序号</w:t>
            </w:r>
          </w:p>
        </w:tc>
        <w:tc>
          <w:tcPr>
            <w:tcW w:w="3157" w:type="dxa"/>
            <w:vAlign w:val="center"/>
          </w:tcPr>
          <w:p>
            <w:pPr>
              <w:jc w:val="center"/>
              <w:rPr>
                <w:rFonts w:eastAsia="黑体"/>
                <w:sz w:val="24"/>
                <w:szCs w:val="18"/>
              </w:rPr>
            </w:pPr>
            <w:r>
              <w:rPr>
                <w:rFonts w:eastAsia="黑体"/>
                <w:sz w:val="24"/>
                <w:szCs w:val="18"/>
              </w:rPr>
              <w:t>任务名称</w:t>
            </w:r>
          </w:p>
        </w:tc>
        <w:tc>
          <w:tcPr>
            <w:tcW w:w="6425" w:type="dxa"/>
            <w:vAlign w:val="center"/>
          </w:tcPr>
          <w:p>
            <w:pPr>
              <w:jc w:val="center"/>
              <w:rPr>
                <w:rFonts w:eastAsia="黑体"/>
                <w:sz w:val="24"/>
                <w:szCs w:val="18"/>
              </w:rPr>
            </w:pPr>
            <w:r>
              <w:rPr>
                <w:rFonts w:eastAsia="黑体"/>
                <w:sz w:val="24"/>
                <w:szCs w:val="18"/>
              </w:rPr>
              <w:t>主要内容</w:t>
            </w:r>
          </w:p>
        </w:tc>
        <w:tc>
          <w:tcPr>
            <w:tcW w:w="1828" w:type="dxa"/>
            <w:vAlign w:val="center"/>
          </w:tcPr>
          <w:p>
            <w:pPr>
              <w:jc w:val="center"/>
              <w:rPr>
                <w:rFonts w:eastAsia="黑体"/>
                <w:sz w:val="24"/>
                <w:szCs w:val="18"/>
              </w:rPr>
            </w:pPr>
            <w:r>
              <w:rPr>
                <w:rFonts w:eastAsia="黑体"/>
                <w:sz w:val="24"/>
                <w:szCs w:val="18"/>
              </w:rPr>
              <w:t>责任单位</w:t>
            </w:r>
          </w:p>
        </w:tc>
        <w:tc>
          <w:tcPr>
            <w:tcW w:w="1234" w:type="dxa"/>
            <w:vAlign w:val="center"/>
          </w:tcPr>
          <w:p>
            <w:pPr>
              <w:jc w:val="center"/>
              <w:rPr>
                <w:rFonts w:eastAsia="黑体"/>
                <w:sz w:val="24"/>
                <w:szCs w:val="18"/>
              </w:rPr>
            </w:pPr>
            <w:r>
              <w:rPr>
                <w:rFonts w:eastAsia="黑体"/>
                <w:sz w:val="24"/>
                <w:szCs w:val="18"/>
              </w:rPr>
              <w:t>实施时间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695" w:type="dxa"/>
            <w:vAlign w:val="center"/>
          </w:tcPr>
          <w:p>
            <w:pPr>
              <w:jc w:val="center"/>
            </w:pPr>
            <w:r>
              <w:rPr>
                <w:szCs w:val="21"/>
              </w:rPr>
              <w:t>1</w:t>
            </w:r>
          </w:p>
        </w:tc>
        <w:tc>
          <w:tcPr>
            <w:tcW w:w="3157" w:type="dxa"/>
            <w:vAlign w:val="center"/>
          </w:tcPr>
          <w:p>
            <w:r>
              <w:rPr>
                <w:szCs w:val="21"/>
              </w:rPr>
              <w:t>落实固废相关税收优惠政策</w:t>
            </w:r>
          </w:p>
        </w:tc>
        <w:tc>
          <w:tcPr>
            <w:tcW w:w="6425" w:type="dxa"/>
            <w:vAlign w:val="center"/>
          </w:tcPr>
          <w:p>
            <w:r>
              <w:rPr>
                <w:szCs w:val="21"/>
              </w:rPr>
              <w:t>按照国家和省相关规定，落实资源综合利用产品和劳务增值税即征即退，资源综合利用企业所得税减计收入、研发费加计扣除，综合利用的固体废物暂免征环境保护税，节能环保所得税减免等税收优惠政策。</w:t>
            </w:r>
          </w:p>
        </w:tc>
        <w:tc>
          <w:tcPr>
            <w:tcW w:w="1828" w:type="dxa"/>
            <w:vAlign w:val="center"/>
          </w:tcPr>
          <w:p>
            <w:pPr>
              <w:jc w:val="center"/>
            </w:pPr>
            <w:r>
              <w:rPr>
                <w:szCs w:val="21"/>
              </w:rPr>
              <w:t>区税务局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695" w:type="dxa"/>
            <w:vAlign w:val="center"/>
          </w:tcPr>
          <w:p>
            <w:pPr>
              <w:jc w:val="center"/>
            </w:pPr>
            <w:r>
              <w:rPr>
                <w:szCs w:val="21"/>
              </w:rPr>
              <w:t>2</w:t>
            </w:r>
          </w:p>
        </w:tc>
        <w:tc>
          <w:tcPr>
            <w:tcW w:w="3157" w:type="dxa"/>
            <w:vAlign w:val="center"/>
          </w:tcPr>
          <w:p>
            <w:r>
              <w:rPr>
                <w:szCs w:val="21"/>
              </w:rPr>
              <w:t>争取中央生态环境资金项目</w:t>
            </w:r>
          </w:p>
        </w:tc>
        <w:tc>
          <w:tcPr>
            <w:tcW w:w="6425" w:type="dxa"/>
            <w:vAlign w:val="center"/>
          </w:tcPr>
          <w:p>
            <w:r>
              <w:rPr>
                <w:szCs w:val="21"/>
              </w:rPr>
              <w:t>根据中央生态环境资金项目申报要求，组织争取中央生态环境资金项目。</w:t>
            </w:r>
          </w:p>
        </w:tc>
        <w:tc>
          <w:tcPr>
            <w:tcW w:w="1828" w:type="dxa"/>
            <w:vAlign w:val="center"/>
          </w:tcPr>
          <w:p>
            <w:pPr>
              <w:jc w:val="center"/>
            </w:pPr>
            <w:r>
              <w:rPr>
                <w:szCs w:val="21"/>
              </w:rPr>
              <w:t>市生态环境局天桥分局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695" w:type="dxa"/>
            <w:vAlign w:val="center"/>
          </w:tcPr>
          <w:p>
            <w:pPr>
              <w:jc w:val="center"/>
            </w:pPr>
            <w:r>
              <w:rPr>
                <w:szCs w:val="21"/>
              </w:rPr>
              <w:t>3</w:t>
            </w:r>
          </w:p>
        </w:tc>
        <w:tc>
          <w:tcPr>
            <w:tcW w:w="3157" w:type="dxa"/>
            <w:vAlign w:val="center"/>
          </w:tcPr>
          <w:p>
            <w:r>
              <w:rPr>
                <w:szCs w:val="21"/>
              </w:rPr>
              <w:t>危险废物经营单位参保环境污染责任保险</w:t>
            </w:r>
          </w:p>
        </w:tc>
        <w:tc>
          <w:tcPr>
            <w:tcW w:w="6425" w:type="dxa"/>
            <w:vAlign w:val="center"/>
          </w:tcPr>
          <w:p>
            <w:r>
              <w:rPr>
                <w:szCs w:val="21"/>
              </w:rPr>
              <w:t>持续推动危险废物经营单位全部参保环境污染责任保险，并探索做好保额限制工作。</w:t>
            </w:r>
          </w:p>
        </w:tc>
        <w:tc>
          <w:tcPr>
            <w:tcW w:w="1828" w:type="dxa"/>
            <w:vAlign w:val="center"/>
          </w:tcPr>
          <w:p>
            <w:pPr>
              <w:jc w:val="center"/>
            </w:pPr>
            <w:r>
              <w:rPr>
                <w:szCs w:val="21"/>
              </w:rPr>
              <w:t>市生态环境局天桥分局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695" w:type="dxa"/>
            <w:vAlign w:val="center"/>
          </w:tcPr>
          <w:p>
            <w:pPr>
              <w:jc w:val="center"/>
            </w:pPr>
            <w:r>
              <w:rPr>
                <w:szCs w:val="21"/>
              </w:rPr>
              <w:t>4</w:t>
            </w:r>
          </w:p>
        </w:tc>
        <w:tc>
          <w:tcPr>
            <w:tcW w:w="3157" w:type="dxa"/>
            <w:vAlign w:val="center"/>
          </w:tcPr>
          <w:p>
            <w:r>
              <w:rPr>
                <w:szCs w:val="21"/>
              </w:rPr>
              <w:t>倡导宾馆、餐饮等服务行业，推广使用可循环利用物品，不主动提供一次性易耗品</w:t>
            </w:r>
          </w:p>
        </w:tc>
        <w:tc>
          <w:tcPr>
            <w:tcW w:w="6425" w:type="dxa"/>
            <w:vAlign w:val="center"/>
          </w:tcPr>
          <w:p>
            <w:r>
              <w:rPr>
                <w:szCs w:val="21"/>
              </w:rPr>
              <w:t>倡导宾馆、餐饮等服务行业，推广使用可循环利用物品，不主动提供一次性易耗品。</w:t>
            </w:r>
          </w:p>
        </w:tc>
        <w:tc>
          <w:tcPr>
            <w:tcW w:w="1828" w:type="dxa"/>
            <w:vAlign w:val="center"/>
          </w:tcPr>
          <w:p>
            <w:pPr>
              <w:jc w:val="center"/>
            </w:pPr>
            <w:r>
              <w:rPr>
                <w:szCs w:val="21"/>
              </w:rPr>
              <w:t>区商务局、区文化和旅游局</w:t>
            </w:r>
          </w:p>
        </w:tc>
        <w:tc>
          <w:tcPr>
            <w:tcW w:w="1234" w:type="dxa"/>
            <w:vAlign w:val="center"/>
          </w:tcPr>
          <w:p>
            <w:pPr>
              <w:jc w:val="center"/>
            </w:pPr>
            <w:r>
              <w:rPr>
                <w:szCs w:val="21"/>
              </w:rPr>
              <w:t>2023-2025</w:t>
            </w:r>
          </w:p>
        </w:tc>
      </w:tr>
    </w:tbl>
    <w:p>
      <w:pPr>
        <w:pStyle w:val="2"/>
      </w:pPr>
    </w:p>
    <w:p>
      <w:r>
        <w:rPr>
          <w:rFonts w:eastAsia="黑体"/>
          <w:sz w:val="24"/>
        </w:rPr>
        <w:t>四、监管体系</w:t>
      </w:r>
    </w:p>
    <w:tbl>
      <w:tblPr>
        <w:tblStyle w:val="18"/>
        <w:tblW w:w="13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3157"/>
        <w:gridCol w:w="6425"/>
        <w:gridCol w:w="182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95" w:type="dxa"/>
            <w:vAlign w:val="center"/>
          </w:tcPr>
          <w:p>
            <w:pPr>
              <w:jc w:val="center"/>
              <w:rPr>
                <w:rFonts w:eastAsia="黑体"/>
                <w:sz w:val="24"/>
                <w:szCs w:val="18"/>
              </w:rPr>
            </w:pPr>
            <w:r>
              <w:rPr>
                <w:rFonts w:eastAsia="黑体"/>
                <w:sz w:val="24"/>
                <w:szCs w:val="18"/>
              </w:rPr>
              <w:t>序号</w:t>
            </w:r>
          </w:p>
        </w:tc>
        <w:tc>
          <w:tcPr>
            <w:tcW w:w="3157" w:type="dxa"/>
            <w:vAlign w:val="center"/>
          </w:tcPr>
          <w:p>
            <w:pPr>
              <w:jc w:val="center"/>
              <w:rPr>
                <w:rFonts w:eastAsia="黑体"/>
                <w:sz w:val="24"/>
                <w:szCs w:val="18"/>
              </w:rPr>
            </w:pPr>
            <w:r>
              <w:rPr>
                <w:rFonts w:eastAsia="黑体"/>
                <w:sz w:val="24"/>
                <w:szCs w:val="18"/>
              </w:rPr>
              <w:t>任务名称</w:t>
            </w:r>
          </w:p>
        </w:tc>
        <w:tc>
          <w:tcPr>
            <w:tcW w:w="6425" w:type="dxa"/>
            <w:vAlign w:val="center"/>
          </w:tcPr>
          <w:p>
            <w:pPr>
              <w:jc w:val="center"/>
              <w:rPr>
                <w:rFonts w:eastAsia="黑体"/>
                <w:sz w:val="24"/>
                <w:szCs w:val="18"/>
              </w:rPr>
            </w:pPr>
            <w:r>
              <w:rPr>
                <w:rFonts w:eastAsia="黑体"/>
                <w:sz w:val="24"/>
                <w:szCs w:val="18"/>
              </w:rPr>
              <w:t>主要内容</w:t>
            </w:r>
          </w:p>
        </w:tc>
        <w:tc>
          <w:tcPr>
            <w:tcW w:w="1828" w:type="dxa"/>
            <w:vAlign w:val="center"/>
          </w:tcPr>
          <w:p>
            <w:pPr>
              <w:jc w:val="center"/>
              <w:rPr>
                <w:rFonts w:eastAsia="黑体"/>
                <w:sz w:val="24"/>
                <w:szCs w:val="18"/>
              </w:rPr>
            </w:pPr>
            <w:r>
              <w:rPr>
                <w:rFonts w:eastAsia="黑体"/>
                <w:sz w:val="24"/>
                <w:szCs w:val="18"/>
              </w:rPr>
              <w:t>责任单位</w:t>
            </w:r>
          </w:p>
        </w:tc>
        <w:tc>
          <w:tcPr>
            <w:tcW w:w="1234" w:type="dxa"/>
            <w:vAlign w:val="center"/>
          </w:tcPr>
          <w:p>
            <w:pPr>
              <w:jc w:val="center"/>
              <w:rPr>
                <w:rFonts w:eastAsia="黑体"/>
                <w:sz w:val="24"/>
                <w:szCs w:val="18"/>
              </w:rPr>
            </w:pPr>
            <w:r>
              <w:rPr>
                <w:rFonts w:eastAsia="黑体"/>
                <w:sz w:val="24"/>
                <w:szCs w:val="18"/>
              </w:rPr>
              <w:t>实施时间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5" w:type="dxa"/>
            <w:vAlign w:val="center"/>
          </w:tcPr>
          <w:p>
            <w:pPr>
              <w:jc w:val="center"/>
            </w:pPr>
            <w:r>
              <w:rPr>
                <w:szCs w:val="21"/>
              </w:rPr>
              <w:t>1</w:t>
            </w:r>
          </w:p>
        </w:tc>
        <w:tc>
          <w:tcPr>
            <w:tcW w:w="3157" w:type="dxa"/>
            <w:vAlign w:val="center"/>
          </w:tcPr>
          <w:p>
            <w:r>
              <w:rPr>
                <w:szCs w:val="21"/>
              </w:rPr>
              <w:t>开展涉重金属矿区历史遗留固体废物排查治理</w:t>
            </w:r>
          </w:p>
        </w:tc>
        <w:tc>
          <w:tcPr>
            <w:tcW w:w="6425" w:type="dxa"/>
            <w:vAlign w:val="center"/>
          </w:tcPr>
          <w:p>
            <w:r>
              <w:rPr>
                <w:szCs w:val="21"/>
              </w:rPr>
              <w:t>按照《济南市涉重金属矿区历史遗留固体废物排查整治工作方案》要求，开展涉重金属矿区历史遗留固体废物排查治理。</w:t>
            </w:r>
          </w:p>
        </w:tc>
        <w:tc>
          <w:tcPr>
            <w:tcW w:w="1828" w:type="dxa"/>
            <w:vAlign w:val="center"/>
          </w:tcPr>
          <w:p>
            <w:pPr>
              <w:jc w:val="center"/>
            </w:pPr>
            <w:r>
              <w:rPr>
                <w:szCs w:val="21"/>
              </w:rPr>
              <w:t>市生态环境局天桥分局</w:t>
            </w:r>
          </w:p>
        </w:tc>
        <w:tc>
          <w:tcPr>
            <w:tcW w:w="1234" w:type="dxa"/>
            <w:vAlign w:val="center"/>
          </w:tcPr>
          <w:p>
            <w:pPr>
              <w:jc w:val="center"/>
            </w:pPr>
            <w:r>
              <w:rPr>
                <w:szCs w:val="21"/>
              </w:rPr>
              <w:t>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5" w:type="dxa"/>
            <w:vAlign w:val="center"/>
          </w:tcPr>
          <w:p>
            <w:pPr>
              <w:jc w:val="center"/>
            </w:pPr>
            <w:r>
              <w:rPr>
                <w:szCs w:val="21"/>
              </w:rPr>
              <w:t>2</w:t>
            </w:r>
          </w:p>
        </w:tc>
        <w:tc>
          <w:tcPr>
            <w:tcW w:w="3157" w:type="dxa"/>
            <w:vAlign w:val="center"/>
          </w:tcPr>
          <w:p>
            <w:r>
              <w:rPr>
                <w:szCs w:val="21"/>
              </w:rPr>
              <w:t>对全口径涉重金属重点行业企业定期抽查</w:t>
            </w:r>
          </w:p>
        </w:tc>
        <w:tc>
          <w:tcPr>
            <w:tcW w:w="6425" w:type="dxa"/>
            <w:vAlign w:val="center"/>
          </w:tcPr>
          <w:p>
            <w:r>
              <w:rPr>
                <w:szCs w:val="21"/>
              </w:rPr>
              <w:t>按照国家和省统一要求，对全口径涉重金属重点行业企业定期抽查。</w:t>
            </w:r>
          </w:p>
        </w:tc>
        <w:tc>
          <w:tcPr>
            <w:tcW w:w="1828" w:type="dxa"/>
            <w:vAlign w:val="center"/>
          </w:tcPr>
          <w:p>
            <w:pPr>
              <w:jc w:val="center"/>
            </w:pPr>
            <w:r>
              <w:rPr>
                <w:szCs w:val="21"/>
              </w:rPr>
              <w:t>市生态环境局天桥分局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5" w:type="dxa"/>
            <w:vAlign w:val="center"/>
          </w:tcPr>
          <w:p>
            <w:pPr>
              <w:jc w:val="center"/>
            </w:pPr>
            <w:r>
              <w:rPr>
                <w:szCs w:val="21"/>
              </w:rPr>
              <w:t>3</w:t>
            </w:r>
          </w:p>
        </w:tc>
        <w:tc>
          <w:tcPr>
            <w:tcW w:w="3157" w:type="dxa"/>
            <w:vAlign w:val="center"/>
          </w:tcPr>
          <w:p>
            <w:r>
              <w:rPr>
                <w:szCs w:val="21"/>
              </w:rPr>
              <w:t>开展农膜生产销售专项执法检查活动</w:t>
            </w:r>
          </w:p>
        </w:tc>
        <w:tc>
          <w:tcPr>
            <w:tcW w:w="6425" w:type="dxa"/>
            <w:vAlign w:val="center"/>
          </w:tcPr>
          <w:p>
            <w:r>
              <w:rPr>
                <w:szCs w:val="21"/>
              </w:rPr>
              <w:t>加强地膜产品质量监督管理，禁止生产、销售厚度小于0.01毫米的聚乙烯农用地膜。</w:t>
            </w:r>
          </w:p>
        </w:tc>
        <w:tc>
          <w:tcPr>
            <w:tcW w:w="1828" w:type="dxa"/>
            <w:vAlign w:val="center"/>
          </w:tcPr>
          <w:p>
            <w:pPr>
              <w:jc w:val="center"/>
            </w:pPr>
            <w:r>
              <w:rPr>
                <w:szCs w:val="21"/>
              </w:rPr>
              <w:t>区市场监督管理局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5" w:type="dxa"/>
            <w:vAlign w:val="center"/>
          </w:tcPr>
          <w:p>
            <w:pPr>
              <w:jc w:val="center"/>
            </w:pPr>
            <w:r>
              <w:rPr>
                <w:szCs w:val="21"/>
              </w:rPr>
              <w:t>4</w:t>
            </w:r>
          </w:p>
        </w:tc>
        <w:tc>
          <w:tcPr>
            <w:tcW w:w="3157" w:type="dxa"/>
            <w:vAlign w:val="center"/>
          </w:tcPr>
          <w:p>
            <w:r>
              <w:rPr>
                <w:szCs w:val="21"/>
              </w:rPr>
              <w:t>开展塑料袋使用专项监督检查</w:t>
            </w:r>
          </w:p>
        </w:tc>
        <w:tc>
          <w:tcPr>
            <w:tcW w:w="6425" w:type="dxa"/>
            <w:vAlign w:val="center"/>
          </w:tcPr>
          <w:p>
            <w:r>
              <w:rPr>
                <w:szCs w:val="21"/>
              </w:rPr>
              <w:t>对超市、商场、集贸市场等商品零售场所销售、使用塑料购物袋的进行监督检查。</w:t>
            </w:r>
          </w:p>
        </w:tc>
        <w:tc>
          <w:tcPr>
            <w:tcW w:w="1828" w:type="dxa"/>
            <w:vAlign w:val="center"/>
          </w:tcPr>
          <w:p>
            <w:pPr>
              <w:jc w:val="center"/>
            </w:pPr>
            <w:r>
              <w:rPr>
                <w:szCs w:val="21"/>
              </w:rPr>
              <w:t>区市场监督管理局、区商务局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5" w:type="dxa"/>
            <w:vAlign w:val="center"/>
          </w:tcPr>
          <w:p>
            <w:pPr>
              <w:jc w:val="center"/>
            </w:pPr>
            <w:r>
              <w:rPr>
                <w:szCs w:val="21"/>
              </w:rPr>
              <w:t>5</w:t>
            </w:r>
          </w:p>
        </w:tc>
        <w:tc>
          <w:tcPr>
            <w:tcW w:w="3157" w:type="dxa"/>
            <w:vAlign w:val="center"/>
          </w:tcPr>
          <w:p>
            <w:r>
              <w:rPr>
                <w:szCs w:val="21"/>
              </w:rPr>
              <w:t>开展建筑垃圾运输、消纳专项整治行动</w:t>
            </w:r>
          </w:p>
        </w:tc>
        <w:tc>
          <w:tcPr>
            <w:tcW w:w="6425" w:type="dxa"/>
            <w:vAlign w:val="center"/>
          </w:tcPr>
          <w:p>
            <w:r>
              <w:rPr>
                <w:szCs w:val="21"/>
              </w:rPr>
              <w:t>开展建筑垃圾运输、消纳专项整治行动，严厉打击建筑垃圾运输过程中的违法行为。</w:t>
            </w:r>
          </w:p>
        </w:tc>
        <w:tc>
          <w:tcPr>
            <w:tcW w:w="1828" w:type="dxa"/>
            <w:vAlign w:val="center"/>
          </w:tcPr>
          <w:p>
            <w:pPr>
              <w:jc w:val="center"/>
            </w:pPr>
            <w:r>
              <w:rPr>
                <w:szCs w:val="21"/>
              </w:rPr>
              <w:t>区城市管理局</w:t>
            </w:r>
          </w:p>
          <w:p>
            <w:pPr>
              <w:jc w:val="center"/>
            </w:pPr>
            <w:r>
              <w:rPr>
                <w:szCs w:val="21"/>
              </w:rPr>
              <w:t>区公安分局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5" w:type="dxa"/>
            <w:vAlign w:val="center"/>
          </w:tcPr>
          <w:p>
            <w:pPr>
              <w:jc w:val="center"/>
            </w:pPr>
            <w:r>
              <w:rPr>
                <w:szCs w:val="21"/>
              </w:rPr>
              <w:t>6</w:t>
            </w:r>
          </w:p>
        </w:tc>
        <w:tc>
          <w:tcPr>
            <w:tcW w:w="3157" w:type="dxa"/>
            <w:vAlign w:val="center"/>
          </w:tcPr>
          <w:p>
            <w:r>
              <w:rPr>
                <w:szCs w:val="21"/>
              </w:rPr>
              <w:t>完善危险废物监管清单</w:t>
            </w:r>
          </w:p>
        </w:tc>
        <w:tc>
          <w:tcPr>
            <w:tcW w:w="6425" w:type="dxa"/>
            <w:vAlign w:val="center"/>
          </w:tcPr>
          <w:p>
            <w:r>
              <w:rPr>
                <w:szCs w:val="21"/>
              </w:rPr>
              <w:t>完善危险废物监管清单并持续动态更新，强化危险废物申报数据分析应用。</w:t>
            </w:r>
          </w:p>
        </w:tc>
        <w:tc>
          <w:tcPr>
            <w:tcW w:w="1828" w:type="dxa"/>
            <w:vAlign w:val="center"/>
          </w:tcPr>
          <w:p>
            <w:pPr>
              <w:jc w:val="center"/>
            </w:pPr>
            <w:r>
              <w:rPr>
                <w:szCs w:val="21"/>
              </w:rPr>
              <w:t>市生态环境局天桥分局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5" w:type="dxa"/>
            <w:vAlign w:val="center"/>
          </w:tcPr>
          <w:p>
            <w:pPr>
              <w:jc w:val="center"/>
            </w:pPr>
            <w:r>
              <w:rPr>
                <w:szCs w:val="21"/>
              </w:rPr>
              <w:t>7</w:t>
            </w:r>
          </w:p>
        </w:tc>
        <w:tc>
          <w:tcPr>
            <w:tcW w:w="3157" w:type="dxa"/>
            <w:vAlign w:val="center"/>
          </w:tcPr>
          <w:p>
            <w:r>
              <w:rPr>
                <w:szCs w:val="21"/>
              </w:rPr>
              <w:t>强化危险废物全过程信息化监管</w:t>
            </w:r>
          </w:p>
        </w:tc>
        <w:tc>
          <w:tcPr>
            <w:tcW w:w="6425" w:type="dxa"/>
            <w:vAlign w:val="center"/>
          </w:tcPr>
          <w:p>
            <w:r>
              <w:rPr>
                <w:szCs w:val="21"/>
              </w:rPr>
              <w:t>督促涉危险废物单位纳入省固体废物和危险化学品信息化智慧监管系统，实现危险废物产生情况申报、管理计划备案、转移联单运行、利用处置情况报告等全过程动态在线监控。</w:t>
            </w:r>
          </w:p>
        </w:tc>
        <w:tc>
          <w:tcPr>
            <w:tcW w:w="1828" w:type="dxa"/>
            <w:vAlign w:val="center"/>
          </w:tcPr>
          <w:p>
            <w:pPr>
              <w:jc w:val="center"/>
            </w:pPr>
            <w:r>
              <w:rPr>
                <w:szCs w:val="21"/>
              </w:rPr>
              <w:t>市生态环境局天桥分局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5" w:type="dxa"/>
            <w:vAlign w:val="center"/>
          </w:tcPr>
          <w:p>
            <w:pPr>
              <w:jc w:val="center"/>
            </w:pPr>
            <w:r>
              <w:rPr>
                <w:szCs w:val="21"/>
              </w:rPr>
              <w:t>8</w:t>
            </w:r>
          </w:p>
        </w:tc>
        <w:tc>
          <w:tcPr>
            <w:tcW w:w="3157" w:type="dxa"/>
            <w:vAlign w:val="center"/>
          </w:tcPr>
          <w:p>
            <w:r>
              <w:rPr>
                <w:szCs w:val="21"/>
              </w:rPr>
              <w:t>持续推进危险废物规范化管理</w:t>
            </w:r>
          </w:p>
        </w:tc>
        <w:tc>
          <w:tcPr>
            <w:tcW w:w="6425" w:type="dxa"/>
            <w:vAlign w:val="center"/>
          </w:tcPr>
          <w:p>
            <w:r>
              <w:rPr>
                <w:szCs w:val="21"/>
              </w:rPr>
              <w:t>对全区危险废物产生、经营单位危险废物贮存等情况开展检查，督促企业落实主体责任。</w:t>
            </w:r>
          </w:p>
        </w:tc>
        <w:tc>
          <w:tcPr>
            <w:tcW w:w="1828" w:type="dxa"/>
            <w:vAlign w:val="center"/>
          </w:tcPr>
          <w:p>
            <w:pPr>
              <w:jc w:val="center"/>
            </w:pPr>
            <w:r>
              <w:rPr>
                <w:szCs w:val="21"/>
              </w:rPr>
              <w:t>市生态环境局天桥分局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5" w:type="dxa"/>
            <w:vAlign w:val="center"/>
          </w:tcPr>
          <w:p>
            <w:pPr>
              <w:jc w:val="center"/>
            </w:pPr>
            <w:r>
              <w:rPr>
                <w:szCs w:val="21"/>
              </w:rPr>
              <w:t>9</w:t>
            </w:r>
          </w:p>
        </w:tc>
        <w:tc>
          <w:tcPr>
            <w:tcW w:w="3157" w:type="dxa"/>
            <w:vAlign w:val="center"/>
          </w:tcPr>
          <w:p>
            <w:r>
              <w:rPr>
                <w:szCs w:val="21"/>
              </w:rPr>
              <w:t>在产企业环境信用评价管理</w:t>
            </w:r>
          </w:p>
        </w:tc>
        <w:tc>
          <w:tcPr>
            <w:tcW w:w="6425" w:type="dxa"/>
            <w:vAlign w:val="center"/>
          </w:tcPr>
          <w:p>
            <w:r>
              <w:rPr>
                <w:szCs w:val="21"/>
              </w:rPr>
              <w:t>依托山东省企业环境信用评价管理平台，对在产企业持续推进环境信用评价管理。</w:t>
            </w:r>
          </w:p>
        </w:tc>
        <w:tc>
          <w:tcPr>
            <w:tcW w:w="1828" w:type="dxa"/>
            <w:vAlign w:val="center"/>
          </w:tcPr>
          <w:p>
            <w:pPr>
              <w:jc w:val="center"/>
            </w:pPr>
            <w:r>
              <w:rPr>
                <w:szCs w:val="21"/>
              </w:rPr>
              <w:t>市生态环境局天桥分局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5" w:type="dxa"/>
            <w:vAlign w:val="center"/>
          </w:tcPr>
          <w:p>
            <w:pPr>
              <w:jc w:val="center"/>
            </w:pPr>
            <w:r>
              <w:rPr>
                <w:szCs w:val="21"/>
              </w:rPr>
              <w:t>10</w:t>
            </w:r>
          </w:p>
        </w:tc>
        <w:tc>
          <w:tcPr>
            <w:tcW w:w="3157" w:type="dxa"/>
            <w:vAlign w:val="center"/>
          </w:tcPr>
          <w:p>
            <w:r>
              <w:rPr>
                <w:szCs w:val="21"/>
              </w:rPr>
              <w:t>持续推进净菜入城</w:t>
            </w:r>
          </w:p>
        </w:tc>
        <w:tc>
          <w:tcPr>
            <w:tcW w:w="6425" w:type="dxa"/>
            <w:vAlign w:val="center"/>
          </w:tcPr>
          <w:p>
            <w:r>
              <w:rPr>
                <w:szCs w:val="21"/>
              </w:rPr>
              <w:t>加快推进净菜在标准化菜市场、大型超市等场所上市。</w:t>
            </w:r>
          </w:p>
        </w:tc>
        <w:tc>
          <w:tcPr>
            <w:tcW w:w="1828" w:type="dxa"/>
            <w:vAlign w:val="center"/>
          </w:tcPr>
          <w:p>
            <w:pPr>
              <w:jc w:val="center"/>
            </w:pPr>
            <w:r>
              <w:rPr>
                <w:szCs w:val="21"/>
              </w:rPr>
              <w:t>区商务局，区市场监督管理局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5" w:type="dxa"/>
            <w:vAlign w:val="center"/>
          </w:tcPr>
          <w:p>
            <w:pPr>
              <w:jc w:val="center"/>
            </w:pPr>
            <w:r>
              <w:rPr>
                <w:szCs w:val="21"/>
              </w:rPr>
              <w:t>11</w:t>
            </w:r>
          </w:p>
        </w:tc>
        <w:tc>
          <w:tcPr>
            <w:tcW w:w="3157" w:type="dxa"/>
            <w:vAlign w:val="center"/>
          </w:tcPr>
          <w:p>
            <w:r>
              <w:rPr>
                <w:szCs w:val="21"/>
              </w:rPr>
              <w:t>开展天桥区“清废行动”突出问题排查整治工作</w:t>
            </w:r>
          </w:p>
        </w:tc>
        <w:tc>
          <w:tcPr>
            <w:tcW w:w="6425" w:type="dxa"/>
            <w:vAlign w:val="center"/>
          </w:tcPr>
          <w:p>
            <w:r>
              <w:rPr>
                <w:szCs w:val="21"/>
              </w:rPr>
              <w:t>根据济南市建立的“卫星全覆盖排查-重点区域无人机抽查一现场调查-遥感回头看”的闭环模式，开展天桥区“清废行动”遥感排查及整治工作。</w:t>
            </w:r>
          </w:p>
        </w:tc>
        <w:tc>
          <w:tcPr>
            <w:tcW w:w="1828" w:type="dxa"/>
            <w:vAlign w:val="center"/>
          </w:tcPr>
          <w:p>
            <w:pPr>
              <w:jc w:val="center"/>
            </w:pPr>
            <w:r>
              <w:rPr>
                <w:szCs w:val="21"/>
              </w:rPr>
              <w:t>市生态环境局天桥分局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5" w:type="dxa"/>
            <w:vAlign w:val="center"/>
          </w:tcPr>
          <w:p>
            <w:pPr>
              <w:jc w:val="center"/>
            </w:pPr>
            <w:r>
              <w:rPr>
                <w:szCs w:val="21"/>
              </w:rPr>
              <w:t>12</w:t>
            </w:r>
          </w:p>
        </w:tc>
        <w:tc>
          <w:tcPr>
            <w:tcW w:w="3157" w:type="dxa"/>
            <w:vAlign w:val="center"/>
          </w:tcPr>
          <w:p>
            <w:r>
              <w:rPr>
                <w:szCs w:val="21"/>
              </w:rPr>
              <w:t>生活垃圾“互联网+”监管技术体系，加强生活垃圾管理平台应用管理</w:t>
            </w:r>
          </w:p>
        </w:tc>
        <w:tc>
          <w:tcPr>
            <w:tcW w:w="6425" w:type="dxa"/>
            <w:vAlign w:val="center"/>
          </w:tcPr>
          <w:p>
            <w:r>
              <w:rPr>
                <w:szCs w:val="21"/>
              </w:rPr>
              <w:t>充分应用现有生活垃圾管理平台应用管理。</w:t>
            </w:r>
          </w:p>
        </w:tc>
        <w:tc>
          <w:tcPr>
            <w:tcW w:w="1828" w:type="dxa"/>
            <w:vAlign w:val="center"/>
          </w:tcPr>
          <w:p>
            <w:pPr>
              <w:jc w:val="center"/>
            </w:pPr>
            <w:r>
              <w:rPr>
                <w:szCs w:val="21"/>
              </w:rPr>
              <w:t>区环境卫生管护服务中心</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5" w:type="dxa"/>
            <w:vAlign w:val="center"/>
          </w:tcPr>
          <w:p>
            <w:pPr>
              <w:jc w:val="center"/>
            </w:pPr>
            <w:r>
              <w:rPr>
                <w:szCs w:val="21"/>
              </w:rPr>
              <w:t>13</w:t>
            </w:r>
          </w:p>
        </w:tc>
        <w:tc>
          <w:tcPr>
            <w:tcW w:w="3157" w:type="dxa"/>
            <w:vAlign w:val="center"/>
          </w:tcPr>
          <w:p>
            <w:r>
              <w:rPr>
                <w:szCs w:val="21"/>
              </w:rPr>
              <w:t>指导相关企业完成清洁生产审核评估</w:t>
            </w:r>
          </w:p>
        </w:tc>
        <w:tc>
          <w:tcPr>
            <w:tcW w:w="6425" w:type="dxa"/>
            <w:vAlign w:val="center"/>
          </w:tcPr>
          <w:p>
            <w:r>
              <w:rPr>
                <w:szCs w:val="21"/>
              </w:rPr>
              <w:t>严格实施强制性清洁生产审核，积极引导固废产生量大、环境风险高的其他企业开展审核，全区清洁生产审核通过率达到100%。</w:t>
            </w:r>
          </w:p>
        </w:tc>
        <w:tc>
          <w:tcPr>
            <w:tcW w:w="1828" w:type="dxa"/>
            <w:vAlign w:val="center"/>
          </w:tcPr>
          <w:p>
            <w:pPr>
              <w:jc w:val="center"/>
            </w:pPr>
            <w:r>
              <w:rPr>
                <w:szCs w:val="21"/>
              </w:rPr>
              <w:t>市生态环境局天桥分局</w:t>
            </w:r>
          </w:p>
        </w:tc>
        <w:tc>
          <w:tcPr>
            <w:tcW w:w="1234" w:type="dxa"/>
            <w:vAlign w:val="center"/>
          </w:tcPr>
          <w:p>
            <w:pPr>
              <w:jc w:val="center"/>
            </w:pPr>
            <w:r>
              <w:rPr>
                <w:szCs w:val="21"/>
              </w:rPr>
              <w:t>2023-2025</w:t>
            </w:r>
          </w:p>
        </w:tc>
      </w:tr>
    </w:tbl>
    <w:p>
      <w:pPr>
        <w:pStyle w:val="2"/>
        <w:rPr>
          <w:rFonts w:hint="eastAsia"/>
        </w:rPr>
      </w:pPr>
    </w:p>
    <w:p/>
    <w:tbl>
      <w:tblPr>
        <w:tblStyle w:val="18"/>
        <w:tblW w:w="13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3157"/>
        <w:gridCol w:w="6425"/>
        <w:gridCol w:w="182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95" w:type="dxa"/>
            <w:vAlign w:val="center"/>
          </w:tcPr>
          <w:p>
            <w:pPr>
              <w:jc w:val="center"/>
              <w:rPr>
                <w:rFonts w:eastAsia="黑体"/>
                <w:sz w:val="24"/>
                <w:szCs w:val="18"/>
              </w:rPr>
            </w:pPr>
            <w:r>
              <w:rPr>
                <w:rFonts w:eastAsia="黑体"/>
                <w:sz w:val="24"/>
                <w:szCs w:val="18"/>
              </w:rPr>
              <w:t>序号</w:t>
            </w:r>
          </w:p>
        </w:tc>
        <w:tc>
          <w:tcPr>
            <w:tcW w:w="3157" w:type="dxa"/>
            <w:vAlign w:val="center"/>
          </w:tcPr>
          <w:p>
            <w:pPr>
              <w:jc w:val="center"/>
              <w:rPr>
                <w:rFonts w:eastAsia="黑体"/>
                <w:sz w:val="24"/>
                <w:szCs w:val="18"/>
              </w:rPr>
            </w:pPr>
            <w:r>
              <w:rPr>
                <w:rFonts w:eastAsia="黑体"/>
                <w:sz w:val="24"/>
                <w:szCs w:val="18"/>
              </w:rPr>
              <w:t>任务名称</w:t>
            </w:r>
          </w:p>
        </w:tc>
        <w:tc>
          <w:tcPr>
            <w:tcW w:w="6425" w:type="dxa"/>
            <w:vAlign w:val="center"/>
          </w:tcPr>
          <w:p>
            <w:pPr>
              <w:jc w:val="center"/>
              <w:rPr>
                <w:rFonts w:eastAsia="黑体"/>
                <w:sz w:val="24"/>
                <w:szCs w:val="18"/>
              </w:rPr>
            </w:pPr>
            <w:r>
              <w:rPr>
                <w:rFonts w:eastAsia="黑体"/>
                <w:sz w:val="24"/>
                <w:szCs w:val="18"/>
              </w:rPr>
              <w:t>主要内容</w:t>
            </w:r>
          </w:p>
        </w:tc>
        <w:tc>
          <w:tcPr>
            <w:tcW w:w="1828" w:type="dxa"/>
            <w:vAlign w:val="center"/>
          </w:tcPr>
          <w:p>
            <w:pPr>
              <w:jc w:val="center"/>
              <w:rPr>
                <w:rFonts w:eastAsia="黑体"/>
                <w:sz w:val="24"/>
                <w:szCs w:val="18"/>
              </w:rPr>
            </w:pPr>
            <w:r>
              <w:rPr>
                <w:rFonts w:eastAsia="黑体"/>
                <w:sz w:val="24"/>
                <w:szCs w:val="18"/>
              </w:rPr>
              <w:t>责任单位</w:t>
            </w:r>
          </w:p>
        </w:tc>
        <w:tc>
          <w:tcPr>
            <w:tcW w:w="1234" w:type="dxa"/>
            <w:vAlign w:val="center"/>
          </w:tcPr>
          <w:p>
            <w:pPr>
              <w:jc w:val="center"/>
              <w:rPr>
                <w:rFonts w:eastAsia="黑体"/>
                <w:sz w:val="24"/>
                <w:szCs w:val="18"/>
              </w:rPr>
            </w:pPr>
            <w:r>
              <w:rPr>
                <w:rFonts w:eastAsia="黑体"/>
                <w:sz w:val="24"/>
                <w:szCs w:val="18"/>
              </w:rPr>
              <w:t>实施时间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695" w:type="dxa"/>
            <w:vAlign w:val="center"/>
          </w:tcPr>
          <w:p>
            <w:pPr>
              <w:jc w:val="center"/>
            </w:pPr>
            <w:r>
              <w:rPr>
                <w:szCs w:val="21"/>
              </w:rPr>
              <w:t>14</w:t>
            </w:r>
          </w:p>
        </w:tc>
        <w:tc>
          <w:tcPr>
            <w:tcW w:w="3157" w:type="dxa"/>
            <w:vAlign w:val="center"/>
          </w:tcPr>
          <w:p>
            <w:r>
              <w:rPr>
                <w:szCs w:val="21"/>
              </w:rPr>
              <w:t>建立完善一般工业固体废物监管体系</w:t>
            </w:r>
          </w:p>
        </w:tc>
        <w:tc>
          <w:tcPr>
            <w:tcW w:w="6425" w:type="dxa"/>
            <w:vAlign w:val="center"/>
          </w:tcPr>
          <w:p>
            <w:r>
              <w:rPr>
                <w:szCs w:val="21"/>
              </w:rPr>
              <w:t>2023年年底前，建立常态化制度，督促企业定期向所在地生态环境主管部门提供一般工业固体废物的种类、数量、流向、贮存、利用、处置等有关资料，以及减少工业固体废物产生、促进综合利用的具体措施。</w:t>
            </w:r>
          </w:p>
        </w:tc>
        <w:tc>
          <w:tcPr>
            <w:tcW w:w="1828" w:type="dxa"/>
            <w:vAlign w:val="center"/>
          </w:tcPr>
          <w:p>
            <w:pPr>
              <w:jc w:val="center"/>
            </w:pPr>
            <w:r>
              <w:rPr>
                <w:szCs w:val="21"/>
              </w:rPr>
              <w:t>市生态环境局天桥分局、区工业和信息化局</w:t>
            </w:r>
          </w:p>
        </w:tc>
        <w:tc>
          <w:tcPr>
            <w:tcW w:w="1234" w:type="dxa"/>
            <w:vAlign w:val="center"/>
          </w:tcPr>
          <w:p>
            <w:pPr>
              <w:jc w:val="center"/>
            </w:pPr>
            <w:r>
              <w:rPr>
                <w:szCs w:val="21"/>
              </w:rPr>
              <w:t>2023-2023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695" w:type="dxa"/>
            <w:vAlign w:val="center"/>
          </w:tcPr>
          <w:p>
            <w:pPr>
              <w:jc w:val="center"/>
            </w:pPr>
            <w:r>
              <w:rPr>
                <w:szCs w:val="21"/>
              </w:rPr>
              <w:t>15</w:t>
            </w:r>
          </w:p>
        </w:tc>
        <w:tc>
          <w:tcPr>
            <w:tcW w:w="3157" w:type="dxa"/>
            <w:vAlign w:val="center"/>
          </w:tcPr>
          <w:p>
            <w:r>
              <w:rPr>
                <w:szCs w:val="21"/>
              </w:rPr>
              <w:t>严格危险废物项目环境影响评价审批</w:t>
            </w:r>
          </w:p>
        </w:tc>
        <w:tc>
          <w:tcPr>
            <w:tcW w:w="6425" w:type="dxa"/>
            <w:vAlign w:val="center"/>
          </w:tcPr>
          <w:p>
            <w:r>
              <w:rPr>
                <w:szCs w:val="21"/>
              </w:rPr>
              <w:t>新建、改建、扩建涉危险废物建设项目，严格落实建设项目环境影响评价要求，从严审批危险废物产生量大、本区及周边区域无配套利用处置能力的建设项目。将已批复的重点行业涉危险废物建设项目环境影响评价文件纳入技术复核抽查范围。</w:t>
            </w:r>
          </w:p>
        </w:tc>
        <w:tc>
          <w:tcPr>
            <w:tcW w:w="1828" w:type="dxa"/>
            <w:vAlign w:val="center"/>
          </w:tcPr>
          <w:p>
            <w:pPr>
              <w:jc w:val="center"/>
            </w:pPr>
            <w:r>
              <w:rPr>
                <w:szCs w:val="21"/>
              </w:rPr>
              <w:t>市生态环境局天桥分局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695" w:type="dxa"/>
            <w:vAlign w:val="center"/>
          </w:tcPr>
          <w:p>
            <w:pPr>
              <w:jc w:val="center"/>
            </w:pPr>
            <w:r>
              <w:rPr>
                <w:szCs w:val="21"/>
              </w:rPr>
              <w:t>16</w:t>
            </w:r>
          </w:p>
        </w:tc>
        <w:tc>
          <w:tcPr>
            <w:tcW w:w="3157" w:type="dxa"/>
            <w:vAlign w:val="center"/>
          </w:tcPr>
          <w:p>
            <w:r>
              <w:rPr>
                <w:szCs w:val="21"/>
              </w:rPr>
              <w:t>推动小微产废单位全部纳入监管</w:t>
            </w:r>
          </w:p>
        </w:tc>
        <w:tc>
          <w:tcPr>
            <w:tcW w:w="6425" w:type="dxa"/>
            <w:vAlign w:val="center"/>
          </w:tcPr>
          <w:p>
            <w:r>
              <w:rPr>
                <w:szCs w:val="21"/>
              </w:rPr>
              <w:t>充分发挥危险废物专业收集企业作用，做好小微企业、第三产业、科研机构、学校等危险废物收集转运，督促产废单位和收集单位及时收集转运。</w:t>
            </w:r>
          </w:p>
        </w:tc>
        <w:tc>
          <w:tcPr>
            <w:tcW w:w="1828" w:type="dxa"/>
            <w:vAlign w:val="center"/>
          </w:tcPr>
          <w:p>
            <w:pPr>
              <w:jc w:val="center"/>
            </w:pPr>
            <w:r>
              <w:rPr>
                <w:szCs w:val="21"/>
              </w:rPr>
              <w:t>市生态环境局天桥分局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695" w:type="dxa"/>
            <w:vAlign w:val="center"/>
          </w:tcPr>
          <w:p>
            <w:pPr>
              <w:jc w:val="center"/>
            </w:pPr>
            <w:r>
              <w:rPr>
                <w:szCs w:val="21"/>
              </w:rPr>
              <w:t>17</w:t>
            </w:r>
          </w:p>
        </w:tc>
        <w:tc>
          <w:tcPr>
            <w:tcW w:w="3157" w:type="dxa"/>
            <w:vAlign w:val="center"/>
          </w:tcPr>
          <w:p>
            <w:r>
              <w:rPr>
                <w:szCs w:val="21"/>
              </w:rPr>
              <w:t>统筹规划区域性收集网点和贮存设施</w:t>
            </w:r>
          </w:p>
        </w:tc>
        <w:tc>
          <w:tcPr>
            <w:tcW w:w="6425" w:type="dxa"/>
            <w:vAlign w:val="center"/>
          </w:tcPr>
          <w:p>
            <w:r>
              <w:rPr>
                <w:szCs w:val="21"/>
              </w:rPr>
              <w:t>根据全区危险废物收集转运需求做好统筹规划，支持危险废物专业收集转运和利用处置单位建设区域性收集网点和贮存设施。</w:t>
            </w:r>
          </w:p>
        </w:tc>
        <w:tc>
          <w:tcPr>
            <w:tcW w:w="1828" w:type="dxa"/>
            <w:vAlign w:val="center"/>
          </w:tcPr>
          <w:p>
            <w:pPr>
              <w:jc w:val="center"/>
            </w:pPr>
            <w:r>
              <w:rPr>
                <w:szCs w:val="21"/>
              </w:rPr>
              <w:t>市生态环境局天桥分局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695" w:type="dxa"/>
            <w:vAlign w:val="center"/>
          </w:tcPr>
          <w:p>
            <w:pPr>
              <w:jc w:val="center"/>
            </w:pPr>
            <w:r>
              <w:rPr>
                <w:szCs w:val="21"/>
              </w:rPr>
              <w:t>18</w:t>
            </w:r>
          </w:p>
        </w:tc>
        <w:tc>
          <w:tcPr>
            <w:tcW w:w="3157" w:type="dxa"/>
            <w:vAlign w:val="center"/>
          </w:tcPr>
          <w:p>
            <w:r>
              <w:rPr>
                <w:szCs w:val="21"/>
              </w:rPr>
              <w:t>推广小微产废单位危废收集转运新模式</w:t>
            </w:r>
          </w:p>
        </w:tc>
        <w:tc>
          <w:tcPr>
            <w:tcW w:w="6425" w:type="dxa"/>
            <w:vAlign w:val="center"/>
          </w:tcPr>
          <w:p>
            <w:r>
              <w:rPr>
                <w:szCs w:val="21"/>
              </w:rPr>
              <w:t>对同类产废单位较为集中的区域，设置暂存间，采用“集中暂存、分别管理”模式进行收集转运；对分散的产废单位，探索开展危废“公交式”收运，确保小微产废单位危险废物及时收集转运，实现规范化管理。</w:t>
            </w:r>
          </w:p>
        </w:tc>
        <w:tc>
          <w:tcPr>
            <w:tcW w:w="1828" w:type="dxa"/>
            <w:vAlign w:val="center"/>
          </w:tcPr>
          <w:p>
            <w:pPr>
              <w:jc w:val="center"/>
            </w:pPr>
            <w:r>
              <w:rPr>
                <w:szCs w:val="21"/>
              </w:rPr>
              <w:t>市生态环境局天桥分局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95" w:type="dxa"/>
            <w:vAlign w:val="center"/>
          </w:tcPr>
          <w:p>
            <w:pPr>
              <w:jc w:val="center"/>
            </w:pPr>
            <w:r>
              <w:rPr>
                <w:szCs w:val="21"/>
              </w:rPr>
              <w:t>19</w:t>
            </w:r>
          </w:p>
        </w:tc>
        <w:tc>
          <w:tcPr>
            <w:tcW w:w="3157" w:type="dxa"/>
            <w:vAlign w:val="center"/>
          </w:tcPr>
          <w:p>
            <w:r>
              <w:rPr>
                <w:szCs w:val="21"/>
              </w:rPr>
              <w:t>开展危险废物“点对点”定向利用许可证豁免管理</w:t>
            </w:r>
          </w:p>
        </w:tc>
        <w:tc>
          <w:tcPr>
            <w:tcW w:w="6425" w:type="dxa"/>
            <w:vAlign w:val="center"/>
          </w:tcPr>
          <w:p>
            <w:r>
              <w:rPr>
                <w:szCs w:val="21"/>
              </w:rPr>
              <w:t>在环境风险可控的前提下，探索开展企业废弃包装物、废弃物料等危险废物“点对点”定向利用许可证豁免管理。</w:t>
            </w:r>
          </w:p>
        </w:tc>
        <w:tc>
          <w:tcPr>
            <w:tcW w:w="1828" w:type="dxa"/>
            <w:vAlign w:val="center"/>
          </w:tcPr>
          <w:p>
            <w:pPr>
              <w:jc w:val="center"/>
            </w:pPr>
            <w:r>
              <w:rPr>
                <w:szCs w:val="21"/>
              </w:rPr>
              <w:t>市生态环境局天桥分局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695" w:type="dxa"/>
            <w:vAlign w:val="center"/>
          </w:tcPr>
          <w:p>
            <w:pPr>
              <w:jc w:val="center"/>
            </w:pPr>
            <w:r>
              <w:rPr>
                <w:szCs w:val="21"/>
              </w:rPr>
              <w:t>20</w:t>
            </w:r>
          </w:p>
        </w:tc>
        <w:tc>
          <w:tcPr>
            <w:tcW w:w="3157" w:type="dxa"/>
            <w:vAlign w:val="center"/>
          </w:tcPr>
          <w:p>
            <w:r>
              <w:rPr>
                <w:szCs w:val="21"/>
              </w:rPr>
              <w:t>建立医疗机构医废收运巡查机制</w:t>
            </w:r>
          </w:p>
        </w:tc>
        <w:tc>
          <w:tcPr>
            <w:tcW w:w="6425" w:type="dxa"/>
            <w:vAlign w:val="center"/>
          </w:tcPr>
          <w:p>
            <w:r>
              <w:rPr>
                <w:szCs w:val="21"/>
              </w:rPr>
              <w:t>建立医疗机构医废收运巡查机制，以农村地区小型医疗机构为重点，建立巡查机制加大巡查力度，确保及时清运并依法进行集中处置。</w:t>
            </w:r>
          </w:p>
        </w:tc>
        <w:tc>
          <w:tcPr>
            <w:tcW w:w="1828" w:type="dxa"/>
            <w:vAlign w:val="center"/>
          </w:tcPr>
          <w:p>
            <w:pPr>
              <w:jc w:val="center"/>
            </w:pPr>
            <w:r>
              <w:rPr>
                <w:szCs w:val="21"/>
              </w:rPr>
              <w:t>市生态环境局天桥分局、区卫生健康局</w:t>
            </w:r>
          </w:p>
        </w:tc>
        <w:tc>
          <w:tcPr>
            <w:tcW w:w="1234" w:type="dxa"/>
            <w:vAlign w:val="center"/>
          </w:tcPr>
          <w:p>
            <w:pPr>
              <w:jc w:val="center"/>
            </w:pPr>
            <w:r>
              <w:rPr>
                <w:szCs w:val="21"/>
              </w:rPr>
              <w:t>2023-2025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695" w:type="dxa"/>
            <w:vAlign w:val="center"/>
          </w:tcPr>
          <w:p>
            <w:pPr>
              <w:jc w:val="center"/>
            </w:pPr>
            <w:r>
              <w:rPr>
                <w:szCs w:val="21"/>
              </w:rPr>
              <w:t>21</w:t>
            </w:r>
          </w:p>
        </w:tc>
        <w:tc>
          <w:tcPr>
            <w:tcW w:w="3157" w:type="dxa"/>
            <w:vAlign w:val="center"/>
          </w:tcPr>
          <w:p>
            <w:r>
              <w:rPr>
                <w:szCs w:val="21"/>
              </w:rPr>
              <w:t>开展打击危险废物环境违法行为专项行动</w:t>
            </w:r>
          </w:p>
        </w:tc>
        <w:tc>
          <w:tcPr>
            <w:tcW w:w="6425" w:type="dxa"/>
            <w:vAlign w:val="center"/>
          </w:tcPr>
          <w:p>
            <w:r>
              <w:rPr>
                <w:szCs w:val="21"/>
              </w:rPr>
              <w:t>开展多部门联合执法，以医疗废物、废酸、废铅蓄电池、废矿物油等为重点，严厉打击非法收集、贮存、转移、利用、处置危险废物等环境违法犯罪行为。</w:t>
            </w:r>
          </w:p>
        </w:tc>
        <w:tc>
          <w:tcPr>
            <w:tcW w:w="1828" w:type="dxa"/>
            <w:vAlign w:val="center"/>
          </w:tcPr>
          <w:p>
            <w:pPr>
              <w:jc w:val="center"/>
            </w:pPr>
            <w:r>
              <w:rPr>
                <w:szCs w:val="21"/>
              </w:rPr>
              <w:t>市生态环境局天桥分局等有关部门(单位)</w:t>
            </w:r>
          </w:p>
        </w:tc>
        <w:tc>
          <w:tcPr>
            <w:tcW w:w="1234" w:type="dxa"/>
            <w:vAlign w:val="center"/>
          </w:tcPr>
          <w:p>
            <w:pPr>
              <w:jc w:val="center"/>
            </w:pPr>
            <w:r>
              <w:rPr>
                <w:szCs w:val="21"/>
              </w:rPr>
              <w:t>2023-2025</w:t>
            </w:r>
          </w:p>
        </w:tc>
      </w:tr>
    </w:tbl>
    <w:p>
      <w:pPr>
        <w:pStyle w:val="2"/>
      </w:pPr>
    </w:p>
    <w:p>
      <w:pPr>
        <w:pStyle w:val="2"/>
      </w:pPr>
    </w:p>
    <w:p>
      <w:pPr>
        <w:pStyle w:val="2"/>
        <w:sectPr>
          <w:footerReference r:id="rId7" w:type="default"/>
          <w:footerReference r:id="rId8" w:type="even"/>
          <w:pgSz w:w="16840" w:h="11900" w:orient="landscape"/>
          <w:pgMar w:top="720" w:right="1701" w:bottom="720" w:left="1701" w:header="0" w:footer="737" w:gutter="0"/>
          <w:cols w:space="720" w:num="1"/>
          <w:docGrid w:linePitch="286" w:charSpace="0"/>
        </w:sectPr>
      </w:pPr>
    </w:p>
    <w:p>
      <w:pPr>
        <w:tabs>
          <w:tab w:val="left" w:pos="2500"/>
          <w:tab w:val="left" w:pos="4394"/>
        </w:tabs>
        <w:autoSpaceDE w:val="0"/>
        <w:autoSpaceDN w:val="0"/>
        <w:spacing w:line="580" w:lineRule="exact"/>
        <w:rPr>
          <w:rFonts w:eastAsia="仿宋_GB2312"/>
          <w:snapToGrid w:val="0"/>
          <w:sz w:val="32"/>
          <w:szCs w:val="32"/>
        </w:rPr>
      </w:pPr>
    </w:p>
    <w:p>
      <w:pPr>
        <w:pStyle w:val="2"/>
      </w:pPr>
    </w:p>
    <w:p/>
    <w:p>
      <w:pPr>
        <w:pStyle w:val="2"/>
      </w:pPr>
    </w:p>
    <w:p>
      <w:pPr>
        <w:pStyle w:val="2"/>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pStyle w:val="2"/>
      </w:pPr>
    </w:p>
    <w:p/>
    <w:p>
      <w:pPr>
        <w:spacing w:line="580" w:lineRule="exact"/>
        <w:ind w:left="1173" w:leftChars="100" w:right="-210" w:rightChars="-100" w:hanging="963" w:hangingChars="301"/>
        <w:rPr>
          <w:rFonts w:eastAsia="仿宋_GB2312"/>
          <w:sz w:val="32"/>
          <w:szCs w:val="32"/>
        </w:rPr>
      </w:pP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48260</wp:posOffset>
                </wp:positionV>
                <wp:extent cx="5715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7150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8pt;height:0pt;width:450pt;z-index:251659264;mso-width-relative:page;mso-height-relative:page;" filled="f" stroked="t" coordsize="21600,21600" o:gfxdata="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ZALVbTAAAABAEAAA8AAAAAAAAAAQAgAAAAIgAAAGRycy9kb3ducmV2LnhtbFBLAQIUABQAAAAI&#10;AIdO4kCPyjxX8gEAAOkDAAAOAAAAAAAAAAEAIAAAACIBAABkcnMvZTJvRG9jLnhtbFBLBQYAAAAA&#10;BgAGAFkBAACGBQAAAAA=&#10;">
                <v:fill on="f" focussize="0,0"/>
                <v:stroke weight="1.25pt" color="#000000" joinstyle="round"/>
                <v:imagedata o:title=""/>
                <o:lock v:ext="edit" aspectratio="f"/>
              </v:line>
            </w:pict>
          </mc:Fallback>
        </mc:AlternateContent>
      </w:r>
      <w:r>
        <w:rPr>
          <w:rFonts w:eastAsia="仿宋_GB2312"/>
          <w:sz w:val="32"/>
          <w:szCs w:val="32"/>
        </w:rPr>
        <w:t>抄送：区委各部门，区人大办，区政协办，区纪委，区人武部，区法院，区检察院。</w:t>
      </w:r>
    </w:p>
    <w:p>
      <w:pPr>
        <w:pStyle w:val="2"/>
        <w:ind w:firstLine="1120" w:firstLineChars="350"/>
        <w:rPr>
          <w:rFonts w:eastAsia="仿宋_GB2312"/>
          <w:sz w:val="32"/>
          <w:szCs w:val="32"/>
        </w:rPr>
      </w:pPr>
      <w:r>
        <w:rPr>
          <w:rFonts w:eastAsia="仿宋_GB2312"/>
          <w:sz w:val="32"/>
          <w:szCs w:val="32"/>
        </w:rPr>
        <w:t>各民主党派区委，区工商联。</w:t>
      </w:r>
    </w:p>
    <w:p>
      <w:pPr>
        <w:spacing w:line="580" w:lineRule="exact"/>
        <w:ind w:right="-210" w:rightChars="-100" w:firstLine="320" w:firstLineChars="100"/>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430530</wp:posOffset>
                </wp:positionV>
                <wp:extent cx="57150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150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3.9pt;height:0pt;width:450pt;z-index:251660288;mso-width-relative:page;mso-height-relative:page;" filled="f" stroked="t" coordsize="21600,21600" o:gfxdata="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Mary1AAAAAYBAAAPAAAAAAAAAAEAIAAAACIAAABkcnMvZG93bnJldi54bWxQSwECFAAUAAAA&#10;CACHTuJAGYPFrvIBAADpAwAADgAAAAAAAAABACAAAAAjAQAAZHJzL2Uyb0RvYy54bWxQSwUGAAAA&#10;AAYABgBZAQAAhwUAAAAA&#10;">
                <v:fill on="f" focussize="0,0"/>
                <v:stroke weight="1.25pt" color="#000000" joinstyle="round"/>
                <v:imagedata o:title=""/>
                <o:lock v:ext="edit" aspectratio="f"/>
              </v:line>
            </w:pict>
          </mc:Fallback>
        </mc:AlternateContent>
      </w:r>
      <w:r>
        <w:rPr>
          <w:rFonts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36195</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85pt;height:0pt;width:450pt;z-index:251661312;mso-width-relative:page;mso-height-relative:page;" filled="f" stroked="t" coordsize="21600,21600" o:gfxdata="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o15mh&#10;0AAAAAQBAAAPAAAAAAAAAAEAIAAAACIAAABkcnMvZG93bnJldi54bWxQSwECFAAUAAAACACHTuJA&#10;FIg9jPABAADmAwAADgAAAAAAAAABACAAAAAfAQAAZHJzL2Uyb0RvYy54bWxQSwUGAAAAAAYABgBZ&#10;AQAAgQUAAAAA&#10;">
                <v:fill on="f" focussize="0,0"/>
                <v:stroke weight="0.5pt" color="#000000" joinstyle="round"/>
                <v:imagedata o:title=""/>
                <o:lock v:ext="edit" aspectratio="f"/>
              </v:line>
            </w:pict>
          </mc:Fallback>
        </mc:AlternateContent>
      </w:r>
      <w:r>
        <w:rPr>
          <w:rFonts w:eastAsia="仿宋_GB2312"/>
          <w:sz w:val="32"/>
          <w:szCs w:val="32"/>
        </w:rPr>
        <w:t>济南市天桥区人民政府办公室        2023年</w:t>
      </w:r>
      <w:r>
        <w:rPr>
          <w:rFonts w:hint="eastAsia" w:eastAsia="仿宋_GB2312"/>
          <w:sz w:val="32"/>
          <w:szCs w:val="32"/>
        </w:rPr>
        <w:t>4</w:t>
      </w:r>
      <w:r>
        <w:rPr>
          <w:rFonts w:eastAsia="仿宋_GB2312"/>
          <w:sz w:val="32"/>
          <w:szCs w:val="32"/>
        </w:rPr>
        <w:t>月</w:t>
      </w:r>
      <w:r>
        <w:rPr>
          <w:rFonts w:hint="eastAsia" w:eastAsia="仿宋_GB2312"/>
          <w:sz w:val="32"/>
          <w:szCs w:val="32"/>
        </w:rPr>
        <w:t>18</w:t>
      </w:r>
      <w:r>
        <w:rPr>
          <w:rFonts w:eastAsia="仿宋_GB2312"/>
          <w:sz w:val="32"/>
          <w:szCs w:val="32"/>
        </w:rPr>
        <w:t>日印发</w:t>
      </w:r>
    </w:p>
    <w:sectPr>
      <w:footerReference r:id="rId9" w:type="default"/>
      <w:footerReference r:id="rId10" w:type="even"/>
      <w:pgSz w:w="11906" w:h="16838"/>
      <w:pgMar w:top="2098" w:right="1474" w:bottom="1985" w:left="1588" w:header="0" w:footer="13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8"/>
        <w:szCs w:val="28"/>
      </w:rPr>
    </w:pPr>
    <w:r>
      <w:rPr>
        <w:rFonts w:eastAsia="仿宋_GB2312"/>
        <w:sz w:val="28"/>
        <w:szCs w:val="28"/>
      </w:rPr>
      <w:t>—</w:t>
    </w:r>
    <w:sdt>
      <w:sdtPr>
        <w:rPr>
          <w:sz w:val="28"/>
          <w:szCs w:val="28"/>
        </w:rPr>
        <w:id w:val="-1658607907"/>
        <w:docPartObj>
          <w:docPartGallery w:val="AutoText"/>
        </w:docPartObj>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eastAsia="仿宋_GB2312"/>
            <w:sz w:val="28"/>
            <w:szCs w:val="28"/>
          </w:rPr>
          <w:t>—</w:t>
        </w:r>
      </w:sdtContent>
    </w:sdt>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706637431"/>
      <w:docPartObj>
        <w:docPartGallery w:val="AutoText"/>
      </w:docPartObj>
    </w:sdtPr>
    <w:sdtEndPr>
      <w:rPr>
        <w:sz w:val="28"/>
        <w:szCs w:val="28"/>
      </w:rPr>
    </w:sdtEndPr>
    <w:sdtContent>
      <w:p>
        <w:pPr>
          <w:pStyle w:val="12"/>
          <w:rPr>
            <w:sz w:val="28"/>
            <w:szCs w:val="28"/>
          </w:rPr>
        </w:pPr>
        <w:r>
          <w:rPr>
            <w:rFonts w:eastAsia="仿宋_GB2312"/>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eastAsia="仿宋_GB2312"/>
            <w:sz w:val="28"/>
            <w:szCs w:val="28"/>
          </w:rPr>
          <w:t>—</w:t>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8"/>
        <w:szCs w:val="28"/>
      </w:rPr>
    </w:pPr>
    <w:r>
      <w:rPr>
        <w:rFonts w:eastAsia="仿宋_GB2312"/>
        <w:sz w:val="28"/>
        <w:szCs w:val="28"/>
      </w:rPr>
      <w:t>—</w:t>
    </w:r>
    <w:sdt>
      <w:sdtPr>
        <w:rPr>
          <w:sz w:val="28"/>
          <w:szCs w:val="28"/>
        </w:rPr>
        <w:id w:val="-253903990"/>
        <w:docPartObj>
          <w:docPartGallery w:val="AutoText"/>
        </w:docPartObj>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23</w:t>
        </w:r>
        <w:r>
          <w:rPr>
            <w:sz w:val="28"/>
            <w:szCs w:val="28"/>
          </w:rPr>
          <w:fldChar w:fldCharType="end"/>
        </w:r>
        <w:r>
          <w:rPr>
            <w:rFonts w:eastAsia="仿宋_GB2312"/>
            <w:sz w:val="28"/>
            <w:szCs w:val="28"/>
          </w:rPr>
          <w:t>—</w:t>
        </w:r>
      </w:sdtContent>
    </w:sdt>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748342204"/>
      <w:docPartObj>
        <w:docPartGallery w:val="AutoText"/>
      </w:docPartObj>
    </w:sdtPr>
    <w:sdtEndPr>
      <w:rPr>
        <w:sz w:val="28"/>
        <w:szCs w:val="28"/>
      </w:rPr>
    </w:sdtEndPr>
    <w:sdtContent>
      <w:p>
        <w:pPr>
          <w:pStyle w:val="12"/>
          <w:rPr>
            <w:sz w:val="28"/>
            <w:szCs w:val="28"/>
          </w:rPr>
        </w:pPr>
        <w:r>
          <w:rPr>
            <w:rFonts w:eastAsia="仿宋_GB2312"/>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22</w:t>
        </w:r>
        <w:r>
          <w:rPr>
            <w:sz w:val="28"/>
            <w:szCs w:val="28"/>
          </w:rPr>
          <w:fldChar w:fldCharType="end"/>
        </w:r>
        <w:r>
          <w:rPr>
            <w:rFonts w:eastAsia="仿宋_GB2312"/>
            <w:sz w:val="28"/>
            <w:szCs w:val="28"/>
          </w:rPr>
          <w:t>—</w:t>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sz w:val="28"/>
                              <w:szCs w:val="28"/>
                            </w:rPr>
                          </w:pPr>
                          <w:r>
                            <w:rPr>
                              <w:rFonts w:ascii="仿宋_GB2312" w:hAnsi="仿宋_GB2312" w:eastAsia="仿宋_GB2312" w:cs="仿宋_GB2312"/>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33</w:t>
                          </w:r>
                          <w:r>
                            <w:rPr>
                              <w:rFonts w:ascii="宋体" w:hAnsi="宋体"/>
                              <w:sz w:val="28"/>
                              <w:szCs w:val="28"/>
                            </w:rPr>
                            <w:fldChar w:fldCharType="end"/>
                          </w:r>
                          <w:r>
                            <w:rPr>
                              <w:rFonts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rPr>
                        <w:rFonts w:ascii="宋体" w:hAnsi="宋体"/>
                        <w:sz w:val="28"/>
                        <w:szCs w:val="28"/>
                      </w:rPr>
                    </w:pPr>
                    <w:r>
                      <w:rPr>
                        <w:rFonts w:ascii="仿宋_GB2312" w:hAnsi="仿宋_GB2312" w:eastAsia="仿宋_GB2312" w:cs="仿宋_GB2312"/>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33</w:t>
                    </w:r>
                    <w:r>
                      <w:rPr>
                        <w:rFonts w:ascii="宋体" w:hAnsi="宋体"/>
                        <w:sz w:val="28"/>
                        <w:szCs w:val="28"/>
                      </w:rPr>
                      <w:fldChar w:fldCharType="end"/>
                    </w:r>
                    <w:r>
                      <w:rPr>
                        <w:rFonts w:ascii="仿宋_GB2312" w:hAnsi="仿宋_GB2312" w:eastAsia="仿宋_GB2312" w:cs="仿宋_GB2312"/>
                        <w:sz w:val="28"/>
                        <w:szCs w:val="28"/>
                      </w:rPr>
                      <w:t>—</w:t>
                    </w:r>
                  </w:p>
                </w:txbxContent>
              </v:textbox>
            </v:shape>
          </w:pict>
        </mc:Fallback>
      </mc:AlternateContent>
    </w:r>
  </w:p>
  <w:p>
    <w:pPr>
      <w:spacing w:line="14" w:lineRule="auto"/>
      <w:rPr>
        <w:sz w:val="2"/>
      </w:rP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sz w:val="28"/>
                              <w:szCs w:val="28"/>
                            </w:rPr>
                          </w:pPr>
                          <w:r>
                            <w:rPr>
                              <w:rFonts w:ascii="仿宋_GB2312" w:hAnsi="仿宋_GB2312" w:eastAsia="仿宋_GB2312" w:cs="仿宋_GB2312"/>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rPr>
                        <w:rFonts w:ascii="宋体" w:hAnsi="宋体"/>
                        <w:sz w:val="28"/>
                        <w:szCs w:val="28"/>
                      </w:rPr>
                    </w:pPr>
                    <w:r>
                      <w:rPr>
                        <w:rFonts w:ascii="仿宋_GB2312" w:hAnsi="仿宋_GB2312" w:eastAsia="仿宋_GB2312" w:cs="仿宋_GB2312"/>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仿宋_GB2312" w:hAnsi="仿宋_GB2312" w:eastAsia="仿宋_GB2312" w:cs="仿宋_GB2312"/>
                        <w:sz w:val="28"/>
                        <w:szCs w:val="28"/>
                      </w:rPr>
                      <w:t>—</w:t>
                    </w:r>
                  </w:p>
                </w:txbxContent>
              </v:textbox>
            </v:shape>
          </w:pict>
        </mc:Fallback>
      </mc:AlternateContent>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8"/>
        <w:szCs w:val="28"/>
      </w:rPr>
    </w:pPr>
    <w:r>
      <w:rPr>
        <w:rFonts w:eastAsia="仿宋_GB2312"/>
        <w:sz w:val="28"/>
        <w:szCs w:val="28"/>
      </w:rPr>
      <w:t>—</w:t>
    </w:r>
    <w:sdt>
      <w:sdtPr>
        <w:rPr>
          <w:sz w:val="28"/>
          <w:szCs w:val="28"/>
        </w:rPr>
        <w:id w:val="-634246237"/>
        <w:docPartObj>
          <w:docPartGallery w:val="AutoText"/>
        </w:docPartObj>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35</w:t>
        </w:r>
        <w:r>
          <w:rPr>
            <w:sz w:val="28"/>
            <w:szCs w:val="28"/>
          </w:rPr>
          <w:fldChar w:fldCharType="end"/>
        </w:r>
        <w:r>
          <w:rPr>
            <w:rFonts w:eastAsia="仿宋_GB2312"/>
            <w:sz w:val="28"/>
            <w:szCs w:val="28"/>
          </w:rPr>
          <w:t>—</w:t>
        </w:r>
      </w:sdtContent>
    </w:sdt>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OGY0NTc4NmJiNzZlYmI4ZTNlZDE0NDZiYzc5MjYifQ=="/>
  </w:docVars>
  <w:rsids>
    <w:rsidRoot w:val="005A0F7F"/>
    <w:rsid w:val="00003B1A"/>
    <w:rsid w:val="0000638A"/>
    <w:rsid w:val="0001329B"/>
    <w:rsid w:val="00013671"/>
    <w:rsid w:val="0001650A"/>
    <w:rsid w:val="0002364E"/>
    <w:rsid w:val="0003298B"/>
    <w:rsid w:val="00033F31"/>
    <w:rsid w:val="000366AE"/>
    <w:rsid w:val="000503D6"/>
    <w:rsid w:val="0006174A"/>
    <w:rsid w:val="00080256"/>
    <w:rsid w:val="00083A1C"/>
    <w:rsid w:val="000856AD"/>
    <w:rsid w:val="000862BD"/>
    <w:rsid w:val="000871F3"/>
    <w:rsid w:val="00092B97"/>
    <w:rsid w:val="0009362A"/>
    <w:rsid w:val="000B266D"/>
    <w:rsid w:val="000B2E95"/>
    <w:rsid w:val="000B59CA"/>
    <w:rsid w:val="000C4CE5"/>
    <w:rsid w:val="000D6AA1"/>
    <w:rsid w:val="000E2CA5"/>
    <w:rsid w:val="000E5300"/>
    <w:rsid w:val="000E79A3"/>
    <w:rsid w:val="00104898"/>
    <w:rsid w:val="001048B4"/>
    <w:rsid w:val="00104995"/>
    <w:rsid w:val="00105224"/>
    <w:rsid w:val="00135603"/>
    <w:rsid w:val="001363D9"/>
    <w:rsid w:val="001369E1"/>
    <w:rsid w:val="00145FC8"/>
    <w:rsid w:val="00146696"/>
    <w:rsid w:val="001548E3"/>
    <w:rsid w:val="001611BC"/>
    <w:rsid w:val="00161396"/>
    <w:rsid w:val="00172556"/>
    <w:rsid w:val="00182E6B"/>
    <w:rsid w:val="001935C6"/>
    <w:rsid w:val="0019479F"/>
    <w:rsid w:val="001959EC"/>
    <w:rsid w:val="001A053F"/>
    <w:rsid w:val="001A380F"/>
    <w:rsid w:val="001B3474"/>
    <w:rsid w:val="001D3FB4"/>
    <w:rsid w:val="001E28D2"/>
    <w:rsid w:val="001F037B"/>
    <w:rsid w:val="001F1E05"/>
    <w:rsid w:val="001F2E19"/>
    <w:rsid w:val="00210BD4"/>
    <w:rsid w:val="00214A74"/>
    <w:rsid w:val="00214C13"/>
    <w:rsid w:val="0022150B"/>
    <w:rsid w:val="00237120"/>
    <w:rsid w:val="00250916"/>
    <w:rsid w:val="00257AEB"/>
    <w:rsid w:val="00262786"/>
    <w:rsid w:val="00265A1E"/>
    <w:rsid w:val="0026776D"/>
    <w:rsid w:val="00273DA4"/>
    <w:rsid w:val="00280508"/>
    <w:rsid w:val="002810EA"/>
    <w:rsid w:val="00282621"/>
    <w:rsid w:val="00284C6B"/>
    <w:rsid w:val="00293309"/>
    <w:rsid w:val="00294C6E"/>
    <w:rsid w:val="002B3A14"/>
    <w:rsid w:val="002C0655"/>
    <w:rsid w:val="002C1ACA"/>
    <w:rsid w:val="002C2E6B"/>
    <w:rsid w:val="002D11D2"/>
    <w:rsid w:val="002E0859"/>
    <w:rsid w:val="002F2DA5"/>
    <w:rsid w:val="003026D4"/>
    <w:rsid w:val="00302A75"/>
    <w:rsid w:val="003248C7"/>
    <w:rsid w:val="00327D76"/>
    <w:rsid w:val="00337084"/>
    <w:rsid w:val="00342780"/>
    <w:rsid w:val="00352682"/>
    <w:rsid w:val="00357A96"/>
    <w:rsid w:val="0036640A"/>
    <w:rsid w:val="00374BBA"/>
    <w:rsid w:val="00380DB1"/>
    <w:rsid w:val="00382A97"/>
    <w:rsid w:val="00383129"/>
    <w:rsid w:val="00385337"/>
    <w:rsid w:val="00387830"/>
    <w:rsid w:val="00390E83"/>
    <w:rsid w:val="00391B65"/>
    <w:rsid w:val="003A58CE"/>
    <w:rsid w:val="003B08AD"/>
    <w:rsid w:val="003B14BA"/>
    <w:rsid w:val="003C1A90"/>
    <w:rsid w:val="003C3D2A"/>
    <w:rsid w:val="003C3EB0"/>
    <w:rsid w:val="003D033B"/>
    <w:rsid w:val="003D1278"/>
    <w:rsid w:val="003D3188"/>
    <w:rsid w:val="003D4DCF"/>
    <w:rsid w:val="003E14B8"/>
    <w:rsid w:val="003E2771"/>
    <w:rsid w:val="003E2C91"/>
    <w:rsid w:val="003E6002"/>
    <w:rsid w:val="003E6D5D"/>
    <w:rsid w:val="003E711A"/>
    <w:rsid w:val="003F268E"/>
    <w:rsid w:val="0041591C"/>
    <w:rsid w:val="00417D76"/>
    <w:rsid w:val="00423AB3"/>
    <w:rsid w:val="004465EA"/>
    <w:rsid w:val="00447D61"/>
    <w:rsid w:val="00447F9B"/>
    <w:rsid w:val="00453A73"/>
    <w:rsid w:val="00464CA6"/>
    <w:rsid w:val="00467CB8"/>
    <w:rsid w:val="00486E53"/>
    <w:rsid w:val="0049100D"/>
    <w:rsid w:val="00493604"/>
    <w:rsid w:val="00497459"/>
    <w:rsid w:val="00497EFF"/>
    <w:rsid w:val="004A0781"/>
    <w:rsid w:val="004A3CD1"/>
    <w:rsid w:val="004A4264"/>
    <w:rsid w:val="004B4A29"/>
    <w:rsid w:val="004C19B7"/>
    <w:rsid w:val="004F2873"/>
    <w:rsid w:val="004F4B81"/>
    <w:rsid w:val="0050606B"/>
    <w:rsid w:val="00506A36"/>
    <w:rsid w:val="00507EB1"/>
    <w:rsid w:val="005115D1"/>
    <w:rsid w:val="005120EE"/>
    <w:rsid w:val="00513FA8"/>
    <w:rsid w:val="0051462B"/>
    <w:rsid w:val="0053469A"/>
    <w:rsid w:val="00537D31"/>
    <w:rsid w:val="00541335"/>
    <w:rsid w:val="00541E67"/>
    <w:rsid w:val="0054525C"/>
    <w:rsid w:val="00546AC2"/>
    <w:rsid w:val="00560387"/>
    <w:rsid w:val="00562CD8"/>
    <w:rsid w:val="005644B9"/>
    <w:rsid w:val="005710DB"/>
    <w:rsid w:val="00575546"/>
    <w:rsid w:val="005831B7"/>
    <w:rsid w:val="00584102"/>
    <w:rsid w:val="00590258"/>
    <w:rsid w:val="00591574"/>
    <w:rsid w:val="00597C8F"/>
    <w:rsid w:val="005A0CE4"/>
    <w:rsid w:val="005A0F7F"/>
    <w:rsid w:val="005A2210"/>
    <w:rsid w:val="005A27B9"/>
    <w:rsid w:val="005B3708"/>
    <w:rsid w:val="005B43A8"/>
    <w:rsid w:val="005B68CD"/>
    <w:rsid w:val="005C230D"/>
    <w:rsid w:val="005D3942"/>
    <w:rsid w:val="005D4E28"/>
    <w:rsid w:val="005D63FA"/>
    <w:rsid w:val="005E4735"/>
    <w:rsid w:val="005E49C7"/>
    <w:rsid w:val="005F0E0F"/>
    <w:rsid w:val="005F4E2B"/>
    <w:rsid w:val="00605CF6"/>
    <w:rsid w:val="00612F2D"/>
    <w:rsid w:val="00615AF3"/>
    <w:rsid w:val="006224D7"/>
    <w:rsid w:val="0062306B"/>
    <w:rsid w:val="00631C8B"/>
    <w:rsid w:val="00631D32"/>
    <w:rsid w:val="00632F14"/>
    <w:rsid w:val="0063797F"/>
    <w:rsid w:val="006400AE"/>
    <w:rsid w:val="00642C4B"/>
    <w:rsid w:val="00642CC3"/>
    <w:rsid w:val="00651D99"/>
    <w:rsid w:val="00654F47"/>
    <w:rsid w:val="00664282"/>
    <w:rsid w:val="006815BD"/>
    <w:rsid w:val="00683BDC"/>
    <w:rsid w:val="0069253D"/>
    <w:rsid w:val="00692A8F"/>
    <w:rsid w:val="00695AD4"/>
    <w:rsid w:val="00697378"/>
    <w:rsid w:val="006A06AD"/>
    <w:rsid w:val="006A5B9D"/>
    <w:rsid w:val="006B20A9"/>
    <w:rsid w:val="006B2232"/>
    <w:rsid w:val="006B46CA"/>
    <w:rsid w:val="006B5610"/>
    <w:rsid w:val="006B7605"/>
    <w:rsid w:val="006D0B72"/>
    <w:rsid w:val="006D10EC"/>
    <w:rsid w:val="006D3F93"/>
    <w:rsid w:val="006E2A07"/>
    <w:rsid w:val="006E3DE5"/>
    <w:rsid w:val="006F0374"/>
    <w:rsid w:val="006F4AB6"/>
    <w:rsid w:val="00701924"/>
    <w:rsid w:val="00713318"/>
    <w:rsid w:val="00717336"/>
    <w:rsid w:val="00731B09"/>
    <w:rsid w:val="00734E95"/>
    <w:rsid w:val="00735E5B"/>
    <w:rsid w:val="007400E8"/>
    <w:rsid w:val="00742522"/>
    <w:rsid w:val="00746BDD"/>
    <w:rsid w:val="007507D4"/>
    <w:rsid w:val="00760491"/>
    <w:rsid w:val="00763B3A"/>
    <w:rsid w:val="00766053"/>
    <w:rsid w:val="0077028E"/>
    <w:rsid w:val="00785341"/>
    <w:rsid w:val="00785D38"/>
    <w:rsid w:val="00795DC0"/>
    <w:rsid w:val="007A34AA"/>
    <w:rsid w:val="007A4550"/>
    <w:rsid w:val="007A6FBA"/>
    <w:rsid w:val="007B2606"/>
    <w:rsid w:val="007B5304"/>
    <w:rsid w:val="007C11AC"/>
    <w:rsid w:val="007C646E"/>
    <w:rsid w:val="007D098C"/>
    <w:rsid w:val="007D69C8"/>
    <w:rsid w:val="007E1BF8"/>
    <w:rsid w:val="007E2F1A"/>
    <w:rsid w:val="007F0FE5"/>
    <w:rsid w:val="007F3E14"/>
    <w:rsid w:val="007F49F5"/>
    <w:rsid w:val="008036E6"/>
    <w:rsid w:val="00826953"/>
    <w:rsid w:val="00832BB5"/>
    <w:rsid w:val="00843BFF"/>
    <w:rsid w:val="00846C84"/>
    <w:rsid w:val="008559FC"/>
    <w:rsid w:val="00857436"/>
    <w:rsid w:val="008627A1"/>
    <w:rsid w:val="00874549"/>
    <w:rsid w:val="00876395"/>
    <w:rsid w:val="0088382F"/>
    <w:rsid w:val="00887CD2"/>
    <w:rsid w:val="008903F6"/>
    <w:rsid w:val="008905F4"/>
    <w:rsid w:val="00897948"/>
    <w:rsid w:val="008A7493"/>
    <w:rsid w:val="008B2E59"/>
    <w:rsid w:val="008B4984"/>
    <w:rsid w:val="008B6ACE"/>
    <w:rsid w:val="008C4764"/>
    <w:rsid w:val="008D6286"/>
    <w:rsid w:val="008E34E9"/>
    <w:rsid w:val="008E4582"/>
    <w:rsid w:val="009046D0"/>
    <w:rsid w:val="00912EC3"/>
    <w:rsid w:val="00913285"/>
    <w:rsid w:val="00923FEC"/>
    <w:rsid w:val="00925A7E"/>
    <w:rsid w:val="00934E88"/>
    <w:rsid w:val="0093602E"/>
    <w:rsid w:val="00940754"/>
    <w:rsid w:val="0094242D"/>
    <w:rsid w:val="0095169A"/>
    <w:rsid w:val="00951A43"/>
    <w:rsid w:val="00957F56"/>
    <w:rsid w:val="009602CB"/>
    <w:rsid w:val="0097098D"/>
    <w:rsid w:val="0097333B"/>
    <w:rsid w:val="00973424"/>
    <w:rsid w:val="00975291"/>
    <w:rsid w:val="009752C0"/>
    <w:rsid w:val="00992EEB"/>
    <w:rsid w:val="0099747B"/>
    <w:rsid w:val="00997799"/>
    <w:rsid w:val="00997C2B"/>
    <w:rsid w:val="009A0182"/>
    <w:rsid w:val="009A1C4B"/>
    <w:rsid w:val="009A2285"/>
    <w:rsid w:val="009A4872"/>
    <w:rsid w:val="009A5A21"/>
    <w:rsid w:val="009B410A"/>
    <w:rsid w:val="009D1568"/>
    <w:rsid w:val="009D5040"/>
    <w:rsid w:val="009E3B52"/>
    <w:rsid w:val="009E4A23"/>
    <w:rsid w:val="009F45A6"/>
    <w:rsid w:val="009F6F74"/>
    <w:rsid w:val="00A14AE9"/>
    <w:rsid w:val="00A15148"/>
    <w:rsid w:val="00A16DDE"/>
    <w:rsid w:val="00A23F82"/>
    <w:rsid w:val="00A273AD"/>
    <w:rsid w:val="00A30F0C"/>
    <w:rsid w:val="00A33DA8"/>
    <w:rsid w:val="00A41BFB"/>
    <w:rsid w:val="00A4322B"/>
    <w:rsid w:val="00A438B9"/>
    <w:rsid w:val="00A4687F"/>
    <w:rsid w:val="00A57E4D"/>
    <w:rsid w:val="00A6121C"/>
    <w:rsid w:val="00A7523F"/>
    <w:rsid w:val="00A757C8"/>
    <w:rsid w:val="00A77330"/>
    <w:rsid w:val="00A81CC1"/>
    <w:rsid w:val="00A86D46"/>
    <w:rsid w:val="00A93F7A"/>
    <w:rsid w:val="00AA3950"/>
    <w:rsid w:val="00AA720E"/>
    <w:rsid w:val="00AA745C"/>
    <w:rsid w:val="00AA7805"/>
    <w:rsid w:val="00AB0F39"/>
    <w:rsid w:val="00AB2214"/>
    <w:rsid w:val="00AB46B1"/>
    <w:rsid w:val="00AB4B09"/>
    <w:rsid w:val="00AE25DB"/>
    <w:rsid w:val="00AF0DF5"/>
    <w:rsid w:val="00AF1230"/>
    <w:rsid w:val="00AF4C76"/>
    <w:rsid w:val="00AF6217"/>
    <w:rsid w:val="00AF6656"/>
    <w:rsid w:val="00B178DD"/>
    <w:rsid w:val="00B203DB"/>
    <w:rsid w:val="00B20699"/>
    <w:rsid w:val="00B3275F"/>
    <w:rsid w:val="00B345A5"/>
    <w:rsid w:val="00B40BDC"/>
    <w:rsid w:val="00B537F5"/>
    <w:rsid w:val="00B70480"/>
    <w:rsid w:val="00B73F9B"/>
    <w:rsid w:val="00B75384"/>
    <w:rsid w:val="00B770EB"/>
    <w:rsid w:val="00B77E99"/>
    <w:rsid w:val="00B94A50"/>
    <w:rsid w:val="00BA1535"/>
    <w:rsid w:val="00BA2B38"/>
    <w:rsid w:val="00BA4AC5"/>
    <w:rsid w:val="00BB2AB8"/>
    <w:rsid w:val="00BC6E56"/>
    <w:rsid w:val="00BC729D"/>
    <w:rsid w:val="00BD03E5"/>
    <w:rsid w:val="00BD070C"/>
    <w:rsid w:val="00BD7F25"/>
    <w:rsid w:val="00BE03BC"/>
    <w:rsid w:val="00BE1749"/>
    <w:rsid w:val="00BE3FF0"/>
    <w:rsid w:val="00BE7174"/>
    <w:rsid w:val="00BF49C8"/>
    <w:rsid w:val="00C01BBE"/>
    <w:rsid w:val="00C0676B"/>
    <w:rsid w:val="00C076A1"/>
    <w:rsid w:val="00C10CC8"/>
    <w:rsid w:val="00C20B77"/>
    <w:rsid w:val="00C26022"/>
    <w:rsid w:val="00C33008"/>
    <w:rsid w:val="00C3697C"/>
    <w:rsid w:val="00C36A89"/>
    <w:rsid w:val="00C43314"/>
    <w:rsid w:val="00C4721D"/>
    <w:rsid w:val="00C51B8A"/>
    <w:rsid w:val="00C55EAA"/>
    <w:rsid w:val="00C56545"/>
    <w:rsid w:val="00C57883"/>
    <w:rsid w:val="00C60572"/>
    <w:rsid w:val="00C64FC2"/>
    <w:rsid w:val="00C75762"/>
    <w:rsid w:val="00C773AD"/>
    <w:rsid w:val="00C81EAF"/>
    <w:rsid w:val="00C8273F"/>
    <w:rsid w:val="00C868F5"/>
    <w:rsid w:val="00C93965"/>
    <w:rsid w:val="00C946B8"/>
    <w:rsid w:val="00C94880"/>
    <w:rsid w:val="00CA1B90"/>
    <w:rsid w:val="00CA39C1"/>
    <w:rsid w:val="00CA75A6"/>
    <w:rsid w:val="00CB57EC"/>
    <w:rsid w:val="00CB67D7"/>
    <w:rsid w:val="00CD2778"/>
    <w:rsid w:val="00CD3440"/>
    <w:rsid w:val="00CD4222"/>
    <w:rsid w:val="00CD6255"/>
    <w:rsid w:val="00CE626D"/>
    <w:rsid w:val="00CF0431"/>
    <w:rsid w:val="00D02DDA"/>
    <w:rsid w:val="00D15671"/>
    <w:rsid w:val="00D16C59"/>
    <w:rsid w:val="00D242B2"/>
    <w:rsid w:val="00D2787F"/>
    <w:rsid w:val="00D35B8E"/>
    <w:rsid w:val="00D401C6"/>
    <w:rsid w:val="00D42037"/>
    <w:rsid w:val="00D4280E"/>
    <w:rsid w:val="00D46CE1"/>
    <w:rsid w:val="00D47FF1"/>
    <w:rsid w:val="00D5039C"/>
    <w:rsid w:val="00D64EC2"/>
    <w:rsid w:val="00D64FBA"/>
    <w:rsid w:val="00D66347"/>
    <w:rsid w:val="00D764D2"/>
    <w:rsid w:val="00D76D76"/>
    <w:rsid w:val="00D81D66"/>
    <w:rsid w:val="00D82355"/>
    <w:rsid w:val="00D90A6C"/>
    <w:rsid w:val="00D9774C"/>
    <w:rsid w:val="00DA3643"/>
    <w:rsid w:val="00DA5C94"/>
    <w:rsid w:val="00DA73BA"/>
    <w:rsid w:val="00DC218E"/>
    <w:rsid w:val="00DD14B8"/>
    <w:rsid w:val="00DD1779"/>
    <w:rsid w:val="00DD50C9"/>
    <w:rsid w:val="00DD62EC"/>
    <w:rsid w:val="00DD6DA2"/>
    <w:rsid w:val="00DD7E28"/>
    <w:rsid w:val="00DE0540"/>
    <w:rsid w:val="00DE7B0B"/>
    <w:rsid w:val="00DF24F2"/>
    <w:rsid w:val="00DF463B"/>
    <w:rsid w:val="00DF71A4"/>
    <w:rsid w:val="00E11953"/>
    <w:rsid w:val="00E205AD"/>
    <w:rsid w:val="00E21CC7"/>
    <w:rsid w:val="00E277AA"/>
    <w:rsid w:val="00E42864"/>
    <w:rsid w:val="00E44FFE"/>
    <w:rsid w:val="00E45508"/>
    <w:rsid w:val="00E462ED"/>
    <w:rsid w:val="00E5333F"/>
    <w:rsid w:val="00E634F3"/>
    <w:rsid w:val="00E64121"/>
    <w:rsid w:val="00E669A7"/>
    <w:rsid w:val="00E66A27"/>
    <w:rsid w:val="00E703F8"/>
    <w:rsid w:val="00E81D67"/>
    <w:rsid w:val="00E84B7A"/>
    <w:rsid w:val="00E954DF"/>
    <w:rsid w:val="00E97793"/>
    <w:rsid w:val="00EA1DBD"/>
    <w:rsid w:val="00EA3440"/>
    <w:rsid w:val="00EA4A15"/>
    <w:rsid w:val="00EA65F9"/>
    <w:rsid w:val="00EA7C2B"/>
    <w:rsid w:val="00EB4CD2"/>
    <w:rsid w:val="00EC17B9"/>
    <w:rsid w:val="00ED0069"/>
    <w:rsid w:val="00ED1851"/>
    <w:rsid w:val="00ED3B0C"/>
    <w:rsid w:val="00EE5162"/>
    <w:rsid w:val="00EE58F6"/>
    <w:rsid w:val="00EE6128"/>
    <w:rsid w:val="00EE7D32"/>
    <w:rsid w:val="00F0310D"/>
    <w:rsid w:val="00F071E5"/>
    <w:rsid w:val="00F1102B"/>
    <w:rsid w:val="00F11A5D"/>
    <w:rsid w:val="00F11B7B"/>
    <w:rsid w:val="00F14753"/>
    <w:rsid w:val="00F15DAD"/>
    <w:rsid w:val="00F24AF3"/>
    <w:rsid w:val="00F24BBA"/>
    <w:rsid w:val="00F26FD5"/>
    <w:rsid w:val="00F3128D"/>
    <w:rsid w:val="00F336F1"/>
    <w:rsid w:val="00F364C9"/>
    <w:rsid w:val="00F36550"/>
    <w:rsid w:val="00F47459"/>
    <w:rsid w:val="00F52499"/>
    <w:rsid w:val="00F60231"/>
    <w:rsid w:val="00F6035B"/>
    <w:rsid w:val="00F605B4"/>
    <w:rsid w:val="00F63CCF"/>
    <w:rsid w:val="00F67F0B"/>
    <w:rsid w:val="00F738F5"/>
    <w:rsid w:val="00F73E64"/>
    <w:rsid w:val="00F76741"/>
    <w:rsid w:val="00F818D1"/>
    <w:rsid w:val="00F83437"/>
    <w:rsid w:val="00F8687F"/>
    <w:rsid w:val="00F87A3F"/>
    <w:rsid w:val="00F903F2"/>
    <w:rsid w:val="00F974F4"/>
    <w:rsid w:val="00FA556B"/>
    <w:rsid w:val="00FB0EDD"/>
    <w:rsid w:val="00FD090D"/>
    <w:rsid w:val="00FD311A"/>
    <w:rsid w:val="00FE3DE6"/>
    <w:rsid w:val="00FF2751"/>
    <w:rsid w:val="00FF42FF"/>
    <w:rsid w:val="00FF44C7"/>
    <w:rsid w:val="00FF5721"/>
    <w:rsid w:val="016F542F"/>
    <w:rsid w:val="018856AF"/>
    <w:rsid w:val="02201D8C"/>
    <w:rsid w:val="035C6DF3"/>
    <w:rsid w:val="041A1F5F"/>
    <w:rsid w:val="042C5269"/>
    <w:rsid w:val="042D382F"/>
    <w:rsid w:val="0557339A"/>
    <w:rsid w:val="055C7711"/>
    <w:rsid w:val="05DF7EC9"/>
    <w:rsid w:val="07322345"/>
    <w:rsid w:val="08685720"/>
    <w:rsid w:val="09523172"/>
    <w:rsid w:val="095E533A"/>
    <w:rsid w:val="09737748"/>
    <w:rsid w:val="09CB3E6C"/>
    <w:rsid w:val="0A467C2A"/>
    <w:rsid w:val="0B7C1EC2"/>
    <w:rsid w:val="0C000C64"/>
    <w:rsid w:val="0E9E69EA"/>
    <w:rsid w:val="0F3155D8"/>
    <w:rsid w:val="102F5453"/>
    <w:rsid w:val="10E2302E"/>
    <w:rsid w:val="10F2066B"/>
    <w:rsid w:val="11333889"/>
    <w:rsid w:val="12104913"/>
    <w:rsid w:val="123553DF"/>
    <w:rsid w:val="127203E1"/>
    <w:rsid w:val="12DC491E"/>
    <w:rsid w:val="139F42BB"/>
    <w:rsid w:val="13BB4AA7"/>
    <w:rsid w:val="13D555E0"/>
    <w:rsid w:val="13EB21F9"/>
    <w:rsid w:val="150A67C0"/>
    <w:rsid w:val="15BF393E"/>
    <w:rsid w:val="165A3666"/>
    <w:rsid w:val="16C0151F"/>
    <w:rsid w:val="17320320"/>
    <w:rsid w:val="17514A69"/>
    <w:rsid w:val="177F7EEB"/>
    <w:rsid w:val="18D71108"/>
    <w:rsid w:val="1A8C5DB8"/>
    <w:rsid w:val="1B6F536C"/>
    <w:rsid w:val="1BFB1448"/>
    <w:rsid w:val="1C4921B3"/>
    <w:rsid w:val="1D350989"/>
    <w:rsid w:val="1D497F91"/>
    <w:rsid w:val="1DE86925"/>
    <w:rsid w:val="1E36398F"/>
    <w:rsid w:val="1E454BFC"/>
    <w:rsid w:val="1EBE6C2A"/>
    <w:rsid w:val="1ED71B20"/>
    <w:rsid w:val="1EF60BCC"/>
    <w:rsid w:val="1F37D70C"/>
    <w:rsid w:val="1F721A21"/>
    <w:rsid w:val="20790CA3"/>
    <w:rsid w:val="213E7838"/>
    <w:rsid w:val="226B0733"/>
    <w:rsid w:val="22B367DD"/>
    <w:rsid w:val="23AEBD1D"/>
    <w:rsid w:val="2460453E"/>
    <w:rsid w:val="247E0A3F"/>
    <w:rsid w:val="252C2672"/>
    <w:rsid w:val="25553232"/>
    <w:rsid w:val="256E67E6"/>
    <w:rsid w:val="25CF3F3D"/>
    <w:rsid w:val="269454CA"/>
    <w:rsid w:val="26BE554B"/>
    <w:rsid w:val="279D0DF3"/>
    <w:rsid w:val="27BEE0D0"/>
    <w:rsid w:val="28A1046E"/>
    <w:rsid w:val="2A3B7EEE"/>
    <w:rsid w:val="2AD4621A"/>
    <w:rsid w:val="2B3BE405"/>
    <w:rsid w:val="2C071743"/>
    <w:rsid w:val="2CFF1FDB"/>
    <w:rsid w:val="2D381875"/>
    <w:rsid w:val="2D55028C"/>
    <w:rsid w:val="2FAA2B11"/>
    <w:rsid w:val="2FAA48BF"/>
    <w:rsid w:val="3053163A"/>
    <w:rsid w:val="306C6018"/>
    <w:rsid w:val="30A042C0"/>
    <w:rsid w:val="315C7E3B"/>
    <w:rsid w:val="34AB4619"/>
    <w:rsid w:val="34DF500B"/>
    <w:rsid w:val="36BF6BA0"/>
    <w:rsid w:val="36DF7544"/>
    <w:rsid w:val="372B303E"/>
    <w:rsid w:val="377E4FAF"/>
    <w:rsid w:val="37851A13"/>
    <w:rsid w:val="378E2D18"/>
    <w:rsid w:val="38E2156D"/>
    <w:rsid w:val="38FC07B2"/>
    <w:rsid w:val="39643D30"/>
    <w:rsid w:val="39740AA8"/>
    <w:rsid w:val="3A5B56ED"/>
    <w:rsid w:val="3B2B1381"/>
    <w:rsid w:val="3B3B31B7"/>
    <w:rsid w:val="3B711262"/>
    <w:rsid w:val="3BE92C13"/>
    <w:rsid w:val="3C5E4197"/>
    <w:rsid w:val="3E8310FD"/>
    <w:rsid w:val="3E9B5C32"/>
    <w:rsid w:val="3F4E50D7"/>
    <w:rsid w:val="3F6E3B5B"/>
    <w:rsid w:val="3FFB6185"/>
    <w:rsid w:val="4084115C"/>
    <w:rsid w:val="40C12E07"/>
    <w:rsid w:val="417E204F"/>
    <w:rsid w:val="418D6D69"/>
    <w:rsid w:val="41E01715"/>
    <w:rsid w:val="42386BE7"/>
    <w:rsid w:val="423C1CEE"/>
    <w:rsid w:val="434A043B"/>
    <w:rsid w:val="43AC52C1"/>
    <w:rsid w:val="44D34460"/>
    <w:rsid w:val="454B602A"/>
    <w:rsid w:val="468C2B19"/>
    <w:rsid w:val="46B52BDC"/>
    <w:rsid w:val="476B4468"/>
    <w:rsid w:val="48895562"/>
    <w:rsid w:val="49A95790"/>
    <w:rsid w:val="49D302BB"/>
    <w:rsid w:val="4A011285"/>
    <w:rsid w:val="4D803FB7"/>
    <w:rsid w:val="4DDD0594"/>
    <w:rsid w:val="4EBD72A6"/>
    <w:rsid w:val="4ED908C5"/>
    <w:rsid w:val="4EEE4370"/>
    <w:rsid w:val="4F2C4E99"/>
    <w:rsid w:val="4FB1539E"/>
    <w:rsid w:val="501E1B2D"/>
    <w:rsid w:val="501E78C4"/>
    <w:rsid w:val="508D5E0B"/>
    <w:rsid w:val="51450494"/>
    <w:rsid w:val="52A015A2"/>
    <w:rsid w:val="52E47855"/>
    <w:rsid w:val="53200DE8"/>
    <w:rsid w:val="536150D8"/>
    <w:rsid w:val="538F0EAB"/>
    <w:rsid w:val="53E2308F"/>
    <w:rsid w:val="544573E6"/>
    <w:rsid w:val="54AD15D5"/>
    <w:rsid w:val="54DB76D3"/>
    <w:rsid w:val="567F18A1"/>
    <w:rsid w:val="56AB0D99"/>
    <w:rsid w:val="57146841"/>
    <w:rsid w:val="57201787"/>
    <w:rsid w:val="57511940"/>
    <w:rsid w:val="575E5E0B"/>
    <w:rsid w:val="57FF3A11"/>
    <w:rsid w:val="58343828"/>
    <w:rsid w:val="594D5707"/>
    <w:rsid w:val="599D1F50"/>
    <w:rsid w:val="5AAF7D22"/>
    <w:rsid w:val="5AD24089"/>
    <w:rsid w:val="5B58A2FE"/>
    <w:rsid w:val="5B9206E8"/>
    <w:rsid w:val="5BD26DC8"/>
    <w:rsid w:val="5BED7F2A"/>
    <w:rsid w:val="5C427641"/>
    <w:rsid w:val="5CF80AB0"/>
    <w:rsid w:val="5D757C05"/>
    <w:rsid w:val="5E492765"/>
    <w:rsid w:val="5E587819"/>
    <w:rsid w:val="5E6737F7"/>
    <w:rsid w:val="5E8D2D85"/>
    <w:rsid w:val="5F37766E"/>
    <w:rsid w:val="5F5D32C5"/>
    <w:rsid w:val="5F7F1312"/>
    <w:rsid w:val="5FBD3716"/>
    <w:rsid w:val="603B4F3C"/>
    <w:rsid w:val="60DB671F"/>
    <w:rsid w:val="61368E14"/>
    <w:rsid w:val="61846D81"/>
    <w:rsid w:val="624873A7"/>
    <w:rsid w:val="628B6A2F"/>
    <w:rsid w:val="62CA6A4B"/>
    <w:rsid w:val="62E23D94"/>
    <w:rsid w:val="630C7063"/>
    <w:rsid w:val="63161C90"/>
    <w:rsid w:val="636429FB"/>
    <w:rsid w:val="63A97C4E"/>
    <w:rsid w:val="64273441"/>
    <w:rsid w:val="64632CB3"/>
    <w:rsid w:val="64E57B6C"/>
    <w:rsid w:val="64F953C5"/>
    <w:rsid w:val="665B6338"/>
    <w:rsid w:val="67220C03"/>
    <w:rsid w:val="67565413"/>
    <w:rsid w:val="677AE7E7"/>
    <w:rsid w:val="685017A0"/>
    <w:rsid w:val="68906E9A"/>
    <w:rsid w:val="68C857DA"/>
    <w:rsid w:val="69635503"/>
    <w:rsid w:val="69D6326D"/>
    <w:rsid w:val="6ACD1F90"/>
    <w:rsid w:val="6B4725CD"/>
    <w:rsid w:val="6BF6265F"/>
    <w:rsid w:val="6CDC18FD"/>
    <w:rsid w:val="6D2F7BD6"/>
    <w:rsid w:val="6D5E670D"/>
    <w:rsid w:val="6D605FE2"/>
    <w:rsid w:val="6DDB623B"/>
    <w:rsid w:val="6DFACC19"/>
    <w:rsid w:val="6E8A2AF2"/>
    <w:rsid w:val="6E9C2AA6"/>
    <w:rsid w:val="6ED43B78"/>
    <w:rsid w:val="6EEF83CB"/>
    <w:rsid w:val="6EFD7758"/>
    <w:rsid w:val="6F54601A"/>
    <w:rsid w:val="6FE90AB5"/>
    <w:rsid w:val="6FFB6A16"/>
    <w:rsid w:val="710870BC"/>
    <w:rsid w:val="719E532A"/>
    <w:rsid w:val="725032DA"/>
    <w:rsid w:val="72556331"/>
    <w:rsid w:val="72BC2352"/>
    <w:rsid w:val="72DA2FB0"/>
    <w:rsid w:val="72FF8970"/>
    <w:rsid w:val="730536A0"/>
    <w:rsid w:val="730D0F69"/>
    <w:rsid w:val="73250229"/>
    <w:rsid w:val="733D66DD"/>
    <w:rsid w:val="737E67BE"/>
    <w:rsid w:val="73966C01"/>
    <w:rsid w:val="73C67B77"/>
    <w:rsid w:val="73ED3197"/>
    <w:rsid w:val="755378C0"/>
    <w:rsid w:val="75F220E9"/>
    <w:rsid w:val="768EC742"/>
    <w:rsid w:val="772234F8"/>
    <w:rsid w:val="779DECBB"/>
    <w:rsid w:val="78811502"/>
    <w:rsid w:val="78D36201"/>
    <w:rsid w:val="78D37021"/>
    <w:rsid w:val="79B25E17"/>
    <w:rsid w:val="79FF21D2"/>
    <w:rsid w:val="7A6B246A"/>
    <w:rsid w:val="7ADBEB0A"/>
    <w:rsid w:val="7BFEE89B"/>
    <w:rsid w:val="7CD4368C"/>
    <w:rsid w:val="7D3134F6"/>
    <w:rsid w:val="7D342FE7"/>
    <w:rsid w:val="7D9046C1"/>
    <w:rsid w:val="7DA95754"/>
    <w:rsid w:val="7DAB2B64"/>
    <w:rsid w:val="7DD20F6A"/>
    <w:rsid w:val="7DFFB0FD"/>
    <w:rsid w:val="7EAAEC60"/>
    <w:rsid w:val="7EF8E3A7"/>
    <w:rsid w:val="7F65AF13"/>
    <w:rsid w:val="7FCCC35A"/>
    <w:rsid w:val="7FD46E6D"/>
    <w:rsid w:val="7FDDF3E3"/>
    <w:rsid w:val="7FE34694"/>
    <w:rsid w:val="93FF2B35"/>
    <w:rsid w:val="95D960B1"/>
    <w:rsid w:val="9F6F112B"/>
    <w:rsid w:val="9FDE42A9"/>
    <w:rsid w:val="A7DF8993"/>
    <w:rsid w:val="AAEF2BCF"/>
    <w:rsid w:val="AD5F1628"/>
    <w:rsid w:val="ADEFDBD8"/>
    <w:rsid w:val="ADF73CB8"/>
    <w:rsid w:val="BB9F0A98"/>
    <w:rsid w:val="BEAB0F3A"/>
    <w:rsid w:val="BEF3C8C9"/>
    <w:rsid w:val="BFAF3716"/>
    <w:rsid w:val="D3B1434D"/>
    <w:rsid w:val="D7F710FF"/>
    <w:rsid w:val="DFF3991B"/>
    <w:rsid w:val="E0FCF395"/>
    <w:rsid w:val="E2F3DD60"/>
    <w:rsid w:val="E7DA3CCC"/>
    <w:rsid w:val="E7EF8EB0"/>
    <w:rsid w:val="EBDB71DA"/>
    <w:rsid w:val="EDBF7F88"/>
    <w:rsid w:val="EED7F516"/>
    <w:rsid w:val="EF2BD5CC"/>
    <w:rsid w:val="EFED4054"/>
    <w:rsid w:val="EFFE398C"/>
    <w:rsid w:val="EFFF2433"/>
    <w:rsid w:val="F5AF4A23"/>
    <w:rsid w:val="F9BD977C"/>
    <w:rsid w:val="F9FBED4B"/>
    <w:rsid w:val="FAFEA36E"/>
    <w:rsid w:val="FAFFAE50"/>
    <w:rsid w:val="FBE22D01"/>
    <w:rsid w:val="FCEE867A"/>
    <w:rsid w:val="FDB7CFEB"/>
    <w:rsid w:val="FDD794F4"/>
    <w:rsid w:val="FDF6D2BF"/>
    <w:rsid w:val="FE2938DB"/>
    <w:rsid w:val="FF5F3AC9"/>
    <w:rsid w:val="FF6C7275"/>
    <w:rsid w:val="FF976428"/>
    <w:rsid w:val="FFBDA118"/>
    <w:rsid w:val="FFC3961E"/>
    <w:rsid w:val="FFDB003C"/>
    <w:rsid w:val="FFDD8663"/>
    <w:rsid w:val="FFDF1266"/>
    <w:rsid w:val="FFF777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5"/>
    <w:unhideWhenUsed/>
    <w:qFormat/>
    <w:uiPriority w:val="0"/>
    <w:pPr>
      <w:spacing w:after="120"/>
    </w:pPr>
  </w:style>
  <w:style w:type="paragraph" w:styleId="6">
    <w:name w:val="Normal Indent"/>
    <w:basedOn w:val="1"/>
    <w:qFormat/>
    <w:uiPriority w:val="99"/>
    <w:pPr>
      <w:ind w:firstLine="420" w:firstLineChars="200"/>
    </w:pPr>
  </w:style>
  <w:style w:type="paragraph" w:styleId="7">
    <w:name w:val="annotation text"/>
    <w:basedOn w:val="1"/>
    <w:link w:val="29"/>
    <w:qFormat/>
    <w:uiPriority w:val="99"/>
    <w:pPr>
      <w:jc w:val="left"/>
    </w:pPr>
    <w:rPr>
      <w:rFonts w:ascii="Calibri" w:hAnsi="Calibri"/>
      <w:szCs w:val="22"/>
    </w:rPr>
  </w:style>
  <w:style w:type="paragraph" w:styleId="8">
    <w:name w:val="Body Text Indent"/>
    <w:basedOn w:val="1"/>
    <w:link w:val="30"/>
    <w:semiHidden/>
    <w:unhideWhenUsed/>
    <w:qFormat/>
    <w:uiPriority w:val="99"/>
    <w:pPr>
      <w:spacing w:after="120"/>
      <w:ind w:left="420" w:leftChars="200"/>
    </w:pPr>
  </w:style>
  <w:style w:type="paragraph" w:styleId="9">
    <w:name w:val="Plain Text"/>
    <w:basedOn w:val="1"/>
    <w:link w:val="31"/>
    <w:qFormat/>
    <w:uiPriority w:val="0"/>
    <w:rPr>
      <w:rFonts w:ascii="宋体" w:hAnsi="Courier New"/>
      <w:kern w:val="0"/>
      <w:sz w:val="20"/>
      <w:szCs w:val="21"/>
      <w:lang w:val="zh-CN"/>
    </w:rPr>
  </w:style>
  <w:style w:type="paragraph" w:styleId="10">
    <w:name w:val="Date"/>
    <w:basedOn w:val="1"/>
    <w:next w:val="1"/>
    <w:link w:val="32"/>
    <w:semiHidden/>
    <w:unhideWhenUsed/>
    <w:qFormat/>
    <w:uiPriority w:val="99"/>
    <w:pPr>
      <w:ind w:left="100" w:leftChars="2500"/>
    </w:pPr>
  </w:style>
  <w:style w:type="paragraph" w:styleId="11">
    <w:name w:val="Balloon Text"/>
    <w:basedOn w:val="1"/>
    <w:link w:val="33"/>
    <w:semiHidden/>
    <w:unhideWhenUsed/>
    <w:qFormat/>
    <w:uiPriority w:val="99"/>
    <w:rPr>
      <w:sz w:val="18"/>
      <w:szCs w:val="18"/>
    </w:rPr>
  </w:style>
  <w:style w:type="paragraph" w:styleId="12">
    <w:name w:val="footer"/>
    <w:basedOn w:val="1"/>
    <w:link w:val="34"/>
    <w:unhideWhenUsed/>
    <w:qFormat/>
    <w:uiPriority w:val="99"/>
    <w:pPr>
      <w:tabs>
        <w:tab w:val="center" w:pos="4153"/>
        <w:tab w:val="right" w:pos="8306"/>
      </w:tabs>
      <w:snapToGrid w:val="0"/>
      <w:jc w:val="left"/>
    </w:pPr>
    <w:rPr>
      <w:sz w:val="18"/>
    </w:rPr>
  </w:style>
  <w:style w:type="paragraph" w:styleId="13">
    <w:name w:val="header"/>
    <w:basedOn w:val="1"/>
    <w:link w:val="3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pPr>
      <w:tabs>
        <w:tab w:val="right" w:leader="dot" w:pos="8835"/>
      </w:tabs>
      <w:spacing w:before="120" w:after="120"/>
      <w:jc w:val="left"/>
    </w:pPr>
    <w:rPr>
      <w:rFonts w:eastAsia="仿宋_GB2312"/>
      <w:b/>
      <w:bCs/>
      <w:caps/>
      <w:sz w:val="30"/>
      <w:szCs w:val="3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6"/>
    <w:semiHidden/>
    <w:unhideWhenUsed/>
    <w:qFormat/>
    <w:uiPriority w:val="99"/>
    <w:rPr>
      <w:rFonts w:ascii="Times New Roman" w:hAnsi="Times New Roman"/>
      <w:b/>
      <w:bCs/>
      <w:szCs w:val="24"/>
    </w:rPr>
  </w:style>
  <w:style w:type="paragraph" w:styleId="17">
    <w:name w:val="Body Text First Indent 2"/>
    <w:basedOn w:val="8"/>
    <w:link w:val="37"/>
    <w:unhideWhenUsed/>
    <w:qFormat/>
    <w:uiPriority w:val="99"/>
    <w:pPr>
      <w:ind w:firstLine="420" w:firstLineChars="200"/>
    </w:pPr>
  </w:style>
  <w:style w:type="character" w:styleId="20">
    <w:name w:val="page number"/>
    <w:qFormat/>
    <w:uiPriority w:val="0"/>
    <w:rPr>
      <w:rFonts w:ascii="Times New Roman" w:hAnsi="Times New Roman" w:eastAsia="宋体" w:cs="Times New Roman"/>
    </w:rPr>
  </w:style>
  <w:style w:type="character" w:styleId="21">
    <w:name w:val="FollowedHyperlink"/>
    <w:basedOn w:val="19"/>
    <w:semiHidden/>
    <w:unhideWhenUsed/>
    <w:qFormat/>
    <w:uiPriority w:val="99"/>
    <w:rPr>
      <w:color w:val="800080"/>
      <w:u w:val="single"/>
    </w:rPr>
  </w:style>
  <w:style w:type="character" w:styleId="22">
    <w:name w:val="Emphasis"/>
    <w:basedOn w:val="19"/>
    <w:qFormat/>
    <w:uiPriority w:val="20"/>
    <w:rPr>
      <w:i/>
      <w:iCs/>
    </w:rPr>
  </w:style>
  <w:style w:type="character" w:styleId="23">
    <w:name w:val="Hyperlink"/>
    <w:basedOn w:val="19"/>
    <w:semiHidden/>
    <w:unhideWhenUsed/>
    <w:qFormat/>
    <w:uiPriority w:val="99"/>
    <w:rPr>
      <w:color w:val="0000FF"/>
      <w:u w:val="single"/>
    </w:rPr>
  </w:style>
  <w:style w:type="character" w:styleId="24">
    <w:name w:val="annotation reference"/>
    <w:qFormat/>
    <w:uiPriority w:val="99"/>
    <w:rPr>
      <w:sz w:val="21"/>
      <w:szCs w:val="21"/>
    </w:rPr>
  </w:style>
  <w:style w:type="character" w:customStyle="1" w:styleId="25">
    <w:name w:val="正文文本 Char"/>
    <w:basedOn w:val="19"/>
    <w:link w:val="2"/>
    <w:qFormat/>
    <w:uiPriority w:val="0"/>
    <w:rPr>
      <w:kern w:val="2"/>
      <w:sz w:val="21"/>
      <w:szCs w:val="24"/>
    </w:rPr>
  </w:style>
  <w:style w:type="character" w:customStyle="1" w:styleId="26">
    <w:name w:val="标题 1 Char"/>
    <w:basedOn w:val="19"/>
    <w:link w:val="3"/>
    <w:qFormat/>
    <w:uiPriority w:val="9"/>
    <w:rPr>
      <w:rFonts w:ascii="Times New Roman" w:hAnsi="Times New Roman" w:eastAsia="宋体" w:cs="Times New Roman"/>
      <w:b/>
      <w:bCs/>
      <w:kern w:val="44"/>
      <w:sz w:val="44"/>
      <w:szCs w:val="44"/>
    </w:rPr>
  </w:style>
  <w:style w:type="character" w:customStyle="1" w:styleId="27">
    <w:name w:val="标题 2 Char"/>
    <w:basedOn w:val="19"/>
    <w:link w:val="4"/>
    <w:qFormat/>
    <w:uiPriority w:val="9"/>
    <w:rPr>
      <w:rFonts w:asciiTheme="majorHAnsi" w:hAnsiTheme="majorHAnsi" w:eastAsiaTheme="majorEastAsia" w:cstheme="majorBidi"/>
      <w:b/>
      <w:bCs/>
      <w:sz w:val="32"/>
      <w:szCs w:val="32"/>
    </w:rPr>
  </w:style>
  <w:style w:type="character" w:customStyle="1" w:styleId="28">
    <w:name w:val="标题 3 Char"/>
    <w:basedOn w:val="19"/>
    <w:link w:val="5"/>
    <w:semiHidden/>
    <w:qFormat/>
    <w:uiPriority w:val="9"/>
    <w:rPr>
      <w:rFonts w:ascii="Times New Roman" w:hAnsi="Times New Roman" w:eastAsia="宋体" w:cs="Times New Roman"/>
      <w:b/>
      <w:bCs/>
      <w:sz w:val="32"/>
      <w:szCs w:val="32"/>
    </w:rPr>
  </w:style>
  <w:style w:type="character" w:customStyle="1" w:styleId="29">
    <w:name w:val="批注文字 Char"/>
    <w:basedOn w:val="19"/>
    <w:link w:val="7"/>
    <w:qFormat/>
    <w:uiPriority w:val="99"/>
    <w:rPr>
      <w:rFonts w:ascii="Calibri" w:hAnsi="Calibri" w:eastAsia="宋体" w:cs="Times New Roman"/>
    </w:rPr>
  </w:style>
  <w:style w:type="character" w:customStyle="1" w:styleId="30">
    <w:name w:val="正文文本缩进 Char"/>
    <w:basedOn w:val="19"/>
    <w:link w:val="8"/>
    <w:semiHidden/>
    <w:qFormat/>
    <w:uiPriority w:val="99"/>
    <w:rPr>
      <w:rFonts w:ascii="Times New Roman" w:hAnsi="Times New Roman" w:eastAsia="宋体" w:cs="Times New Roman"/>
      <w:szCs w:val="24"/>
    </w:rPr>
  </w:style>
  <w:style w:type="character" w:customStyle="1" w:styleId="31">
    <w:name w:val="纯文本 Char1"/>
    <w:link w:val="9"/>
    <w:qFormat/>
    <w:uiPriority w:val="0"/>
    <w:rPr>
      <w:rFonts w:ascii="宋体" w:hAnsi="Courier New" w:eastAsia="宋体" w:cs="Times New Roman"/>
      <w:kern w:val="0"/>
      <w:sz w:val="20"/>
      <w:szCs w:val="21"/>
      <w:lang w:val="zh-CN" w:eastAsia="zh-CN"/>
    </w:rPr>
  </w:style>
  <w:style w:type="character" w:customStyle="1" w:styleId="32">
    <w:name w:val="日期 Char"/>
    <w:basedOn w:val="19"/>
    <w:link w:val="10"/>
    <w:semiHidden/>
    <w:qFormat/>
    <w:uiPriority w:val="99"/>
    <w:rPr>
      <w:kern w:val="2"/>
      <w:sz w:val="21"/>
      <w:szCs w:val="24"/>
    </w:rPr>
  </w:style>
  <w:style w:type="character" w:customStyle="1" w:styleId="33">
    <w:name w:val="批注框文本 Char"/>
    <w:basedOn w:val="19"/>
    <w:link w:val="11"/>
    <w:semiHidden/>
    <w:qFormat/>
    <w:uiPriority w:val="99"/>
    <w:rPr>
      <w:rFonts w:ascii="Times New Roman" w:hAnsi="Times New Roman" w:eastAsia="宋体" w:cs="Times New Roman"/>
      <w:kern w:val="2"/>
      <w:sz w:val="18"/>
      <w:szCs w:val="18"/>
    </w:rPr>
  </w:style>
  <w:style w:type="character" w:customStyle="1" w:styleId="34">
    <w:name w:val="页脚 Char"/>
    <w:basedOn w:val="19"/>
    <w:link w:val="12"/>
    <w:qFormat/>
    <w:uiPriority w:val="99"/>
    <w:rPr>
      <w:kern w:val="2"/>
      <w:sz w:val="18"/>
      <w:szCs w:val="24"/>
    </w:rPr>
  </w:style>
  <w:style w:type="character" w:customStyle="1" w:styleId="35">
    <w:name w:val="页眉 Char"/>
    <w:basedOn w:val="19"/>
    <w:link w:val="13"/>
    <w:qFormat/>
    <w:uiPriority w:val="99"/>
    <w:rPr>
      <w:kern w:val="2"/>
      <w:sz w:val="18"/>
      <w:szCs w:val="24"/>
    </w:rPr>
  </w:style>
  <w:style w:type="character" w:customStyle="1" w:styleId="36">
    <w:name w:val="批注主题 Char"/>
    <w:basedOn w:val="29"/>
    <w:link w:val="16"/>
    <w:semiHidden/>
    <w:qFormat/>
    <w:uiPriority w:val="99"/>
    <w:rPr>
      <w:rFonts w:ascii="Times New Roman" w:hAnsi="Times New Roman" w:eastAsia="宋体" w:cs="Times New Roman"/>
      <w:b/>
      <w:bCs/>
      <w:szCs w:val="24"/>
    </w:rPr>
  </w:style>
  <w:style w:type="character" w:customStyle="1" w:styleId="37">
    <w:name w:val="正文首行缩进 2 Char"/>
    <w:basedOn w:val="30"/>
    <w:link w:val="17"/>
    <w:qFormat/>
    <w:uiPriority w:val="99"/>
    <w:rPr>
      <w:rFonts w:ascii="Times New Roman" w:hAnsi="Times New Roman" w:eastAsia="宋体" w:cs="Times New Roman"/>
      <w:szCs w:val="24"/>
    </w:rPr>
  </w:style>
  <w:style w:type="character" w:customStyle="1" w:styleId="38">
    <w:name w:val="纯文本 字符"/>
    <w:basedOn w:val="19"/>
    <w:semiHidden/>
    <w:qFormat/>
    <w:uiPriority w:val="99"/>
    <w:rPr>
      <w:rFonts w:hAnsi="Courier New" w:cs="Courier New" w:asciiTheme="minorEastAsia"/>
      <w:szCs w:val="24"/>
    </w:rPr>
  </w:style>
  <w:style w:type="character" w:customStyle="1" w:styleId="39">
    <w:name w:val="纯文本 Char"/>
    <w:qFormat/>
    <w:uiPriority w:val="0"/>
    <w:rPr>
      <w:rFonts w:ascii="宋体" w:hAnsi="Courier New"/>
      <w:szCs w:val="21"/>
    </w:rPr>
  </w:style>
  <w:style w:type="paragraph" w:customStyle="1" w:styleId="40">
    <w:name w:val="font5"/>
    <w:basedOn w:val="1"/>
    <w:qFormat/>
    <w:uiPriority w:val="0"/>
    <w:pPr>
      <w:widowControl/>
      <w:spacing w:before="100" w:beforeAutospacing="1" w:after="100" w:afterAutospacing="1"/>
      <w:jc w:val="left"/>
    </w:pPr>
    <w:rPr>
      <w:rFonts w:ascii="黑体" w:hAnsi="黑体" w:eastAsia="黑体" w:cs="宋体"/>
      <w:color w:val="000000"/>
      <w:kern w:val="0"/>
      <w:szCs w:val="21"/>
    </w:rPr>
  </w:style>
  <w:style w:type="paragraph" w:customStyle="1" w:styleId="41">
    <w:name w:val="font6"/>
    <w:basedOn w:val="1"/>
    <w:qFormat/>
    <w:uiPriority w:val="0"/>
    <w:pPr>
      <w:widowControl/>
      <w:spacing w:before="100" w:beforeAutospacing="1" w:after="100" w:afterAutospacing="1"/>
      <w:jc w:val="left"/>
    </w:pPr>
    <w:rPr>
      <w:rFonts w:ascii="Arial" w:hAnsi="Arial" w:cs="Arial"/>
      <w:color w:val="000000"/>
      <w:kern w:val="0"/>
      <w:szCs w:val="21"/>
    </w:rPr>
  </w:style>
  <w:style w:type="paragraph" w:customStyle="1" w:styleId="42">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xl6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44">
    <w:name w:val="xl6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黑体" w:hAnsi="黑体" w:eastAsia="黑体" w:cs="宋体"/>
      <w:kern w:val="0"/>
      <w:szCs w:val="21"/>
    </w:rPr>
  </w:style>
  <w:style w:type="paragraph" w:customStyle="1" w:styleId="45">
    <w:name w:val="xl6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黑体" w:hAnsi="黑体" w:eastAsia="黑体" w:cs="宋体"/>
      <w:kern w:val="0"/>
      <w:szCs w:val="21"/>
    </w:rPr>
  </w:style>
  <w:style w:type="paragraph" w:customStyle="1" w:styleId="46">
    <w:name w:val="xl6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黑体" w:hAnsi="黑体" w:eastAsia="黑体" w:cs="宋体"/>
      <w:kern w:val="0"/>
      <w:szCs w:val="21"/>
    </w:rPr>
  </w:style>
  <w:style w:type="paragraph" w:customStyle="1" w:styleId="47">
    <w:name w:val="xl7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黑体" w:hAnsi="黑体" w:eastAsia="黑体" w:cs="宋体"/>
      <w:kern w:val="0"/>
      <w:szCs w:val="21"/>
    </w:rPr>
  </w:style>
  <w:style w:type="paragraph" w:customStyle="1" w:styleId="48">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黑体" w:hAnsi="黑体" w:eastAsia="黑体" w:cs="宋体"/>
      <w:kern w:val="0"/>
      <w:szCs w:val="21"/>
    </w:rPr>
  </w:style>
  <w:style w:type="paragraph" w:customStyle="1" w:styleId="49">
    <w:name w:val="xl7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黑体" w:hAnsi="黑体" w:eastAsia="黑体" w:cs="宋体"/>
      <w:kern w:val="0"/>
      <w:szCs w:val="21"/>
    </w:rPr>
  </w:style>
  <w:style w:type="paragraph" w:customStyle="1" w:styleId="50">
    <w:name w:val="xl73"/>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黑体" w:hAnsi="黑体" w:eastAsia="黑体" w:cs="宋体"/>
      <w:kern w:val="0"/>
      <w:szCs w:val="21"/>
    </w:rPr>
  </w:style>
  <w:style w:type="paragraph" w:customStyle="1" w:styleId="51">
    <w:name w:val="xl7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黑体" w:hAnsi="黑体" w:eastAsia="黑体" w:cs="宋体"/>
      <w:kern w:val="0"/>
      <w:szCs w:val="21"/>
    </w:rPr>
  </w:style>
  <w:style w:type="paragraph" w:styleId="5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AFF4A-6F1E-4D95-88C2-41871954D72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17536</Words>
  <Characters>18589</Characters>
  <Lines>141</Lines>
  <Paragraphs>39</Paragraphs>
  <TotalTime>59</TotalTime>
  <ScaleCrop>false</ScaleCrop>
  <LinksUpToDate>false</LinksUpToDate>
  <CharactersWithSpaces>18661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2023-04-19T05:39:00Z</dcterms:created>
  <dc:creator>Windows 用户</dc:creator>
  <cp:lastModifiedBy>开黑吗？我半6贼藏</cp:lastModifiedBy>
  <cp:lastPrinted>2023-03-20T08:56:00Z</cp:lastPrinted>
  <dcterms:modified xsi:type="dcterms:W3CDTF">2023-05-06T01:49:34Z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4BBB85081EBD4FC5B7B472BC8E794B0C</vt:lpwstr>
  </property>
</Properties>
</file>