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sz w:val="144"/>
          <w:szCs w:val="144"/>
          <w:lang w:eastAsia="zh-CN"/>
        </w:rPr>
      </w:pPr>
      <w:r>
        <w:rPr>
          <w:rFonts w:eastAsia="方正小标宋_GBK"/>
          <w:color w:val="FF0000"/>
          <w:spacing w:val="-4"/>
          <w:w w:val="50"/>
          <w:sz w:val="144"/>
          <w:szCs w:val="144"/>
        </w:rPr>
        <w:t>济南市天桥区人民政府文</w:t>
      </w:r>
      <w:r>
        <w:rPr>
          <w:rFonts w:eastAsia="方正小标宋_GBK"/>
          <w:color w:val="FF0000"/>
          <w:w w:val="50"/>
          <w:sz w:val="144"/>
          <w:szCs w:val="144"/>
        </w:rPr>
        <w:t>件</w:t>
      </w:r>
    </w:p>
    <w:p>
      <w:pPr>
        <w:spacing w:line="600" w:lineRule="exact"/>
        <w:ind w:firstLine="320" w:firstLineChars="100"/>
        <w:jc w:val="center"/>
        <w:rPr>
          <w:rFonts w:eastAsia="仿宋_GB2312"/>
          <w:snapToGrid w:val="0"/>
          <w:kern w:val="0"/>
          <w:sz w:val="32"/>
          <w:szCs w:val="32"/>
        </w:rPr>
      </w:pPr>
      <w:r>
        <w:rPr>
          <w:rFonts w:eastAsia="仿宋_GB2312"/>
          <w:sz w:val="32"/>
          <w:szCs w:val="32"/>
        </w:rPr>
        <w:t>济天政发〔20</w:t>
      </w:r>
      <w:r>
        <w:rPr>
          <w:rFonts w:hint="eastAsia"/>
          <w:sz w:val="32"/>
          <w:szCs w:val="32"/>
          <w:lang w:val="en-US" w:eastAsia="zh-CN"/>
        </w:rPr>
        <w:t>21</w:t>
      </w:r>
      <w:r>
        <w:rPr>
          <w:rFonts w:eastAsia="仿宋_GB2312"/>
          <w:sz w:val="32"/>
          <w:szCs w:val="32"/>
        </w:rPr>
        <w:t>〕</w:t>
      </w:r>
      <w:r>
        <w:rPr>
          <w:rFonts w:hint="eastAsia"/>
          <w:sz w:val="32"/>
          <w:szCs w:val="32"/>
          <w:lang w:val="en-US" w:eastAsia="zh-CN"/>
        </w:rPr>
        <w:t>4</w:t>
      </w:r>
      <w:r>
        <w:rPr>
          <w:rFonts w:eastAsia="仿宋_GB2312"/>
          <w:sz w:val="32"/>
          <w:szCs w:val="32"/>
        </w:rPr>
        <w:t>号</w:t>
      </w:r>
    </w:p>
    <w:p>
      <w:pPr>
        <w:jc w:val="center"/>
      </w:pPr>
      <w:r>
        <w:rPr>
          <w:color w:val="FF0000"/>
          <w:spacing w:val="-6"/>
          <w:w w:val="60"/>
          <w:sz w:val="120"/>
          <w:szCs w:val="1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137795</wp:posOffset>
                </wp:positionV>
                <wp:extent cx="5615940" cy="0"/>
                <wp:effectExtent l="0" t="12700" r="3810" b="1587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0.85pt;height:0pt;width:442.2pt;mso-position-horizontal:center;z-index:251659264;mso-width-relative:page;mso-height-relative:page;" filled="f" stroked="t" coordsize="21600,21600" o:gfxdata="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5Mgc1QAAAAYBAAAPAAAAAAAAAAEAIAAAACIAAABkcnMvZG93bnJldi54bWxQSwEC&#10;FAAUAAAACACHTuJAjH4AHvcBAADlAwAADgAAAAAAAAABACAAAAAkAQAAZHJzL2Uyb0RvYy54bWxQ&#10;SwUGAAAAAAYABgBZAQAAjQUAAAAA&#10;">
                <v:fill on="f" focussize="0,0"/>
                <v:stroke weight="2pt" color="#FF0000" joinstyle="round"/>
                <v:imagedata o:title=""/>
                <o:lock v:ext="edit" aspectratio="f"/>
              </v:line>
            </w:pict>
          </mc:Fallback>
        </mc:AlternateContent>
      </w:r>
    </w:p>
    <w:p>
      <w:pPr>
        <w:ind w:firstLine="0" w:firstLineChars="0"/>
        <w:jc w:val="center"/>
        <w:textAlignment w:val="baseline"/>
      </w:pPr>
    </w:p>
    <w:p>
      <w:pPr>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 xml:space="preserve">济南市天桥区人民政府 </w:t>
      </w:r>
    </w:p>
    <w:p>
      <w:pPr>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关于印发济南市天桥区国民经济和</w:t>
      </w:r>
    </w:p>
    <w:p>
      <w:pPr>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社会发展第十四个五年规划和二○三五年远景目标纲要的通知</w:t>
      </w:r>
    </w:p>
    <w:p>
      <w:pPr>
        <w:ind w:firstLine="0" w:firstLineChars="0"/>
        <w:jc w:val="center"/>
        <w:textAlignment w:val="baseline"/>
      </w:pPr>
    </w:p>
    <w:p>
      <w:pPr>
        <w:ind w:firstLine="0" w:firstLineChars="0"/>
        <w:jc w:val="center"/>
        <w:textAlignment w:val="baseline"/>
      </w:pPr>
      <w:r>
        <w:t xml:space="preserve"> </w:t>
      </w:r>
      <w:bookmarkStart w:id="41" w:name="_GoBack"/>
      <w:bookmarkEnd w:id="41"/>
    </w:p>
    <w:p>
      <w:pPr>
        <w:ind w:firstLine="0" w:firstLineChars="0"/>
        <w:textAlignment w:val="baseline"/>
        <w:rPr>
          <w:rFonts w:ascii="Times New Roman" w:hAnsi="Times New Roman" w:cs="Times New Roman"/>
        </w:rPr>
      </w:pPr>
      <w:r>
        <w:rPr>
          <w:rFonts w:ascii="Times New Roman" w:hAnsi="Times New Roman" w:cs="Times New Roman"/>
        </w:rPr>
        <w:t>各</w:t>
      </w:r>
      <w:r>
        <w:rPr>
          <w:rFonts w:hint="eastAsia" w:ascii="Times New Roman" w:hAnsi="Times New Roman" w:cs="Times New Roman"/>
        </w:rPr>
        <w:t>街道</w:t>
      </w:r>
      <w:r>
        <w:rPr>
          <w:rFonts w:ascii="Times New Roman" w:hAnsi="Times New Roman" w:cs="Times New Roman"/>
        </w:rPr>
        <w:t>办事处，区政府各部门</w:t>
      </w:r>
      <w:r>
        <w:rPr>
          <w:rFonts w:hint="eastAsia" w:ascii="Times New Roman" w:hAnsi="Times New Roman" w:cs="Times New Roman"/>
          <w:lang w:eastAsia="zh-CN"/>
        </w:rPr>
        <w:t>（单位）</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 </w:t>
      </w:r>
    </w:p>
    <w:p>
      <w:pPr>
        <w:spacing w:line="580" w:lineRule="exact"/>
        <w:ind w:firstLine="640"/>
        <w:rPr>
          <w:rFonts w:ascii="Times New Roman" w:hAnsi="Times New Roman" w:cs="Times New Roman"/>
        </w:rPr>
      </w:pPr>
      <w:r>
        <w:rPr>
          <w:rFonts w:ascii="Times New Roman" w:hAnsi="Times New Roman" w:cs="Times New Roman"/>
        </w:rPr>
        <w:t>《济南市天桥区国民经济和社会发展第十四个五年规划和二</w:t>
      </w:r>
      <w:r>
        <w:rPr>
          <w:rFonts w:ascii="Times New Roman" w:hAnsi="Times New Roman" w:eastAsia="微软雅黑" w:cs="Times New Roman"/>
        </w:rPr>
        <w:t>〇</w:t>
      </w:r>
      <w:r>
        <w:rPr>
          <w:rFonts w:ascii="Times New Roman" w:hAnsi="Times New Roman" w:cs="Times New Roman"/>
        </w:rPr>
        <w:t xml:space="preserve">三五年远景目标纲要》已经区第十八届人民代表大会第五次会议审查批准，现印发给你们，请认真组织实施。 </w:t>
      </w:r>
    </w:p>
    <w:p>
      <w:pPr>
        <w:ind w:firstLine="640"/>
        <w:textAlignment w:val="baseline"/>
        <w:rPr>
          <w:rFonts w:ascii="Times New Roman" w:hAnsi="Times New Roman" w:cs="Times New Roman"/>
        </w:rPr>
      </w:pPr>
    </w:p>
    <w:p>
      <w:pPr>
        <w:ind w:firstLine="640"/>
        <w:textAlignment w:val="baseline"/>
        <w:rPr>
          <w:rFonts w:ascii="Times New Roman" w:hAnsi="Times New Roman" w:cs="Times New Roman"/>
        </w:rPr>
      </w:pPr>
    </w:p>
    <w:p>
      <w:pPr>
        <w:ind w:firstLine="640"/>
        <w:jc w:val="right"/>
        <w:textAlignment w:val="baseline"/>
        <w:rPr>
          <w:rFonts w:ascii="Times New Roman" w:hAnsi="Times New Roman" w:cs="Times New Roman"/>
        </w:rPr>
      </w:pPr>
      <w:r>
        <w:rPr>
          <w:rFonts w:ascii="Times New Roman" w:hAnsi="Times New Roman" w:cs="Times New Roman"/>
        </w:rPr>
        <w:t xml:space="preserve">济南市天桥区人民政府 </w:t>
      </w:r>
    </w:p>
    <w:p>
      <w:pPr>
        <w:ind w:firstLine="640"/>
        <w:jc w:val="center"/>
        <w:textAlignment w:val="baseline"/>
        <w:rPr>
          <w:rFonts w:hint="eastAsia" w:ascii="仿宋_GB2312" w:hAnsi="仿宋_GB2312" w:eastAsia="仿宋_GB2312" w:cs="仿宋_GB2312"/>
          <w:color w:val="000000"/>
          <w:sz w:val="36"/>
          <w:szCs w:val="44"/>
        </w:rPr>
      </w:pPr>
      <w:r>
        <w:rPr>
          <w:rFonts w:hint="eastAsia" w:hAnsi="仿宋_GB2312" w:cs="仿宋_GB2312"/>
          <w:lang w:val="en-US" w:eastAsia="zh-CN"/>
        </w:rPr>
        <w:t xml:space="preserve">                               </w:t>
      </w:r>
      <w:r>
        <w:rPr>
          <w:rFonts w:hint="eastAsia" w:ascii="仿宋_GB2312" w:hAnsi="仿宋_GB2312" w:eastAsia="仿宋_GB2312" w:cs="仿宋_GB2312"/>
        </w:rPr>
        <w:t>2021年6月</w:t>
      </w:r>
      <w:r>
        <w:rPr>
          <w:rFonts w:hint="eastAsia" w:hAnsi="仿宋_GB2312" w:cs="仿宋_GB2312"/>
          <w:lang w:val="en-US" w:eastAsia="zh-CN"/>
        </w:rPr>
        <w:t>30</w:t>
      </w:r>
      <w:r>
        <w:rPr>
          <w:rFonts w:hint="eastAsia" w:ascii="仿宋_GB2312" w:hAnsi="仿宋_GB2312" w:eastAsia="仿宋_GB2312" w:cs="仿宋_GB2312"/>
        </w:rPr>
        <w:t>日</w:t>
      </w: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640" w:firstLineChars="200"/>
        <w:jc w:val="both"/>
        <w:textAlignment w:val="baseline"/>
        <w:rPr>
          <w:rFonts w:ascii="Times New Roman" w:hAnsi="Times New Roman" w:eastAsia="文星标宋" w:cs="Times New Roman"/>
          <w:color w:val="000000"/>
          <w:sz w:val="36"/>
          <w:szCs w:val="44"/>
        </w:rPr>
      </w:pPr>
      <w:r>
        <w:t>（联系电话：</w:t>
      </w:r>
      <w:r>
        <w:rPr>
          <w:rFonts w:hint="eastAsia"/>
        </w:rPr>
        <w:t>区</w:t>
      </w:r>
      <w:r>
        <w:t>发展改革</w:t>
      </w:r>
      <w:r>
        <w:rPr>
          <w:rFonts w:hint="eastAsia"/>
        </w:rPr>
        <w:t>局国民经济</w:t>
      </w:r>
      <w:r>
        <w:t>综合科，85559914）</w:t>
      </w:r>
    </w:p>
    <w:p>
      <w:pPr>
        <w:ind w:firstLine="640" w:firstLineChars="200"/>
        <w:jc w:val="left"/>
        <w:textAlignment w:val="baseline"/>
        <w:rPr>
          <w:rFonts w:ascii="Times New Roman" w:hAnsi="Times New Roman" w:eastAsia="文星标宋" w:cs="Times New Roman"/>
          <w:color w:val="000000"/>
          <w:sz w:val="36"/>
          <w:szCs w:val="44"/>
        </w:rPr>
      </w:pPr>
      <w:r>
        <w:t>（此件公开发布）</w:t>
      </w: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方正小标宋_GBK" w:cs="Times New Roman"/>
          <w:color w:val="000000"/>
          <w:sz w:val="52"/>
          <w:szCs w:val="44"/>
        </w:rPr>
      </w:pPr>
    </w:p>
    <w:p>
      <w:pPr>
        <w:ind w:firstLine="0" w:firstLineChars="0"/>
        <w:jc w:val="center"/>
        <w:textAlignment w:val="baseline"/>
        <w:rPr>
          <w:rFonts w:ascii="Times New Roman" w:hAnsi="Times New Roman" w:eastAsia="方正小标宋_GBK" w:cs="Times New Roman"/>
          <w:color w:val="000000"/>
          <w:sz w:val="52"/>
          <w:szCs w:val="44"/>
        </w:rPr>
      </w:pPr>
    </w:p>
    <w:p>
      <w:pPr>
        <w:ind w:firstLine="0" w:firstLineChars="0"/>
        <w:jc w:val="center"/>
        <w:textAlignment w:val="baseline"/>
        <w:rPr>
          <w:rFonts w:ascii="Times New Roman" w:hAnsi="Times New Roman" w:eastAsia="方正小标宋_GBK" w:cs="Times New Roman"/>
          <w:color w:val="000000"/>
          <w:sz w:val="52"/>
          <w:szCs w:val="44"/>
        </w:rPr>
      </w:pPr>
      <w:r>
        <w:rPr>
          <w:rFonts w:ascii="Times New Roman" w:hAnsi="Times New Roman" w:eastAsia="方正小标宋_GBK" w:cs="Times New Roman"/>
          <w:color w:val="000000"/>
          <w:sz w:val="52"/>
          <w:szCs w:val="44"/>
        </w:rPr>
        <w:t>济南市天桥区国民经济和社会发展</w:t>
      </w:r>
    </w:p>
    <w:p>
      <w:pPr>
        <w:ind w:firstLine="0" w:firstLineChars="0"/>
        <w:jc w:val="center"/>
        <w:textAlignment w:val="baseline"/>
        <w:rPr>
          <w:rFonts w:ascii="Times New Roman" w:hAnsi="Times New Roman" w:eastAsia="方正小标宋_GBK" w:cs="Times New Roman"/>
          <w:color w:val="000000"/>
          <w:sz w:val="52"/>
          <w:szCs w:val="44"/>
        </w:rPr>
      </w:pPr>
      <w:r>
        <w:rPr>
          <w:rFonts w:ascii="Times New Roman" w:hAnsi="Times New Roman" w:eastAsia="方正小标宋_GBK" w:cs="Times New Roman"/>
          <w:color w:val="000000"/>
          <w:sz w:val="52"/>
          <w:szCs w:val="44"/>
        </w:rPr>
        <w:t>第十四个五年规划和二〇三五年</w:t>
      </w:r>
    </w:p>
    <w:p>
      <w:pPr>
        <w:ind w:firstLine="0" w:firstLineChars="0"/>
        <w:jc w:val="center"/>
        <w:textAlignment w:val="baseline"/>
        <w:rPr>
          <w:rFonts w:ascii="Times New Roman" w:hAnsi="Times New Roman" w:eastAsia="方正小标宋_GBK" w:cs="Times New Roman"/>
          <w:color w:val="000000"/>
          <w:sz w:val="52"/>
          <w:szCs w:val="44"/>
        </w:rPr>
      </w:pPr>
      <w:r>
        <w:rPr>
          <w:rFonts w:ascii="Times New Roman" w:hAnsi="Times New Roman" w:eastAsia="方正小标宋_GBK" w:cs="Times New Roman"/>
          <w:color w:val="000000"/>
          <w:sz w:val="52"/>
          <w:szCs w:val="44"/>
        </w:rPr>
        <w:t>远景目标纲要</w:t>
      </w:r>
    </w:p>
    <w:p>
      <w:pPr>
        <w:ind w:firstLine="0" w:firstLineChars="0"/>
        <w:jc w:val="center"/>
        <w:textAlignment w:val="baseline"/>
        <w:rPr>
          <w:rFonts w:ascii="Times New Roman" w:hAnsi="Times New Roman" w:eastAsia="方正小标宋_GBK" w:cs="Times New Roman"/>
          <w:color w:val="000000"/>
          <w:sz w:val="52"/>
          <w:szCs w:val="44"/>
        </w:rPr>
      </w:pPr>
    </w:p>
    <w:p>
      <w:pPr>
        <w:ind w:firstLine="0" w:firstLineChars="0"/>
        <w:jc w:val="center"/>
        <w:textAlignment w:val="baseline"/>
        <w:rPr>
          <w:rFonts w:ascii="Times New Roman" w:hAnsi="Times New Roman" w:eastAsia="方正小标宋_GBK" w:cs="Times New Roman"/>
          <w:color w:val="000000"/>
          <w:sz w:val="52"/>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r>
        <w:rPr>
          <w:rFonts w:ascii="Times New Roman" w:hAnsi="Times New Roman" w:eastAsia="楷体_GB2312" w:cs="Times New Roman"/>
          <w:color w:val="000000"/>
          <w:sz w:val="48"/>
          <w:szCs w:val="44"/>
        </w:rPr>
        <w:t>2021年</w:t>
      </w:r>
      <w:r>
        <w:rPr>
          <w:rFonts w:hint="eastAsia" w:ascii="Times New Roman" w:hAnsi="Times New Roman" w:eastAsia="楷体_GB2312" w:cs="Times New Roman"/>
          <w:color w:val="000000"/>
          <w:sz w:val="48"/>
          <w:szCs w:val="44"/>
        </w:rPr>
        <w:t>6</w:t>
      </w:r>
      <w:r>
        <w:rPr>
          <w:rFonts w:ascii="Times New Roman" w:hAnsi="Times New Roman" w:eastAsia="楷体_GB2312" w:cs="Times New Roman"/>
          <w:color w:val="000000"/>
          <w:sz w:val="48"/>
          <w:szCs w:val="44"/>
        </w:rPr>
        <w:t>月</w:t>
      </w: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p>
      <w:pPr>
        <w:spacing w:line="720" w:lineRule="exact"/>
        <w:ind w:firstLine="0" w:firstLineChars="0"/>
        <w:jc w:val="center"/>
        <w:textAlignment w:val="baseline"/>
        <w:rPr>
          <w:rFonts w:ascii="Times New Roman" w:hAnsi="Times New Roman" w:eastAsia="文星标宋" w:cs="Times New Roman"/>
          <w:color w:val="000000"/>
          <w:sz w:val="36"/>
          <w:szCs w:val="44"/>
        </w:rPr>
      </w:pPr>
    </w:p>
    <w:sdt>
      <w:sdtPr>
        <w:rPr>
          <w:rFonts w:ascii="Times New Roman" w:hAnsi="Times New Roman" w:eastAsia="仿宋_GB2312" w:cs="Times New Roman"/>
          <w:b w:val="0"/>
          <w:bCs w:val="0"/>
          <w:color w:val="000000" w:themeColor="text1"/>
          <w:kern w:val="2"/>
          <w:sz w:val="32"/>
          <w:szCs w:val="22"/>
          <w:lang w:val="zh-CN"/>
          <w14:textFill>
            <w14:solidFill>
              <w14:schemeClr w14:val="tx1"/>
            </w14:solidFill>
          </w14:textFill>
        </w:rPr>
        <w:id w:val="1236208511"/>
        <w:docPartObj>
          <w:docPartGallery w:val="Table of Contents"/>
          <w:docPartUnique/>
        </w:docPartObj>
      </w:sdtPr>
      <w:sdtEndPr>
        <w:rPr>
          <w:rFonts w:ascii="Times New Roman" w:hAnsi="Times New Roman" w:eastAsia="仿宋_GB2312" w:cs="Times New Roman"/>
          <w:b w:val="0"/>
          <w:bCs w:val="0"/>
          <w:color w:val="000000" w:themeColor="text1"/>
          <w:kern w:val="2"/>
          <w:sz w:val="28"/>
          <w:szCs w:val="28"/>
          <w:lang w:val="zh-CN"/>
          <w14:textFill>
            <w14:solidFill>
              <w14:schemeClr w14:val="tx1"/>
            </w14:solidFill>
          </w14:textFill>
        </w:rPr>
      </w:sdtEndPr>
      <w:sdtContent>
        <w:p>
          <w:pPr>
            <w:pStyle w:val="37"/>
            <w:widowControl w:val="0"/>
            <w:tabs>
              <w:tab w:val="center" w:pos="4153"/>
              <w:tab w:val="left" w:pos="4867"/>
            </w:tabs>
            <w:snapToGrid w:val="0"/>
            <w:spacing w:before="0" w:line="560" w:lineRule="exact"/>
            <w:jc w:val="center"/>
            <w:textAlignment w:val="baseline"/>
            <w:rPr>
              <w:rFonts w:ascii="Times New Roman" w:hAnsi="Times New Roman" w:eastAsia="黑体" w:cs="Times New Roman"/>
              <w:b w:val="0"/>
              <w:color w:val="000000"/>
              <w:sz w:val="36"/>
              <w:lang w:val="zh-CN"/>
            </w:rPr>
          </w:pPr>
          <w:r>
            <w:rPr>
              <w:rFonts w:ascii="Times New Roman" w:hAnsi="Times New Roman" w:eastAsia="黑体" w:cs="Times New Roman"/>
              <w:b w:val="0"/>
              <w:color w:val="000000"/>
              <w:sz w:val="36"/>
              <w:lang w:val="zh-CN"/>
            </w:rPr>
            <w:t>目</w:t>
          </w:r>
          <w:r>
            <w:rPr>
              <w:rFonts w:hint="eastAsia" w:ascii="Times New Roman" w:hAnsi="Times New Roman" w:eastAsia="黑体" w:cs="Times New Roman"/>
              <w:b w:val="0"/>
              <w:color w:val="000000"/>
              <w:sz w:val="36"/>
              <w:lang w:val="zh-CN"/>
            </w:rPr>
            <w:t xml:space="preserve">  </w:t>
          </w:r>
          <w:r>
            <w:rPr>
              <w:rFonts w:ascii="Times New Roman" w:hAnsi="Times New Roman" w:eastAsia="黑体" w:cs="Times New Roman"/>
              <w:b w:val="0"/>
              <w:color w:val="000000"/>
              <w:sz w:val="36"/>
              <w:lang w:val="zh-CN"/>
            </w:rPr>
            <w:t>录</w:t>
          </w:r>
        </w:p>
        <w:p>
          <w:pPr>
            <w:ind w:firstLine="400"/>
            <w:textAlignment w:val="baseline"/>
            <w:rPr>
              <w:sz w:val="20"/>
              <w:lang w:val="zh-CN"/>
            </w:rPr>
          </w:pPr>
        </w:p>
        <w:p>
          <w:pPr>
            <w:pStyle w:val="12"/>
            <w:tabs>
              <w:tab w:val="left" w:pos="1810"/>
            </w:tabs>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"_Toc75764618" </w:instrText>
          </w:r>
          <w:r>
            <w:fldChar w:fldCharType="separate"/>
          </w:r>
          <w:r>
            <w:rPr>
              <w:rStyle w:val="23"/>
              <w:rFonts w:hint="eastAsia" w:ascii="Times New Roman" w:hAnsi="Times New Roman" w:cs="Times New Roman"/>
            </w:rPr>
            <w:t>第一章</w:t>
          </w:r>
          <w:r>
            <w:rPr>
              <w:rFonts w:asciiTheme="minorHAnsi" w:hAnsiTheme="minorHAnsi" w:eastAsiaTheme="minorEastAsia"/>
              <w:sz w:val="21"/>
            </w:rPr>
            <w:tab/>
          </w:r>
          <w:r>
            <w:rPr>
              <w:rStyle w:val="23"/>
              <w:rFonts w:hint="eastAsia" w:ascii="Times New Roman" w:hAnsi="Times New Roman" w:cs="Times New Roman"/>
            </w:rPr>
            <w:t>开启全面建成现代化中心强区新征程</w:t>
          </w:r>
          <w:r>
            <w:tab/>
          </w:r>
          <w:r>
            <w:fldChar w:fldCharType="begin"/>
          </w:r>
          <w:r>
            <w:instrText xml:space="preserve"> PAGEREF _Toc75764618 \h </w:instrText>
          </w:r>
          <w:r>
            <w:fldChar w:fldCharType="separate"/>
          </w:r>
          <w:r>
            <w:t>- 1 -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"_Toc75764619" </w:instrText>
          </w:r>
          <w:r>
            <w:fldChar w:fldCharType="separate"/>
          </w:r>
          <w:r>
            <w:rPr>
              <w:rStyle w:val="23"/>
              <w:rFonts w:hint="eastAsia" w:ascii="Times New Roman" w:hAnsi="Times New Roman" w:cs="Times New Roman"/>
            </w:rPr>
            <w:t>第一节</w:t>
          </w:r>
          <w:r>
            <w:rPr>
              <w:rStyle w:val="23"/>
              <w:rFonts w:ascii="Times New Roman" w:hAnsi="Times New Roman" w:cs="Times New Roman"/>
            </w:rPr>
            <w:t xml:space="preserve"> </w:t>
          </w:r>
          <w:r>
            <w:rPr>
              <w:rStyle w:val="23"/>
              <w:rFonts w:hint="eastAsia" w:ascii="Times New Roman" w:hAnsi="Times New Roman" w:cs="Times New Roman"/>
            </w:rPr>
            <w:t>发展基础</w:t>
          </w:r>
          <w:r>
            <w:tab/>
          </w:r>
          <w:r>
            <w:fldChar w:fldCharType="begin"/>
          </w:r>
          <w:r>
            <w:instrText xml:space="preserve"> PAGEREF _Toc75764619 \h </w:instrText>
          </w:r>
          <w:r>
            <w:fldChar w:fldCharType="separate"/>
          </w:r>
          <w:r>
            <w:t>- 2 -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"_Toc75764620" </w:instrText>
          </w:r>
          <w:r>
            <w:fldChar w:fldCharType="separate"/>
          </w:r>
          <w:r>
            <w:rPr>
              <w:rStyle w:val="23"/>
              <w:rFonts w:hint="eastAsia" w:ascii="Times New Roman" w:hAnsi="Times New Roman" w:cs="Times New Roman"/>
            </w:rPr>
            <w:t>第二节</w:t>
          </w:r>
          <w:r>
            <w:rPr>
              <w:rStyle w:val="23"/>
              <w:rFonts w:ascii="Times New Roman" w:hAnsi="Times New Roman" w:cs="Times New Roman"/>
            </w:rPr>
            <w:t xml:space="preserve"> </w:t>
          </w:r>
          <w:r>
            <w:rPr>
              <w:rStyle w:val="23"/>
              <w:rFonts w:hint="eastAsia" w:ascii="Times New Roman" w:hAnsi="Times New Roman" w:cs="Times New Roman"/>
            </w:rPr>
            <w:t>发展形势</w:t>
          </w:r>
          <w:r>
            <w:tab/>
          </w:r>
          <w:r>
            <w:fldChar w:fldCharType="begin"/>
          </w:r>
          <w:r>
            <w:instrText xml:space="preserve"> PAGEREF _Toc75764620 \h </w:instrText>
          </w:r>
          <w:r>
            <w:fldChar w:fldCharType="separate"/>
          </w:r>
          <w:r>
            <w:t>- 5 -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"_Toc75764621" </w:instrText>
          </w:r>
          <w:r>
            <w:fldChar w:fldCharType="separate"/>
          </w:r>
          <w:r>
            <w:rPr>
              <w:rStyle w:val="23"/>
              <w:rFonts w:hint="eastAsia" w:ascii="Times New Roman" w:hAnsi="Times New Roman" w:cs="Times New Roman"/>
            </w:rPr>
            <w:t>第三节</w:t>
          </w:r>
          <w:r>
            <w:rPr>
              <w:rStyle w:val="23"/>
              <w:rFonts w:ascii="Times New Roman" w:hAnsi="Times New Roman" w:cs="Times New Roman"/>
            </w:rPr>
            <w:t xml:space="preserve"> </w:t>
          </w:r>
          <w:r>
            <w:rPr>
              <w:rStyle w:val="23"/>
              <w:rFonts w:hint="eastAsia" w:ascii="Times New Roman" w:hAnsi="Times New Roman" w:cs="Times New Roman"/>
            </w:rPr>
            <w:t>指导思想</w:t>
          </w:r>
          <w:r>
            <w:tab/>
          </w:r>
          <w:r>
            <w:fldChar w:fldCharType="begin"/>
          </w:r>
          <w:r>
            <w:instrText xml:space="preserve"> PAGEREF _Toc75764621 \h </w:instrText>
          </w:r>
          <w:r>
            <w:fldChar w:fldCharType="separate"/>
          </w:r>
          <w:r>
            <w:t>- 7 -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"_Toc75764622" </w:instrText>
          </w:r>
          <w:r>
            <w:fldChar w:fldCharType="separate"/>
          </w:r>
          <w:r>
            <w:rPr>
              <w:rStyle w:val="23"/>
              <w:rFonts w:hint="eastAsia" w:ascii="Times New Roman" w:hAnsi="Times New Roman" w:cs="Times New Roman"/>
            </w:rPr>
            <w:t>第四节</w:t>
          </w:r>
          <w:r>
            <w:rPr>
              <w:rStyle w:val="23"/>
              <w:rFonts w:ascii="Times New Roman" w:hAnsi="Times New Roman" w:cs="Times New Roman"/>
            </w:rPr>
            <w:t xml:space="preserve"> </w:t>
          </w:r>
          <w:r>
            <w:rPr>
              <w:rStyle w:val="23"/>
              <w:rFonts w:hint="eastAsia" w:ascii="Times New Roman" w:hAnsi="Times New Roman" w:cs="Times New Roman"/>
            </w:rPr>
            <w:t>基本原则</w:t>
          </w:r>
          <w:r>
            <w:tab/>
          </w:r>
          <w:r>
            <w:fldChar w:fldCharType="begin"/>
          </w:r>
          <w:r>
            <w:instrText xml:space="preserve"> PAGEREF _Toc75764622 \h </w:instrText>
          </w:r>
          <w:r>
            <w:fldChar w:fldCharType="separate"/>
          </w:r>
          <w:r>
            <w:t>- 7 -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"_Toc75764623" </w:instrText>
          </w:r>
          <w:r>
            <w:fldChar w:fldCharType="separate"/>
          </w:r>
          <w:r>
            <w:rPr>
              <w:rStyle w:val="23"/>
              <w:rFonts w:hint="eastAsia" w:ascii="Times New Roman" w:hAnsi="Times New Roman" w:cs="Times New Roman"/>
            </w:rPr>
            <w:t>第五节</w:t>
          </w:r>
          <w:r>
            <w:rPr>
              <w:rStyle w:val="23"/>
              <w:rFonts w:ascii="Times New Roman" w:hAnsi="Times New Roman" w:cs="Times New Roman"/>
            </w:rPr>
            <w:t xml:space="preserve"> </w:t>
          </w:r>
          <w:r>
            <w:rPr>
              <w:rStyle w:val="23"/>
              <w:rFonts w:hint="eastAsia" w:ascii="Times New Roman" w:hAnsi="Times New Roman" w:cs="Times New Roman"/>
            </w:rPr>
            <w:t>发展目标</w:t>
          </w:r>
          <w:r>
            <w:tab/>
          </w:r>
          <w:r>
            <w:fldChar w:fldCharType="begin"/>
          </w:r>
          <w:r>
            <w:instrText xml:space="preserve"> PAGEREF _Toc75764623 \h </w:instrText>
          </w:r>
          <w:r>
            <w:fldChar w:fldCharType="separate"/>
          </w:r>
          <w:r>
            <w:t>- 9 -</w:t>
          </w:r>
          <w:r>
            <w:fldChar w:fldCharType="end"/>
          </w:r>
          <w:r>
            <w:fldChar w:fldCharType="end"/>
          </w:r>
        </w:p>
        <w:p>
          <w:pPr>
            <w:pStyle w:val="12"/>
            <w:tabs>
              <w:tab w:val="left" w:pos="1810"/>
            </w:tabs>
            <w:rPr>
              <w:rFonts w:asciiTheme="minorHAnsi" w:hAnsiTheme="minorHAnsi" w:eastAsiaTheme="minorEastAsia"/>
              <w:sz w:val="21"/>
            </w:rPr>
          </w:pPr>
          <w:r>
            <w:fldChar w:fldCharType="begin"/>
          </w:r>
          <w:r>
            <w:instrText xml:space="preserve"> HYPERLINK \l "_Toc75764624" </w:instrText>
          </w:r>
          <w:r>
            <w:fldChar w:fldCharType="separate"/>
          </w:r>
          <w:r>
            <w:rPr>
              <w:rStyle w:val="23"/>
              <w:rFonts w:hint="eastAsia" w:ascii="Times New Roman" w:hAnsi="Times New Roman" w:cs="Times New Roman"/>
            </w:rPr>
            <w:t>第二章</w:t>
          </w:r>
          <w:r>
            <w:rPr>
              <w:rFonts w:asciiTheme="minorHAnsi" w:hAnsiTheme="minorHAnsi" w:eastAsiaTheme="minorEastAsia"/>
              <w:sz w:val="21"/>
            </w:rPr>
            <w:tab/>
          </w:r>
          <w:r>
            <w:rPr>
              <w:rStyle w:val="23"/>
              <w:rFonts w:hint="eastAsia" w:ascii="Times New Roman" w:hAnsi="Times New Roman" w:cs="Times New Roman"/>
            </w:rPr>
            <w:t>落实黄河国家战略</w:t>
          </w:r>
          <w:r>
            <w:tab/>
          </w:r>
          <w:r>
            <w:fldChar w:fldCharType="begin"/>
          </w:r>
          <w:r>
            <w:instrText xml:space="preserve"> PAGEREF _Toc75764624 \h </w:instrText>
          </w:r>
          <w:r>
            <w:fldChar w:fldCharType="separate"/>
          </w:r>
          <w:r>
            <w:t>- 13 -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"_Toc75764625" </w:instrText>
          </w:r>
          <w:r>
            <w:fldChar w:fldCharType="separate"/>
          </w:r>
          <w:r>
            <w:rPr>
              <w:rStyle w:val="23"/>
              <w:rFonts w:hint="eastAsia" w:ascii="Times New Roman" w:hAnsi="Times New Roman" w:cs="Times New Roman"/>
            </w:rPr>
            <w:t>第一节</w:t>
          </w:r>
          <w:r>
            <w:rPr>
              <w:rStyle w:val="23"/>
              <w:rFonts w:ascii="Times New Roman" w:hAnsi="Times New Roman" w:cs="Times New Roman"/>
            </w:rPr>
            <w:t xml:space="preserve"> </w:t>
          </w:r>
          <w:r>
            <w:rPr>
              <w:rStyle w:val="23"/>
              <w:rFonts w:hint="eastAsia" w:ascii="Times New Roman" w:hAnsi="Times New Roman" w:cs="Times New Roman"/>
            </w:rPr>
            <w:t>构建</w:t>
          </w:r>
          <w:r>
            <w:rPr>
              <w:rStyle w:val="23"/>
              <w:rFonts w:ascii="Times New Roman" w:hAnsi="Times New Roman" w:cs="Times New Roman"/>
            </w:rPr>
            <w:t>“</w:t>
          </w:r>
          <w:r>
            <w:rPr>
              <w:rStyle w:val="23"/>
              <w:rFonts w:hint="eastAsia" w:ascii="Times New Roman" w:hAnsi="Times New Roman" w:cs="Times New Roman"/>
            </w:rPr>
            <w:t>三线六区</w:t>
          </w:r>
          <w:r>
            <w:rPr>
              <w:rStyle w:val="23"/>
              <w:rFonts w:ascii="Times New Roman" w:hAnsi="Times New Roman" w:cs="Times New Roman"/>
            </w:rPr>
            <w:t>”</w:t>
          </w:r>
          <w:r>
            <w:rPr>
              <w:rStyle w:val="23"/>
              <w:rFonts w:hint="eastAsia" w:ascii="Times New Roman" w:hAnsi="Times New Roman" w:cs="Times New Roman"/>
            </w:rPr>
            <w:t>发展格局</w:t>
          </w:r>
          <w:r>
            <w:tab/>
          </w:r>
          <w:r>
            <w:fldChar w:fldCharType="begin"/>
          </w:r>
          <w:r>
            <w:instrText xml:space="preserve"> PAGEREF _Toc75764625 \h </w:instrText>
          </w:r>
          <w:r>
            <w:fldChar w:fldCharType="separate"/>
          </w:r>
          <w:r>
            <w:t>- 14 -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"_Toc75764626" </w:instrText>
          </w:r>
          <w:r>
            <w:fldChar w:fldCharType="separate"/>
          </w:r>
          <w:r>
            <w:rPr>
              <w:rStyle w:val="23"/>
              <w:rFonts w:hint="eastAsia" w:ascii="Times New Roman" w:hAnsi="Times New Roman" w:cs="Times New Roman"/>
            </w:rPr>
            <w:t>第二节</w:t>
          </w:r>
          <w:r>
            <w:rPr>
              <w:rStyle w:val="23"/>
              <w:rFonts w:ascii="Times New Roman" w:hAnsi="Times New Roman" w:cs="Times New Roman"/>
            </w:rPr>
            <w:t xml:space="preserve"> </w:t>
          </w:r>
          <w:r>
            <w:rPr>
              <w:rStyle w:val="23"/>
              <w:rFonts w:hint="eastAsia" w:ascii="Times New Roman" w:hAnsi="Times New Roman" w:cs="Times New Roman"/>
            </w:rPr>
            <w:t>加强黄河流域生态保护</w:t>
          </w:r>
          <w:r>
            <w:tab/>
          </w:r>
          <w:r>
            <w:fldChar w:fldCharType="begin"/>
          </w:r>
          <w:r>
            <w:instrText xml:space="preserve"> PAGEREF _Toc75764626 \h </w:instrText>
          </w:r>
          <w:r>
            <w:fldChar w:fldCharType="separate"/>
          </w:r>
          <w:r>
            <w:t>- 16 -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"_Toc75764627" </w:instrText>
          </w:r>
          <w:r>
            <w:fldChar w:fldCharType="separate"/>
          </w:r>
          <w:r>
            <w:rPr>
              <w:rStyle w:val="23"/>
              <w:rFonts w:hint="eastAsia" w:ascii="Times New Roman" w:hAnsi="Times New Roman" w:cs="Times New Roman"/>
            </w:rPr>
            <w:t>第三节</w:t>
          </w:r>
          <w:r>
            <w:rPr>
              <w:rStyle w:val="23"/>
              <w:rFonts w:ascii="Times New Roman" w:hAnsi="Times New Roman" w:cs="Times New Roman"/>
            </w:rPr>
            <w:t xml:space="preserve"> </w:t>
          </w:r>
          <w:r>
            <w:rPr>
              <w:rStyle w:val="23"/>
              <w:rFonts w:hint="eastAsia" w:ascii="Times New Roman" w:hAnsi="Times New Roman" w:cs="Times New Roman"/>
            </w:rPr>
            <w:t>推进黄河流域文化传承</w:t>
          </w:r>
          <w:r>
            <w:tab/>
          </w:r>
          <w:r>
            <w:fldChar w:fldCharType="begin"/>
          </w:r>
          <w:r>
            <w:instrText xml:space="preserve"> PAGEREF _Toc75764627 \h </w:instrText>
          </w:r>
          <w:r>
            <w:fldChar w:fldCharType="separate"/>
          </w:r>
          <w:r>
            <w:t>- 16 -</w:t>
          </w:r>
          <w:r>
            <w:fldChar w:fldCharType="end"/>
          </w:r>
          <w:r>
            <w:fldChar w:fldCharType="end"/>
          </w:r>
        </w:p>
        <w:p>
          <w:pPr>
            <w:pStyle w:val="12"/>
            <w:tabs>
              <w:tab w:val="left" w:pos="1810"/>
            </w:tabs>
            <w:rPr>
              <w:rFonts w:asciiTheme="minorHAnsi" w:hAnsiTheme="minorHAnsi" w:eastAsiaTheme="minorEastAsia"/>
              <w:sz w:val="21"/>
            </w:rPr>
          </w:pPr>
          <w:r>
            <w:fldChar w:fldCharType="begin"/>
          </w:r>
          <w:r>
            <w:instrText xml:space="preserve"> HYPERLINK \l "_Toc75764628" </w:instrText>
          </w:r>
          <w:r>
            <w:fldChar w:fldCharType="separate"/>
          </w:r>
          <w:r>
            <w:rPr>
              <w:rStyle w:val="23"/>
              <w:rFonts w:hint="eastAsia" w:ascii="Times New Roman" w:hAnsi="Times New Roman" w:cs="Times New Roman"/>
            </w:rPr>
            <w:t>第三章</w:t>
          </w:r>
          <w:r>
            <w:rPr>
              <w:rFonts w:asciiTheme="minorHAnsi" w:hAnsiTheme="minorHAnsi" w:eastAsiaTheme="minorEastAsia"/>
              <w:sz w:val="21"/>
            </w:rPr>
            <w:tab/>
          </w:r>
          <w:r>
            <w:rPr>
              <w:rStyle w:val="23"/>
              <w:rFonts w:hint="eastAsia" w:ascii="Times New Roman" w:hAnsi="Times New Roman" w:cs="Times New Roman"/>
            </w:rPr>
            <w:t>重塑天桥产业辉煌</w:t>
          </w:r>
          <w:r>
            <w:tab/>
          </w:r>
          <w:r>
            <w:fldChar w:fldCharType="begin"/>
          </w:r>
          <w:r>
            <w:instrText xml:space="preserve"> PAGEREF _Toc75764628 \h </w:instrText>
          </w:r>
          <w:r>
            <w:fldChar w:fldCharType="separate"/>
          </w:r>
          <w:r>
            <w:t>- 18 -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"_Toc75764629" </w:instrText>
          </w:r>
          <w:r>
            <w:fldChar w:fldCharType="separate"/>
          </w:r>
          <w:r>
            <w:rPr>
              <w:rStyle w:val="23"/>
              <w:rFonts w:hint="eastAsia" w:ascii="Times New Roman" w:hAnsi="Times New Roman" w:cs="Times New Roman"/>
            </w:rPr>
            <w:t>第一节</w:t>
          </w:r>
          <w:r>
            <w:rPr>
              <w:rStyle w:val="23"/>
              <w:rFonts w:ascii="Times New Roman" w:hAnsi="Times New Roman" w:cs="Times New Roman"/>
            </w:rPr>
            <w:t xml:space="preserve"> </w:t>
          </w:r>
          <w:r>
            <w:rPr>
              <w:rStyle w:val="23"/>
              <w:rFonts w:hint="eastAsia" w:ascii="Times New Roman" w:hAnsi="Times New Roman" w:cs="Times New Roman"/>
            </w:rPr>
            <w:t>加快实施工业强区战略</w:t>
          </w:r>
          <w:r>
            <w:tab/>
          </w:r>
          <w:r>
            <w:fldChar w:fldCharType="begin"/>
          </w:r>
          <w:r>
            <w:instrText xml:space="preserve"> PAGEREF _Toc75764629 \h </w:instrText>
          </w:r>
          <w:r>
            <w:fldChar w:fldCharType="separate"/>
          </w:r>
          <w:r>
            <w:t>- 19 -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"_Toc75764630" </w:instrText>
          </w:r>
          <w:r>
            <w:fldChar w:fldCharType="separate"/>
          </w:r>
          <w:r>
            <w:rPr>
              <w:rStyle w:val="23"/>
              <w:rFonts w:hint="eastAsia" w:ascii="Times New Roman" w:hAnsi="Times New Roman" w:cs="Times New Roman"/>
            </w:rPr>
            <w:t>第二节</w:t>
          </w:r>
          <w:r>
            <w:rPr>
              <w:rStyle w:val="23"/>
              <w:rFonts w:ascii="Times New Roman" w:hAnsi="Times New Roman" w:cs="Times New Roman"/>
            </w:rPr>
            <w:t xml:space="preserve"> </w:t>
          </w:r>
          <w:r>
            <w:rPr>
              <w:rStyle w:val="23"/>
              <w:rFonts w:hint="eastAsia" w:ascii="Times New Roman" w:hAnsi="Times New Roman" w:cs="Times New Roman"/>
              <w:lang w:val="en-GB"/>
            </w:rPr>
            <w:t>擦亮现代服务业新名片</w:t>
          </w:r>
          <w:r>
            <w:tab/>
          </w:r>
          <w:r>
            <w:fldChar w:fldCharType="begin"/>
          </w:r>
          <w:r>
            <w:instrText xml:space="preserve"> PAGEREF _Toc75764630 \h </w:instrText>
          </w:r>
          <w:r>
            <w:fldChar w:fldCharType="separate"/>
          </w:r>
          <w:r>
            <w:t>- 22 -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"_Toc75764631" </w:instrText>
          </w:r>
          <w:r>
            <w:fldChar w:fldCharType="separate"/>
          </w:r>
          <w:r>
            <w:rPr>
              <w:rStyle w:val="23"/>
              <w:rFonts w:hint="eastAsia" w:ascii="Times New Roman" w:hAnsi="Times New Roman" w:cs="Times New Roman"/>
            </w:rPr>
            <w:t>第三节</w:t>
          </w:r>
          <w:r>
            <w:rPr>
              <w:rStyle w:val="23"/>
              <w:rFonts w:ascii="Times New Roman" w:hAnsi="Times New Roman" w:cs="Times New Roman"/>
            </w:rPr>
            <w:t xml:space="preserve"> </w:t>
          </w:r>
          <w:r>
            <w:rPr>
              <w:rStyle w:val="23"/>
              <w:rFonts w:hint="eastAsia" w:ascii="Times New Roman" w:hAnsi="Times New Roman" w:cs="Times New Roman"/>
            </w:rPr>
            <w:t>发展都市生态新型农业</w:t>
          </w:r>
          <w:r>
            <w:tab/>
          </w:r>
          <w:r>
            <w:fldChar w:fldCharType="begin"/>
          </w:r>
          <w:r>
            <w:instrText xml:space="preserve"> PAGEREF _Toc75764631 \h </w:instrText>
          </w:r>
          <w:r>
            <w:fldChar w:fldCharType="separate"/>
          </w:r>
          <w:r>
            <w:t>- 24 -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"_Toc75764632" </w:instrText>
          </w:r>
          <w:r>
            <w:fldChar w:fldCharType="separate"/>
          </w:r>
          <w:r>
            <w:rPr>
              <w:rStyle w:val="23"/>
              <w:rFonts w:hint="eastAsia" w:ascii="Times New Roman" w:hAnsi="Times New Roman" w:cs="Times New Roman"/>
            </w:rPr>
            <w:t>第四节</w:t>
          </w:r>
          <w:r>
            <w:rPr>
              <w:rStyle w:val="23"/>
              <w:rFonts w:ascii="Times New Roman" w:hAnsi="Times New Roman" w:cs="Times New Roman"/>
            </w:rPr>
            <w:t xml:space="preserve"> </w:t>
          </w:r>
          <w:r>
            <w:rPr>
              <w:rStyle w:val="23"/>
              <w:rFonts w:hint="eastAsia" w:ascii="Times New Roman" w:hAnsi="Times New Roman" w:cs="Times New Roman"/>
            </w:rPr>
            <w:t>大力实施创新驱动战略</w:t>
          </w:r>
          <w:r>
            <w:tab/>
          </w:r>
          <w:r>
            <w:fldChar w:fldCharType="begin"/>
          </w:r>
          <w:r>
            <w:instrText xml:space="preserve"> PAGEREF _Toc75764632 \h </w:instrText>
          </w:r>
          <w:r>
            <w:fldChar w:fldCharType="separate"/>
          </w:r>
          <w:r>
            <w:t>- 24 -</w:t>
          </w:r>
          <w:r>
            <w:fldChar w:fldCharType="end"/>
          </w:r>
          <w:r>
            <w:fldChar w:fldCharType="end"/>
          </w:r>
        </w:p>
        <w:p>
          <w:pPr>
            <w:pStyle w:val="12"/>
            <w:tabs>
              <w:tab w:val="left" w:pos="1810"/>
            </w:tabs>
            <w:rPr>
              <w:rFonts w:asciiTheme="minorHAnsi" w:hAnsiTheme="minorHAnsi" w:eastAsiaTheme="minorEastAsia"/>
              <w:sz w:val="21"/>
            </w:rPr>
          </w:pPr>
          <w:r>
            <w:fldChar w:fldCharType="begin"/>
          </w:r>
          <w:r>
            <w:instrText xml:space="preserve"> HYPERLINK \l "_Toc75764633" </w:instrText>
          </w:r>
          <w:r>
            <w:fldChar w:fldCharType="separate"/>
          </w:r>
          <w:r>
            <w:rPr>
              <w:rStyle w:val="23"/>
              <w:rFonts w:hint="eastAsia" w:ascii="Times New Roman" w:hAnsi="Times New Roman" w:cs="Times New Roman"/>
            </w:rPr>
            <w:t>第四章</w:t>
          </w:r>
          <w:r>
            <w:rPr>
              <w:rFonts w:asciiTheme="minorHAnsi" w:hAnsiTheme="minorHAnsi" w:eastAsiaTheme="minorEastAsia"/>
              <w:sz w:val="21"/>
            </w:rPr>
            <w:tab/>
          </w:r>
          <w:r>
            <w:rPr>
              <w:rStyle w:val="23"/>
              <w:rFonts w:hint="eastAsia" w:ascii="Times New Roman" w:hAnsi="Times New Roman" w:cs="Times New Roman"/>
            </w:rPr>
            <w:t>全面提升城市魅力</w:t>
          </w:r>
          <w:r>
            <w:tab/>
          </w:r>
          <w:r>
            <w:fldChar w:fldCharType="begin"/>
          </w:r>
          <w:r>
            <w:instrText xml:space="preserve"> PAGEREF _Toc75764633 \h </w:instrText>
          </w:r>
          <w:r>
            <w:fldChar w:fldCharType="separate"/>
          </w:r>
          <w:r>
            <w:t>- 26 -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"_Toc75764634" </w:instrText>
          </w:r>
          <w:r>
            <w:fldChar w:fldCharType="separate"/>
          </w:r>
          <w:r>
            <w:rPr>
              <w:rStyle w:val="23"/>
              <w:rFonts w:hint="eastAsia" w:ascii="Times New Roman" w:hAnsi="Times New Roman" w:cs="Times New Roman"/>
            </w:rPr>
            <w:t>第一节</w:t>
          </w:r>
          <w:r>
            <w:rPr>
              <w:rStyle w:val="23"/>
              <w:rFonts w:ascii="Times New Roman" w:hAnsi="Times New Roman" w:cs="Times New Roman"/>
            </w:rPr>
            <w:t xml:space="preserve"> </w:t>
          </w:r>
          <w:r>
            <w:rPr>
              <w:rStyle w:val="23"/>
              <w:rFonts w:hint="eastAsia" w:ascii="Times New Roman" w:hAnsi="Times New Roman" w:cs="Times New Roman"/>
            </w:rPr>
            <w:t>实施城市更新行动</w:t>
          </w:r>
          <w:r>
            <w:tab/>
          </w:r>
          <w:r>
            <w:fldChar w:fldCharType="begin"/>
          </w:r>
          <w:r>
            <w:instrText xml:space="preserve"> PAGEREF _Toc75764634 \h </w:instrText>
          </w:r>
          <w:r>
            <w:fldChar w:fldCharType="separate"/>
          </w:r>
          <w:r>
            <w:t>- 26 -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"_Toc75764635" </w:instrText>
          </w:r>
          <w:r>
            <w:fldChar w:fldCharType="separate"/>
          </w:r>
          <w:r>
            <w:rPr>
              <w:rStyle w:val="23"/>
              <w:rFonts w:hint="eastAsia" w:ascii="Times New Roman" w:hAnsi="Times New Roman" w:cs="Times New Roman"/>
            </w:rPr>
            <w:t>第二节</w:t>
          </w:r>
          <w:r>
            <w:rPr>
              <w:rStyle w:val="23"/>
              <w:rFonts w:ascii="Times New Roman" w:hAnsi="Times New Roman" w:cs="Times New Roman"/>
            </w:rPr>
            <w:t xml:space="preserve"> </w:t>
          </w:r>
          <w:r>
            <w:rPr>
              <w:rStyle w:val="23"/>
              <w:rFonts w:hint="eastAsia" w:ascii="Times New Roman" w:hAnsi="Times New Roman" w:cs="Times New Roman"/>
            </w:rPr>
            <w:t>提升城市管理水平</w:t>
          </w:r>
          <w:r>
            <w:tab/>
          </w:r>
          <w:r>
            <w:fldChar w:fldCharType="begin"/>
          </w:r>
          <w:r>
            <w:instrText xml:space="preserve"> PAGEREF _Toc75764635 \h </w:instrText>
          </w:r>
          <w:r>
            <w:fldChar w:fldCharType="separate"/>
          </w:r>
          <w:r>
            <w:t>- 29 -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"_Toc75764636" </w:instrText>
          </w:r>
          <w:r>
            <w:fldChar w:fldCharType="separate"/>
          </w:r>
          <w:r>
            <w:rPr>
              <w:rStyle w:val="23"/>
              <w:rFonts w:hint="eastAsia" w:ascii="Times New Roman" w:hAnsi="Times New Roman" w:cs="Times New Roman"/>
            </w:rPr>
            <w:t>第三节</w:t>
          </w:r>
          <w:r>
            <w:rPr>
              <w:rStyle w:val="23"/>
              <w:rFonts w:ascii="Times New Roman" w:hAnsi="Times New Roman" w:cs="Times New Roman"/>
            </w:rPr>
            <w:t xml:space="preserve"> </w:t>
          </w:r>
          <w:r>
            <w:rPr>
              <w:rStyle w:val="23"/>
              <w:rFonts w:hint="eastAsia" w:ascii="Times New Roman" w:hAnsi="Times New Roman" w:cs="Times New Roman"/>
            </w:rPr>
            <w:t>加强城乡融合发展</w:t>
          </w:r>
          <w:r>
            <w:tab/>
          </w:r>
          <w:r>
            <w:fldChar w:fldCharType="begin"/>
          </w:r>
          <w:r>
            <w:instrText xml:space="preserve"> PAGEREF _Toc75764636 \h </w:instrText>
          </w:r>
          <w:r>
            <w:fldChar w:fldCharType="separate"/>
          </w:r>
          <w:r>
            <w:t>- 30 -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"_Toc75764637" </w:instrText>
          </w:r>
          <w:r>
            <w:fldChar w:fldCharType="separate"/>
          </w:r>
          <w:r>
            <w:rPr>
              <w:rStyle w:val="23"/>
              <w:rFonts w:hint="eastAsia" w:ascii="Times New Roman" w:hAnsi="Times New Roman" w:cs="Times New Roman"/>
            </w:rPr>
            <w:t>第四节</w:t>
          </w:r>
          <w:r>
            <w:rPr>
              <w:rStyle w:val="23"/>
              <w:rFonts w:ascii="Times New Roman" w:hAnsi="Times New Roman" w:cs="Times New Roman"/>
            </w:rPr>
            <w:t xml:space="preserve"> </w:t>
          </w:r>
          <w:r>
            <w:rPr>
              <w:rStyle w:val="23"/>
              <w:rFonts w:hint="eastAsia" w:ascii="Times New Roman" w:hAnsi="Times New Roman" w:cs="Times New Roman"/>
            </w:rPr>
            <w:t>构筑生态文明体系</w:t>
          </w:r>
          <w:r>
            <w:tab/>
          </w:r>
          <w:r>
            <w:fldChar w:fldCharType="begin"/>
          </w:r>
          <w:r>
            <w:instrText xml:space="preserve"> PAGEREF _Toc75764637 \h </w:instrText>
          </w:r>
          <w:r>
            <w:fldChar w:fldCharType="separate"/>
          </w:r>
          <w:r>
            <w:t>- 31 -</w:t>
          </w:r>
          <w:r>
            <w:fldChar w:fldCharType="end"/>
          </w:r>
          <w:r>
            <w:fldChar w:fldCharType="end"/>
          </w:r>
        </w:p>
        <w:p>
          <w:pPr>
            <w:pStyle w:val="12"/>
            <w:tabs>
              <w:tab w:val="left" w:pos="1810"/>
            </w:tabs>
            <w:rPr>
              <w:rFonts w:asciiTheme="minorHAnsi" w:hAnsiTheme="minorHAnsi" w:eastAsiaTheme="minorEastAsia"/>
              <w:sz w:val="21"/>
            </w:rPr>
          </w:pPr>
          <w:r>
            <w:fldChar w:fldCharType="begin"/>
          </w:r>
          <w:r>
            <w:instrText xml:space="preserve"> HYPERLINK \l "_Toc75764638" </w:instrText>
          </w:r>
          <w:r>
            <w:fldChar w:fldCharType="separate"/>
          </w:r>
          <w:r>
            <w:rPr>
              <w:rStyle w:val="23"/>
              <w:rFonts w:hint="eastAsia" w:ascii="Times New Roman" w:hAnsi="Times New Roman" w:cs="Times New Roman"/>
            </w:rPr>
            <w:t>第五章</w:t>
          </w:r>
          <w:r>
            <w:rPr>
              <w:rFonts w:asciiTheme="minorHAnsi" w:hAnsiTheme="minorHAnsi" w:eastAsiaTheme="minorEastAsia"/>
              <w:sz w:val="21"/>
            </w:rPr>
            <w:tab/>
          </w:r>
          <w:r>
            <w:rPr>
              <w:rStyle w:val="23"/>
              <w:rFonts w:hint="eastAsia" w:ascii="Times New Roman" w:hAnsi="Times New Roman" w:cs="Times New Roman"/>
            </w:rPr>
            <w:t>建成改革开放高地</w:t>
          </w:r>
          <w:r>
            <w:tab/>
          </w:r>
          <w:r>
            <w:fldChar w:fldCharType="begin"/>
          </w:r>
          <w:r>
            <w:instrText xml:space="preserve"> PAGEREF _Toc75764638 \h </w:instrText>
          </w:r>
          <w:r>
            <w:fldChar w:fldCharType="separate"/>
          </w:r>
          <w:r>
            <w:t>- 33 -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"_Toc75764639" </w:instrText>
          </w:r>
          <w:r>
            <w:fldChar w:fldCharType="separate"/>
          </w:r>
          <w:r>
            <w:rPr>
              <w:rStyle w:val="23"/>
              <w:rFonts w:hint="eastAsia"/>
            </w:rPr>
            <w:t>第一节</w:t>
          </w:r>
          <w:r>
            <w:rPr>
              <w:rStyle w:val="23"/>
            </w:rPr>
            <w:t xml:space="preserve"> </w:t>
          </w:r>
          <w:r>
            <w:rPr>
              <w:rStyle w:val="23"/>
              <w:rFonts w:hint="eastAsia"/>
            </w:rPr>
            <w:t>积极融入新发展格局</w:t>
          </w:r>
          <w:r>
            <w:tab/>
          </w:r>
          <w:r>
            <w:fldChar w:fldCharType="begin"/>
          </w:r>
          <w:r>
            <w:instrText xml:space="preserve"> PAGEREF _Toc75764639 \h </w:instrText>
          </w:r>
          <w:r>
            <w:fldChar w:fldCharType="separate"/>
          </w:r>
          <w:r>
            <w:t>- 33 -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"_Toc75764640" </w:instrText>
          </w:r>
          <w:r>
            <w:fldChar w:fldCharType="separate"/>
          </w:r>
          <w:r>
            <w:rPr>
              <w:rStyle w:val="23"/>
              <w:rFonts w:hint="eastAsia" w:ascii="Times New Roman" w:hAnsi="Times New Roman" w:cs="Times New Roman"/>
            </w:rPr>
            <w:t>第二节</w:t>
          </w:r>
          <w:r>
            <w:rPr>
              <w:rStyle w:val="23"/>
              <w:rFonts w:ascii="Times New Roman" w:hAnsi="Times New Roman" w:cs="Times New Roman"/>
            </w:rPr>
            <w:t xml:space="preserve"> </w:t>
          </w:r>
          <w:r>
            <w:rPr>
              <w:rStyle w:val="23"/>
              <w:rFonts w:hint="eastAsia" w:ascii="Times New Roman" w:hAnsi="Times New Roman" w:cs="Times New Roman"/>
            </w:rPr>
            <w:t>全面深化改革开放</w:t>
          </w:r>
          <w:r>
            <w:tab/>
          </w:r>
          <w:r>
            <w:fldChar w:fldCharType="begin"/>
          </w:r>
          <w:r>
            <w:instrText xml:space="preserve"> PAGEREF _Toc75764640 \h </w:instrText>
          </w:r>
          <w:r>
            <w:fldChar w:fldCharType="separate"/>
          </w:r>
          <w:r>
            <w:t>- 34 -</w:t>
          </w:r>
          <w:r>
            <w:fldChar w:fldCharType="end"/>
          </w:r>
          <w:r>
            <w:fldChar w:fldCharType="end"/>
          </w:r>
        </w:p>
        <w:p>
          <w:pPr>
            <w:pStyle w:val="12"/>
            <w:tabs>
              <w:tab w:val="left" w:pos="1810"/>
            </w:tabs>
            <w:rPr>
              <w:rFonts w:asciiTheme="minorHAnsi" w:hAnsiTheme="minorHAnsi" w:eastAsiaTheme="minorEastAsia"/>
              <w:sz w:val="21"/>
            </w:rPr>
          </w:pPr>
          <w:r>
            <w:fldChar w:fldCharType="begin"/>
          </w:r>
          <w:r>
            <w:instrText xml:space="preserve"> HYPERLINK \l "_Toc75764641" </w:instrText>
          </w:r>
          <w:r>
            <w:fldChar w:fldCharType="separate"/>
          </w:r>
          <w:r>
            <w:rPr>
              <w:rStyle w:val="23"/>
              <w:rFonts w:hint="eastAsia" w:ascii="Times New Roman" w:hAnsi="Times New Roman" w:cs="Times New Roman"/>
            </w:rPr>
            <w:t>第六章</w:t>
          </w:r>
          <w:r>
            <w:rPr>
              <w:rFonts w:asciiTheme="minorHAnsi" w:hAnsiTheme="minorHAnsi" w:eastAsiaTheme="minorEastAsia"/>
              <w:sz w:val="21"/>
            </w:rPr>
            <w:tab/>
          </w:r>
          <w:r>
            <w:rPr>
              <w:rStyle w:val="23"/>
              <w:rFonts w:hint="eastAsia" w:ascii="Times New Roman" w:hAnsi="Times New Roman" w:cs="Times New Roman"/>
            </w:rPr>
            <w:t>建设品质幸福之区</w:t>
          </w:r>
          <w:r>
            <w:tab/>
          </w:r>
          <w:r>
            <w:fldChar w:fldCharType="begin"/>
          </w:r>
          <w:r>
            <w:instrText xml:space="preserve"> PAGEREF _Toc75764641 \h </w:instrText>
          </w:r>
          <w:r>
            <w:fldChar w:fldCharType="separate"/>
          </w:r>
          <w:r>
            <w:t>- 36 -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"_Toc75764642" </w:instrText>
          </w:r>
          <w:r>
            <w:fldChar w:fldCharType="separate"/>
          </w:r>
          <w:r>
            <w:rPr>
              <w:rStyle w:val="23"/>
              <w:rFonts w:hint="eastAsia" w:ascii="Times New Roman" w:hAnsi="Times New Roman" w:cs="Times New Roman"/>
            </w:rPr>
            <w:t>第一节</w:t>
          </w:r>
          <w:r>
            <w:rPr>
              <w:rStyle w:val="23"/>
              <w:rFonts w:ascii="Times New Roman" w:hAnsi="Times New Roman" w:cs="Times New Roman"/>
            </w:rPr>
            <w:t xml:space="preserve"> </w:t>
          </w:r>
          <w:r>
            <w:rPr>
              <w:rStyle w:val="23"/>
              <w:rFonts w:hint="eastAsia" w:ascii="Times New Roman" w:hAnsi="Times New Roman" w:cs="Times New Roman"/>
            </w:rPr>
            <w:t>打造优质教育强区</w:t>
          </w:r>
          <w:r>
            <w:tab/>
          </w:r>
          <w:r>
            <w:fldChar w:fldCharType="begin"/>
          </w:r>
          <w:r>
            <w:instrText xml:space="preserve"> PAGEREF _Toc75764642 \h </w:instrText>
          </w:r>
          <w:r>
            <w:fldChar w:fldCharType="separate"/>
          </w:r>
          <w:r>
            <w:t>- 36 -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"_Toc75764643" </w:instrText>
          </w:r>
          <w:r>
            <w:fldChar w:fldCharType="separate"/>
          </w:r>
          <w:r>
            <w:rPr>
              <w:rStyle w:val="23"/>
              <w:rFonts w:hint="eastAsia" w:ascii="Times New Roman" w:hAnsi="Times New Roman" w:cs="Times New Roman"/>
            </w:rPr>
            <w:t>第二节</w:t>
          </w:r>
          <w:r>
            <w:rPr>
              <w:rStyle w:val="23"/>
              <w:rFonts w:ascii="Times New Roman" w:hAnsi="Times New Roman" w:cs="Times New Roman"/>
            </w:rPr>
            <w:t xml:space="preserve"> </w:t>
          </w:r>
          <w:r>
            <w:rPr>
              <w:rStyle w:val="23"/>
              <w:rFonts w:hint="eastAsia" w:ascii="Times New Roman" w:hAnsi="Times New Roman" w:cs="Times New Roman"/>
            </w:rPr>
            <w:t>推动文化繁荣兴盛</w:t>
          </w:r>
          <w:r>
            <w:tab/>
          </w:r>
          <w:r>
            <w:fldChar w:fldCharType="begin"/>
          </w:r>
          <w:r>
            <w:instrText xml:space="preserve"> PAGEREF _Toc75764643 \h </w:instrText>
          </w:r>
          <w:r>
            <w:fldChar w:fldCharType="separate"/>
          </w:r>
          <w:r>
            <w:t>- 38 -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"_Toc75764644" </w:instrText>
          </w:r>
          <w:r>
            <w:fldChar w:fldCharType="separate"/>
          </w:r>
          <w:r>
            <w:rPr>
              <w:rStyle w:val="23"/>
              <w:rFonts w:hint="eastAsia" w:ascii="Times New Roman" w:hAnsi="Times New Roman" w:cs="Times New Roman"/>
            </w:rPr>
            <w:t>第三节</w:t>
          </w:r>
          <w:r>
            <w:rPr>
              <w:rStyle w:val="23"/>
              <w:rFonts w:ascii="Times New Roman" w:hAnsi="Times New Roman" w:cs="Times New Roman"/>
            </w:rPr>
            <w:t xml:space="preserve"> </w:t>
          </w:r>
          <w:r>
            <w:rPr>
              <w:rStyle w:val="23"/>
              <w:rFonts w:hint="eastAsia" w:ascii="Times New Roman" w:hAnsi="Times New Roman" w:cs="Times New Roman"/>
            </w:rPr>
            <w:t>提高居民健康水平</w:t>
          </w:r>
          <w:r>
            <w:tab/>
          </w:r>
          <w:r>
            <w:fldChar w:fldCharType="begin"/>
          </w:r>
          <w:r>
            <w:instrText xml:space="preserve"> PAGEREF _Toc75764644 \h </w:instrText>
          </w:r>
          <w:r>
            <w:fldChar w:fldCharType="separate"/>
          </w:r>
          <w:r>
            <w:t>- 41 -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"_Toc75764645" </w:instrText>
          </w:r>
          <w:r>
            <w:fldChar w:fldCharType="separate"/>
          </w:r>
          <w:r>
            <w:rPr>
              <w:rStyle w:val="23"/>
              <w:rFonts w:hint="eastAsia" w:ascii="Times New Roman" w:hAnsi="Times New Roman" w:cs="Times New Roman"/>
            </w:rPr>
            <w:t>第四节</w:t>
          </w:r>
          <w:r>
            <w:rPr>
              <w:rStyle w:val="23"/>
              <w:rFonts w:ascii="Times New Roman" w:hAnsi="Times New Roman" w:cs="Times New Roman"/>
            </w:rPr>
            <w:t xml:space="preserve"> </w:t>
          </w:r>
          <w:r>
            <w:rPr>
              <w:rStyle w:val="23"/>
              <w:rFonts w:hint="eastAsia" w:ascii="Times New Roman" w:hAnsi="Times New Roman" w:cs="Times New Roman"/>
            </w:rPr>
            <w:t>优化社会保障体系</w:t>
          </w:r>
          <w:r>
            <w:tab/>
          </w:r>
          <w:r>
            <w:fldChar w:fldCharType="begin"/>
          </w:r>
          <w:r>
            <w:instrText xml:space="preserve"> PAGEREF _Toc75764645 \h </w:instrText>
          </w:r>
          <w:r>
            <w:fldChar w:fldCharType="separate"/>
          </w:r>
          <w:r>
            <w:t>- 42 -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"_Toc75764646" </w:instrText>
          </w:r>
          <w:r>
            <w:fldChar w:fldCharType="separate"/>
          </w:r>
          <w:r>
            <w:rPr>
              <w:rStyle w:val="23"/>
              <w:rFonts w:hint="eastAsia" w:ascii="Times New Roman" w:hAnsi="Times New Roman" w:cs="Times New Roman"/>
            </w:rPr>
            <w:t>第五节</w:t>
          </w:r>
          <w:r>
            <w:rPr>
              <w:rStyle w:val="23"/>
              <w:rFonts w:ascii="Times New Roman" w:hAnsi="Times New Roman" w:cs="Times New Roman"/>
            </w:rPr>
            <w:t xml:space="preserve"> </w:t>
          </w:r>
          <w:r>
            <w:rPr>
              <w:rStyle w:val="23"/>
              <w:rFonts w:hint="eastAsia" w:ascii="Times New Roman" w:hAnsi="Times New Roman" w:cs="Times New Roman"/>
            </w:rPr>
            <w:t>建设平安和谐天桥</w:t>
          </w:r>
          <w:r>
            <w:tab/>
          </w:r>
          <w:r>
            <w:fldChar w:fldCharType="begin"/>
          </w:r>
          <w:r>
            <w:instrText xml:space="preserve"> PAGEREF _Toc75764646 \h </w:instrText>
          </w:r>
          <w:r>
            <w:fldChar w:fldCharType="separate"/>
          </w:r>
          <w:r>
            <w:t>- 44 -</w:t>
          </w:r>
          <w:r>
            <w:fldChar w:fldCharType="end"/>
          </w:r>
          <w:r>
            <w:fldChar w:fldCharType="end"/>
          </w:r>
        </w:p>
        <w:p>
          <w:pPr>
            <w:pStyle w:val="12"/>
            <w:tabs>
              <w:tab w:val="left" w:pos="1810"/>
            </w:tabs>
            <w:rPr>
              <w:rFonts w:asciiTheme="minorHAnsi" w:hAnsiTheme="minorHAnsi" w:eastAsiaTheme="minorEastAsia"/>
              <w:sz w:val="21"/>
            </w:rPr>
          </w:pPr>
          <w:r>
            <w:fldChar w:fldCharType="begin"/>
          </w:r>
          <w:r>
            <w:instrText xml:space="preserve"> HYPERLINK \l "_Toc75764647" </w:instrText>
          </w:r>
          <w:r>
            <w:fldChar w:fldCharType="separate"/>
          </w:r>
          <w:r>
            <w:rPr>
              <w:rStyle w:val="23"/>
              <w:rFonts w:hint="eastAsia" w:ascii="Times New Roman" w:hAnsi="Times New Roman" w:cs="Times New Roman"/>
            </w:rPr>
            <w:t>第七章</w:t>
          </w:r>
          <w:r>
            <w:rPr>
              <w:rFonts w:asciiTheme="minorHAnsi" w:hAnsiTheme="minorHAnsi" w:eastAsiaTheme="minorEastAsia"/>
              <w:sz w:val="21"/>
            </w:rPr>
            <w:tab/>
          </w:r>
          <w:r>
            <w:rPr>
              <w:rStyle w:val="23"/>
              <w:rFonts w:hint="eastAsia" w:ascii="Times New Roman" w:hAnsi="Times New Roman" w:cs="Times New Roman"/>
            </w:rPr>
            <w:t>保障措施</w:t>
          </w:r>
          <w:r>
            <w:tab/>
          </w:r>
          <w:r>
            <w:fldChar w:fldCharType="begin"/>
          </w:r>
          <w:r>
            <w:instrText xml:space="preserve"> PAGEREF _Toc75764647 \h </w:instrText>
          </w:r>
          <w:r>
            <w:fldChar w:fldCharType="separate"/>
          </w:r>
          <w:r>
            <w:t>- 45 -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"_Toc75764648" </w:instrText>
          </w:r>
          <w:r>
            <w:fldChar w:fldCharType="separate"/>
          </w:r>
          <w:r>
            <w:rPr>
              <w:rStyle w:val="23"/>
              <w:rFonts w:hint="eastAsia" w:ascii="Times New Roman" w:hAnsi="Times New Roman" w:cs="Times New Roman"/>
            </w:rPr>
            <w:t>第一节</w:t>
          </w:r>
          <w:r>
            <w:rPr>
              <w:rStyle w:val="23"/>
              <w:rFonts w:ascii="Times New Roman" w:hAnsi="Times New Roman" w:cs="Times New Roman"/>
            </w:rPr>
            <w:t xml:space="preserve"> </w:t>
          </w:r>
          <w:r>
            <w:rPr>
              <w:rStyle w:val="23"/>
              <w:rFonts w:hint="eastAsia" w:ascii="Times New Roman" w:hAnsi="Times New Roman" w:cs="Times New Roman"/>
            </w:rPr>
            <w:t>全面加强党的领导</w:t>
          </w:r>
          <w:r>
            <w:tab/>
          </w:r>
          <w:r>
            <w:fldChar w:fldCharType="begin"/>
          </w:r>
          <w:r>
            <w:instrText xml:space="preserve"> PAGEREF _Toc75764648 \h </w:instrText>
          </w:r>
          <w:r>
            <w:fldChar w:fldCharType="separate"/>
          </w:r>
          <w:r>
            <w:t>- 46 -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"_Toc75764649" </w:instrText>
          </w:r>
          <w:r>
            <w:fldChar w:fldCharType="separate"/>
          </w:r>
          <w:r>
            <w:rPr>
              <w:rStyle w:val="23"/>
              <w:rFonts w:hint="eastAsia" w:ascii="Times New Roman" w:hAnsi="Times New Roman" w:cs="Times New Roman"/>
            </w:rPr>
            <w:t>第二节</w:t>
          </w:r>
          <w:r>
            <w:rPr>
              <w:rStyle w:val="23"/>
              <w:rFonts w:ascii="Times New Roman" w:hAnsi="Times New Roman" w:cs="Times New Roman"/>
            </w:rPr>
            <w:t xml:space="preserve"> </w:t>
          </w:r>
          <w:r>
            <w:rPr>
              <w:rStyle w:val="23"/>
              <w:rFonts w:hint="eastAsia" w:ascii="Times New Roman" w:hAnsi="Times New Roman" w:cs="Times New Roman"/>
            </w:rPr>
            <w:t>广泛凝聚工作合力</w:t>
          </w:r>
          <w:r>
            <w:tab/>
          </w:r>
          <w:r>
            <w:fldChar w:fldCharType="begin"/>
          </w:r>
          <w:r>
            <w:instrText xml:space="preserve"> PAGEREF _Toc75764649 \h </w:instrText>
          </w:r>
          <w:r>
            <w:fldChar w:fldCharType="separate"/>
          </w:r>
          <w:r>
            <w:t>- 47 -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"_Toc75764650" </w:instrText>
          </w:r>
          <w:r>
            <w:fldChar w:fldCharType="separate"/>
          </w:r>
          <w:r>
            <w:rPr>
              <w:rStyle w:val="23"/>
              <w:rFonts w:hint="eastAsia" w:ascii="Times New Roman" w:hAnsi="Times New Roman" w:cs="Times New Roman"/>
            </w:rPr>
            <w:t>第三节</w:t>
          </w:r>
          <w:r>
            <w:rPr>
              <w:rStyle w:val="23"/>
              <w:rFonts w:ascii="Times New Roman" w:hAnsi="Times New Roman" w:cs="Times New Roman"/>
            </w:rPr>
            <w:t xml:space="preserve"> </w:t>
          </w:r>
          <w:r>
            <w:rPr>
              <w:rStyle w:val="23"/>
              <w:rFonts w:hint="eastAsia" w:ascii="Times New Roman" w:hAnsi="Times New Roman" w:cs="Times New Roman"/>
            </w:rPr>
            <w:t>强化各类要素保障</w:t>
          </w:r>
          <w:r>
            <w:tab/>
          </w:r>
          <w:r>
            <w:fldChar w:fldCharType="begin"/>
          </w:r>
          <w:r>
            <w:instrText xml:space="preserve"> PAGEREF _Toc75764650 \h </w:instrText>
          </w:r>
          <w:r>
            <w:fldChar w:fldCharType="separate"/>
          </w:r>
          <w:r>
            <w:t>- 48 -</w:t>
          </w:r>
          <w:r>
            <w:fldChar w:fldCharType="end"/>
          </w:r>
          <w:r>
            <w:fldChar w:fldCharType="end"/>
          </w:r>
        </w:p>
        <w:p>
          <w:pPr>
            <w:pStyle w:val="13"/>
            <w:tabs>
              <w:tab w:val="right" w:leader="dot" w:pos="8296"/>
            </w:tabs>
            <w:ind w:left="640" w:firstLine="640"/>
            <w:rPr>
              <w:rFonts w:asciiTheme="minorHAnsi" w:hAnsiTheme="minorHAnsi" w:eastAsiaTheme="minorEastAsia"/>
              <w:sz w:val="21"/>
            </w:rPr>
          </w:pPr>
          <w:r>
            <w:fldChar w:fldCharType="begin"/>
          </w:r>
          <w:r>
            <w:instrText xml:space="preserve"> HYPERLINK \l "_Toc75764651" </w:instrText>
          </w:r>
          <w:r>
            <w:fldChar w:fldCharType="separate"/>
          </w:r>
          <w:r>
            <w:rPr>
              <w:rStyle w:val="23"/>
              <w:rFonts w:hint="eastAsia" w:ascii="Times New Roman" w:hAnsi="Times New Roman" w:cs="Times New Roman"/>
            </w:rPr>
            <w:t>第四节</w:t>
          </w:r>
          <w:r>
            <w:rPr>
              <w:rStyle w:val="23"/>
              <w:rFonts w:ascii="Times New Roman" w:hAnsi="Times New Roman" w:cs="Times New Roman"/>
            </w:rPr>
            <w:t xml:space="preserve"> </w:t>
          </w:r>
          <w:r>
            <w:rPr>
              <w:rStyle w:val="23"/>
              <w:rFonts w:hint="eastAsia" w:ascii="Times New Roman" w:hAnsi="Times New Roman" w:cs="Times New Roman"/>
            </w:rPr>
            <w:t>切实抓好高效落实</w:t>
          </w:r>
          <w:r>
            <w:tab/>
          </w:r>
          <w:r>
            <w:fldChar w:fldCharType="begin"/>
          </w:r>
          <w:r>
            <w:instrText xml:space="preserve"> PAGEREF _Toc75764651 \h </w:instrText>
          </w:r>
          <w:r>
            <w:fldChar w:fldCharType="separate"/>
          </w:r>
          <w:r>
            <w:t>- 48 -</w:t>
          </w:r>
          <w:r>
            <w:fldChar w:fldCharType="end"/>
          </w:r>
          <w:r>
            <w:fldChar w:fldCharType="end"/>
          </w:r>
        </w:p>
        <w:p>
          <w:pPr>
            <w:spacing w:line="560" w:lineRule="exact"/>
            <w:ind w:firstLine="0" w:firstLineChars="0"/>
            <w:textAlignment w:val="baseline"/>
            <w:rPr>
              <w:rFonts w:ascii="Times New Roman" w:hAnsi="Times New Roman" w:cs="Times New Roman"/>
              <w:color w:val="000000"/>
              <w:sz w:val="28"/>
              <w:szCs w:val="28"/>
              <w:lang w:val="zh-CN"/>
            </w:rPr>
          </w:pPr>
          <w:r>
            <w:fldChar w:fldCharType="end"/>
          </w:r>
        </w:p>
      </w:sdtContent>
    </w:sdt>
    <w:p>
      <w:pPr>
        <w:spacing w:line="540" w:lineRule="exact"/>
        <w:ind w:firstLine="0" w:firstLineChars="0"/>
        <w:textAlignment w:val="baseline"/>
        <w:rPr>
          <w:rFonts w:ascii="Times New Roman" w:hAnsi="Times New Roman" w:cs="Times New Roman"/>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984" w:right="1502" w:bottom="1814" w:left="1502" w:header="851" w:footer="992" w:gutter="0"/>
          <w:pgNumType w:fmt="lowerRoman" w:start="1"/>
          <w:cols w:space="425" w:num="1"/>
          <w:docGrid w:type="lines" w:linePitch="312" w:charSpace="0"/>
        </w:sectPr>
      </w:pPr>
      <w:r>
        <w:rPr>
          <w:rFonts w:ascii="Times New Roman" w:hAnsi="Times New Roman" w:cs="Times New Roman"/>
          <w:sz w:val="28"/>
          <w:szCs w:val="28"/>
          <w:lang w:val="zh-CN"/>
        </w:rPr>
        <w:tab/>
      </w:r>
    </w:p>
    <w:p>
      <w:pPr>
        <w:spacing w:line="620" w:lineRule="exact"/>
        <w:ind w:firstLine="640"/>
        <w:textAlignment w:val="baseline"/>
        <w:rPr>
          <w:rFonts w:ascii="Times New Roman" w:hAnsi="Times New Roman" w:cs="Times New Roman"/>
          <w:kern w:val="0"/>
          <w:sz w:val="20"/>
          <w:szCs w:val="36"/>
        </w:rPr>
      </w:pPr>
      <w:r>
        <w:rPr>
          <w:rFonts w:ascii="Times New Roman" w:hAnsi="Times New Roman" w:cs="Times New Roman"/>
          <w:kern w:val="0"/>
          <w:szCs w:val="36"/>
        </w:rPr>
        <w:t>济南市天桥区国民经济和社会发展第十四个五年规划和二</w:t>
      </w:r>
      <w:r>
        <w:rPr>
          <w:rFonts w:hint="eastAsia" w:ascii="微软雅黑" w:hAnsi="微软雅黑" w:eastAsia="微软雅黑" w:cs="微软雅黑"/>
          <w:kern w:val="0"/>
          <w:szCs w:val="36"/>
        </w:rPr>
        <w:t>〇</w:t>
      </w:r>
      <w:r>
        <w:rPr>
          <w:rFonts w:ascii="Times New Roman" w:hAnsi="Times New Roman" w:cs="Times New Roman"/>
          <w:kern w:val="0"/>
          <w:szCs w:val="36"/>
        </w:rPr>
        <w:t>三五年远景目标纲要，以习近平新时代中国特色社会主义思想为指导，深入贯彻党的十九届五中全会精神，认真落实中共山东省委十一届十二次全会</w:t>
      </w:r>
      <w:r>
        <w:rPr>
          <w:rFonts w:hint="eastAsia" w:ascii="Times New Roman" w:hAnsi="Times New Roman" w:cs="Times New Roman"/>
          <w:kern w:val="0"/>
          <w:szCs w:val="36"/>
        </w:rPr>
        <w:t>、</w:t>
      </w:r>
      <w:r>
        <w:rPr>
          <w:rFonts w:ascii="Times New Roman" w:hAnsi="Times New Roman" w:cs="Times New Roman"/>
          <w:kern w:val="0"/>
          <w:szCs w:val="36"/>
        </w:rPr>
        <w:t>市委</w:t>
      </w:r>
      <w:r>
        <w:rPr>
          <w:rFonts w:ascii="Times New Roman" w:hAnsi="Times New Roman" w:cs="Times New Roman"/>
          <w:color w:val="000000"/>
        </w:rPr>
        <w:t>十一届十二次全会和区委十二届九次全会</w:t>
      </w:r>
      <w:r>
        <w:rPr>
          <w:rFonts w:ascii="Times New Roman" w:hAnsi="Times New Roman" w:cs="Times New Roman"/>
          <w:kern w:val="0"/>
          <w:szCs w:val="36"/>
        </w:rPr>
        <w:t>部署，根据《中共济南市天桥区委关于制定济南市天桥区国民经济和社会发展第十四个五年规划和二</w:t>
      </w:r>
      <w:r>
        <w:rPr>
          <w:rFonts w:hint="eastAsia" w:ascii="微软雅黑" w:hAnsi="微软雅黑" w:eastAsia="微软雅黑" w:cs="微软雅黑"/>
          <w:kern w:val="0"/>
          <w:szCs w:val="36"/>
        </w:rPr>
        <w:t>〇</w:t>
      </w:r>
      <w:r>
        <w:rPr>
          <w:rFonts w:ascii="Times New Roman" w:hAnsi="Times New Roman" w:cs="Times New Roman"/>
          <w:kern w:val="0"/>
          <w:szCs w:val="36"/>
        </w:rPr>
        <w:t>三五年远景目标的建议》编制，主要明确今后五年经济社会发展主要目标任务，擘画到2035年的宏伟蓝图，是市场主体的行为导向，是政府履行职责的重要依据，是全区人民共同的行动纲领，是全区其他各类规划的总遵循。</w:t>
      </w:r>
    </w:p>
    <w:p>
      <w:pPr>
        <w:pStyle w:val="2"/>
        <w:numPr>
          <w:ilvl w:val="0"/>
          <w:numId w:val="1"/>
        </w:numPr>
        <w:spacing w:before="156" w:after="156" w:line="620" w:lineRule="exact"/>
        <w:ind w:left="1474" w:hanging="1117"/>
        <w:textAlignment w:val="baseline"/>
        <w:rPr>
          <w:rFonts w:ascii="Times New Roman" w:hAnsi="Times New Roman" w:cs="Times New Roman"/>
          <w:color w:val="000000"/>
        </w:rPr>
      </w:pPr>
      <w:bookmarkStart w:id="0" w:name="_Toc75764618"/>
      <w:r>
        <w:rPr>
          <w:rFonts w:ascii="Times New Roman" w:hAnsi="Times New Roman" w:cs="Times New Roman"/>
          <w:color w:val="000000"/>
        </w:rPr>
        <w:t>开启全面建成现代化中心强区新征程</w:t>
      </w:r>
      <w:bookmarkEnd w:id="0"/>
    </w:p>
    <w:p>
      <w:pPr>
        <w:ind w:firstLine="640"/>
        <w:textAlignment w:val="baseline"/>
        <w:rPr>
          <w:rFonts w:ascii="Times New Roman" w:hAnsi="Times New Roman" w:cs="Times New Roman"/>
          <w:sz w:val="20"/>
        </w:rPr>
      </w:pPr>
      <w:r>
        <w:rPr>
          <w:rFonts w:ascii="Times New Roman" w:hAnsi="Times New Roman" w:cs="Times New Roman"/>
        </w:rPr>
        <w:t>“十四五”时期是我国全面建成小康社会、实现第一个百年奋斗目标之后，乘势而上开启全面建设社会主义现代化国家新征程、向第二个百年奋斗目标进军的第一个五年，是山东省实现“走在前列、全面开创”目标任务的关键时期，是济南贯彻落实黄河流域生态保护和高质量发展国家战略、加快打造“五个济南”、建设“大强美富通”现代化国际大都市的重要时期，更是</w:t>
      </w:r>
      <w:r>
        <w:rPr>
          <w:rFonts w:ascii="Times New Roman" w:hAnsi="Times New Roman" w:cs="Times New Roman"/>
          <w:szCs w:val="32"/>
        </w:rPr>
        <w:t>天桥在新起点上深入落实黄河流域生态保护和高质量发展战略，加快建设现代化中心城区极为关键的五年。</w:t>
      </w:r>
      <w:r>
        <w:rPr>
          <w:rFonts w:ascii="Times New Roman" w:hAnsi="Times New Roman" w:cs="Times New Roman"/>
        </w:rPr>
        <w:t>全区上下应科学把握新发展阶段，坚定贯彻新发展理念，主动融入新发展格局，不断开创全区高质量发展新局面。</w:t>
      </w:r>
    </w:p>
    <w:p>
      <w:pPr>
        <w:pStyle w:val="3"/>
        <w:spacing w:before="120" w:after="120"/>
        <w:textAlignment w:val="baseline"/>
        <w:rPr>
          <w:rFonts w:ascii="Times New Roman" w:hAnsi="Times New Roman" w:cs="Times New Roman"/>
          <w:color w:val="000000"/>
        </w:rPr>
      </w:pPr>
      <w:bookmarkStart w:id="1" w:name="_Toc75764619"/>
      <w:r>
        <w:rPr>
          <w:rFonts w:ascii="Times New Roman" w:hAnsi="Times New Roman" w:cs="Times New Roman"/>
          <w:color w:val="000000"/>
        </w:rPr>
        <w:t>第一节</w:t>
      </w:r>
      <w:r>
        <w:rPr>
          <w:rFonts w:hint="eastAsia" w:ascii="Times New Roman" w:hAnsi="Times New Roman" w:cs="Times New Roman"/>
          <w:color w:val="000000"/>
        </w:rPr>
        <w:t xml:space="preserve"> </w:t>
      </w:r>
      <w:r>
        <w:rPr>
          <w:rFonts w:ascii="Times New Roman" w:hAnsi="Times New Roman" w:cs="Times New Roman"/>
          <w:color w:val="000000"/>
        </w:rPr>
        <w:t>发展基础</w:t>
      </w:r>
      <w:bookmarkEnd w:id="1"/>
    </w:p>
    <w:p>
      <w:pPr>
        <w:ind w:firstLine="640"/>
        <w:textAlignment w:val="baseline"/>
        <w:rPr>
          <w:rFonts w:ascii="Times New Roman" w:hAnsi="Times New Roman" w:cs="Times New Roman"/>
          <w:sz w:val="20"/>
          <w:szCs w:val="32"/>
        </w:rPr>
      </w:pPr>
      <w:r>
        <w:rPr>
          <w:rFonts w:ascii="Times New Roman" w:hAnsi="Times New Roman" w:cs="Times New Roman"/>
          <w:szCs w:val="32"/>
        </w:rPr>
        <w:t>“十三五”时期，天桥区委、区政府坚持以习近平新时代中国特色社会主义思想为指导，在市委、市政府的坚强领导下，团结带领全区广大党员干部群众，统筹推进“五位一体”总体布局，协调推进“四个全面”战略布局，坚持稳中求进工作总基调，坚持新发展理念，深入实施“1339”发展战略，全面赋能赶超，加快建设现代化中心城区，经济社会发展各项工作起势成势，取得显著成绩。</w:t>
      </w:r>
    </w:p>
    <w:p>
      <w:pPr>
        <w:ind w:firstLine="643"/>
        <w:textAlignment w:val="baseline"/>
        <w:rPr>
          <w:rFonts w:ascii="Times New Roman" w:hAnsi="Times New Roman" w:cs="Times New Roman"/>
          <w:sz w:val="20"/>
          <w:szCs w:val="32"/>
        </w:rPr>
      </w:pPr>
      <w:r>
        <w:rPr>
          <w:rFonts w:ascii="Times New Roman" w:hAnsi="Times New Roman" w:cs="Times New Roman"/>
          <w:b/>
          <w:color w:val="000000"/>
        </w:rPr>
        <w:t>综合实力大幅提升。</w:t>
      </w:r>
      <w:r>
        <w:rPr>
          <w:rFonts w:ascii="Times New Roman" w:hAnsi="Times New Roman" w:cs="Times New Roman"/>
          <w:color w:val="000000"/>
        </w:rPr>
        <w:t>2020年全区地区生产总值达到564.64亿元，是2015年的1.5倍，</w:t>
      </w:r>
      <w:r>
        <w:rPr>
          <w:rFonts w:ascii="Times New Roman" w:hAnsi="Times New Roman" w:cs="Times New Roman"/>
          <w:szCs w:val="32"/>
        </w:rPr>
        <w:t>人均GDP突破1万美元</w:t>
      </w:r>
      <w:r>
        <w:rPr>
          <w:rFonts w:hint="eastAsia" w:ascii="Times New Roman" w:hAnsi="Times New Roman" w:cs="Times New Roman"/>
          <w:color w:val="000000"/>
        </w:rPr>
        <w:t>。“十三五”时期，</w:t>
      </w:r>
      <w:r>
        <w:rPr>
          <w:rFonts w:ascii="Times New Roman" w:hAnsi="Times New Roman" w:cs="Times New Roman"/>
          <w:color w:val="000000"/>
        </w:rPr>
        <w:t>全区一般公共预算收入</w:t>
      </w:r>
      <w:r>
        <w:rPr>
          <w:rFonts w:hint="eastAsia" w:ascii="Times New Roman" w:hAnsi="Times New Roman" w:cs="Times New Roman"/>
          <w:color w:val="000000"/>
        </w:rPr>
        <w:t>年均增长</w:t>
      </w:r>
      <w:r>
        <w:rPr>
          <w:rFonts w:ascii="Times New Roman" w:hAnsi="Times New Roman" w:cs="Times New Roman"/>
          <w:color w:val="000000"/>
        </w:rPr>
        <w:t>6.8</w:t>
      </w:r>
      <w:r>
        <w:rPr>
          <w:rFonts w:hint="eastAsia" w:ascii="Times New Roman" w:hAnsi="Times New Roman" w:cs="Times New Roman"/>
          <w:color w:val="000000"/>
        </w:rPr>
        <w:t>%，</w:t>
      </w:r>
      <w:r>
        <w:rPr>
          <w:rFonts w:ascii="Times New Roman" w:hAnsi="Times New Roman" w:cs="Times New Roman"/>
          <w:szCs w:val="32"/>
        </w:rPr>
        <w:t>规模以上工业增加值年均增长9.7%</w:t>
      </w:r>
      <w:r>
        <w:rPr>
          <w:rFonts w:hint="eastAsia" w:ascii="Times New Roman" w:hAnsi="Times New Roman" w:cs="Times New Roman"/>
          <w:szCs w:val="32"/>
        </w:rPr>
        <w:t>，</w:t>
      </w:r>
      <w:r>
        <w:rPr>
          <w:rFonts w:ascii="Times New Roman" w:hAnsi="Times New Roman" w:cs="Times New Roman"/>
          <w:color w:val="000000" w:themeColor="text1"/>
          <w14:textFill>
            <w14:solidFill>
              <w14:schemeClr w14:val="tx1"/>
            </w14:solidFill>
          </w14:textFill>
        </w:rPr>
        <w:t>招商引资五年累计完成525亿元</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rPr>
        <w:t>实际利用外资五年累计完成3亿美元</w:t>
      </w:r>
      <w:r>
        <w:rPr>
          <w:rFonts w:hint="eastAsia" w:ascii="Times New Roman" w:hAnsi="Times New Roman" w:cs="Times New Roman"/>
          <w:color w:val="000000"/>
        </w:rPr>
        <w:t>，</w:t>
      </w:r>
      <w:r>
        <w:rPr>
          <w:rFonts w:ascii="Times New Roman" w:hAnsi="Times New Roman" w:cs="Times New Roman"/>
          <w:color w:val="000000"/>
        </w:rPr>
        <w:t>出口总额五年累计完成23亿美元</w:t>
      </w:r>
      <w:r>
        <w:rPr>
          <w:rFonts w:hint="eastAsia" w:ascii="Times New Roman" w:hAnsi="Times New Roman" w:cs="Times New Roman"/>
          <w:color w:val="000000"/>
        </w:rPr>
        <w:t>；</w:t>
      </w:r>
      <w:r>
        <w:rPr>
          <w:rFonts w:ascii="Times New Roman" w:hAnsi="Times New Roman" w:cs="Times New Roman"/>
          <w:color w:val="000000"/>
        </w:rPr>
        <w:t>高新技术企业总数达到180家</w:t>
      </w:r>
      <w:r>
        <w:rPr>
          <w:rFonts w:hint="eastAsia" w:ascii="Times New Roman" w:hAnsi="Times New Roman" w:cs="Times New Roman"/>
          <w:color w:val="000000"/>
        </w:rPr>
        <w:t>，</w:t>
      </w:r>
      <w:r>
        <w:rPr>
          <w:rFonts w:ascii="Times New Roman" w:hAnsi="Times New Roman" w:cs="Times New Roman"/>
          <w:szCs w:val="32"/>
        </w:rPr>
        <w:t>高新技术产业产值占规模以上工业总产值比重达到64.4%；全区市场主体达到16.6万户</w:t>
      </w:r>
      <w:r>
        <w:rPr>
          <w:rFonts w:hint="eastAsia" w:ascii="Times New Roman" w:hAnsi="Times New Roman" w:cs="Times New Roman"/>
          <w:szCs w:val="32"/>
        </w:rPr>
        <w:t>，</w:t>
      </w:r>
      <w:r>
        <w:rPr>
          <w:rFonts w:ascii="Times New Roman" w:hAnsi="Times New Roman" w:cs="Times New Roman"/>
          <w:szCs w:val="32"/>
        </w:rPr>
        <w:t>比“十</w:t>
      </w:r>
      <w:r>
        <w:rPr>
          <w:rFonts w:hint="eastAsia" w:ascii="Times New Roman" w:hAnsi="Times New Roman" w:cs="Times New Roman"/>
          <w:szCs w:val="32"/>
        </w:rPr>
        <w:t>二</w:t>
      </w:r>
      <w:r>
        <w:rPr>
          <w:rFonts w:ascii="Times New Roman" w:hAnsi="Times New Roman" w:cs="Times New Roman"/>
          <w:szCs w:val="32"/>
        </w:rPr>
        <w:t>五”</w:t>
      </w:r>
      <w:r>
        <w:rPr>
          <w:rFonts w:hint="eastAsia" w:ascii="Times New Roman" w:hAnsi="Times New Roman" w:cs="Times New Roman"/>
          <w:szCs w:val="32"/>
        </w:rPr>
        <w:t>末</w:t>
      </w:r>
      <w:r>
        <w:rPr>
          <w:rFonts w:ascii="Times New Roman" w:hAnsi="Times New Roman" w:cs="Times New Roman"/>
          <w:szCs w:val="32"/>
        </w:rPr>
        <w:t>增长190%。</w:t>
      </w:r>
    </w:p>
    <w:p>
      <w:pPr>
        <w:ind w:firstLine="643"/>
        <w:textAlignment w:val="baseline"/>
        <w:rPr>
          <w:rFonts w:ascii="Times New Roman" w:hAnsi="Times New Roman" w:cs="Times New Roman"/>
          <w:color w:val="000000"/>
          <w:sz w:val="20"/>
        </w:rPr>
      </w:pPr>
      <w:r>
        <w:rPr>
          <w:rFonts w:ascii="Times New Roman" w:hAnsi="Times New Roman" w:cs="Times New Roman"/>
          <w:b/>
          <w:color w:val="000000"/>
        </w:rPr>
        <w:t>动能转换效果明显</w:t>
      </w:r>
      <w:r>
        <w:rPr>
          <w:rFonts w:ascii="Times New Roman" w:hAnsi="Times New Roman" w:cs="Times New Roman"/>
          <w:color w:val="000000"/>
        </w:rPr>
        <w:t>。</w:t>
      </w:r>
      <w:r>
        <w:rPr>
          <w:rFonts w:ascii="Times New Roman" w:hAnsi="Times New Roman" w:cs="Times New Roman"/>
          <w:szCs w:val="32"/>
        </w:rPr>
        <w:t>电子商务规模效益显著，“十三五”时期持续领跑全省，凤凰山园区被商务部评为国家电子商务示范基地。济南新材料产业园、药山科技园等产业平台方兴日盛，战略新兴产业加速崛起，涌现出富通光棒、科亚智能巡航机器人、东珩胶体、天诺光电等一批研发能力强、高成长型企业。都市农业加快推进，市级以上农业龙头企业达到19家，全区农业朝着高端高质高效的现代化发展方向迈进。创新动力持续增强</w:t>
      </w:r>
      <w:r>
        <w:rPr>
          <w:rFonts w:hint="eastAsia" w:ascii="Times New Roman" w:hAnsi="Times New Roman" w:cs="Times New Roman"/>
          <w:szCs w:val="32"/>
        </w:rPr>
        <w:t>，</w:t>
      </w:r>
      <w:r>
        <w:rPr>
          <w:rFonts w:ascii="Times New Roman" w:hAnsi="Times New Roman" w:cs="Times New Roman"/>
          <w:szCs w:val="32"/>
        </w:rPr>
        <w:t>建立</w:t>
      </w:r>
      <w:r>
        <w:rPr>
          <w:rFonts w:ascii="Times New Roman" w:hAnsi="Times New Roman" w:cs="Times New Roman"/>
          <w:color w:val="000000"/>
        </w:rPr>
        <w:t>济南首家“诺奖工作站”，获评“全国科技创新百强区”、“国家知识产权强县工程示范区”、“山东省技术转移先进区”等称号。</w:t>
      </w:r>
    </w:p>
    <w:p>
      <w:pPr>
        <w:ind w:firstLine="643"/>
        <w:textAlignment w:val="baseline"/>
        <w:rPr>
          <w:rFonts w:ascii="Times New Roman" w:hAnsi="Times New Roman" w:cs="Times New Roman"/>
          <w:color w:val="000000"/>
          <w:sz w:val="20"/>
        </w:rPr>
      </w:pPr>
      <w:r>
        <w:rPr>
          <w:rFonts w:ascii="Times New Roman" w:hAnsi="Times New Roman" w:cs="Times New Roman"/>
          <w:b/>
          <w:color w:val="000000"/>
        </w:rPr>
        <w:t>城区品质全面提升。</w:t>
      </w:r>
      <w:r>
        <w:rPr>
          <w:rFonts w:ascii="Times New Roman" w:hAnsi="Times New Roman" w:cs="Times New Roman"/>
          <w:color w:val="000000"/>
        </w:rPr>
        <w:t>济南市将天桥区作为全市城市更新试点，全区城市更新行动深入推进，老旧小区和棚户区改造有序推进，“十三五”时期，累计</w:t>
      </w:r>
      <w:r>
        <w:rPr>
          <w:rFonts w:ascii="Times New Roman" w:hAnsi="Times New Roman" w:cs="Times New Roman"/>
          <w:color w:val="000000"/>
          <w:szCs w:val="32"/>
        </w:rPr>
        <w:t>完成拆迁700万平方米、实施旧城改造项目90个、整治老旧小区108个。全面开展拆违拆临和建绿透绿工作，</w:t>
      </w:r>
      <w:r>
        <w:rPr>
          <w:rFonts w:ascii="Times New Roman" w:hAnsi="Times New Roman" w:cs="Times New Roman"/>
          <w:szCs w:val="32"/>
        </w:rPr>
        <w:t>拆违拆临6698处、990万平方米，建成城市公园47座，</w:t>
      </w:r>
      <w:r>
        <w:rPr>
          <w:rFonts w:ascii="Times New Roman" w:hAnsi="Times New Roman" w:cs="Times New Roman"/>
          <w:color w:val="000000"/>
        </w:rPr>
        <w:t>城市品质和群众居住条件不断改善。区域协调发展迈出重要步伐，黄河两岸南北呼应、协同发展格局已初步形成</w:t>
      </w:r>
      <w:r>
        <w:rPr>
          <w:rFonts w:ascii="Times New Roman" w:hAnsi="Times New Roman" w:cs="Times New Roman"/>
          <w:color w:val="000000"/>
          <w:szCs w:val="32"/>
        </w:rPr>
        <w:t>。</w:t>
      </w:r>
      <w:r>
        <w:rPr>
          <w:rFonts w:ascii="Times New Roman" w:hAnsi="Times New Roman" w:cs="Times New Roman"/>
          <w:color w:val="000000"/>
        </w:rPr>
        <w:t>基础设施全面跃升，轨道交通2号线贯通</w:t>
      </w:r>
      <w:r>
        <w:rPr>
          <w:rFonts w:hint="eastAsia" w:ascii="Times New Roman" w:hAnsi="Times New Roman" w:cs="Times New Roman"/>
          <w:color w:val="000000"/>
        </w:rPr>
        <w:t>，</w:t>
      </w:r>
      <w:r>
        <w:rPr>
          <w:rFonts w:ascii="Times New Roman" w:hAnsi="Times New Roman" w:cs="Times New Roman"/>
          <w:color w:val="000000"/>
        </w:rPr>
        <w:t>济泺路穿黄隧道、齐鲁大桥等重大项目建设接近尾声，二环北路西段、梓东大道等城市主次道路改造提升工程全面完成，</w:t>
      </w:r>
      <w:r>
        <w:rPr>
          <w:rFonts w:ascii="Times New Roman" w:hAnsi="Times New Roman" w:cs="Times New Roman"/>
          <w:szCs w:val="32"/>
        </w:rPr>
        <w:t>改造提升道路40余条</w:t>
      </w:r>
      <w:r>
        <w:rPr>
          <w:rFonts w:hint="eastAsia" w:ascii="Times New Roman" w:hAnsi="Times New Roman" w:cs="Times New Roman"/>
          <w:color w:val="000000"/>
        </w:rPr>
        <w:t>，</w:t>
      </w:r>
      <w:r>
        <w:rPr>
          <w:rFonts w:ascii="Times New Roman" w:hAnsi="Times New Roman" w:cs="Times New Roman"/>
          <w:szCs w:val="32"/>
        </w:rPr>
        <w:t>天桥变得越来越干净、越来越有魅力。</w:t>
      </w:r>
    </w:p>
    <w:p>
      <w:pPr>
        <w:ind w:firstLine="643"/>
        <w:textAlignment w:val="baseline"/>
        <w:rPr>
          <w:rFonts w:ascii="Times New Roman" w:hAnsi="Times New Roman" w:cs="Times New Roman"/>
          <w:color w:val="000000"/>
          <w:sz w:val="20"/>
        </w:rPr>
      </w:pPr>
      <w:r>
        <w:rPr>
          <w:rFonts w:ascii="Times New Roman" w:hAnsi="Times New Roman" w:cs="Times New Roman"/>
          <w:b/>
          <w:color w:val="000000"/>
        </w:rPr>
        <w:t>生态环境更加宜人。</w:t>
      </w:r>
      <w:r>
        <w:rPr>
          <w:rFonts w:ascii="Times New Roman" w:hAnsi="Times New Roman" w:cs="Times New Roman"/>
          <w:color w:val="000000"/>
        </w:rPr>
        <w:t>空气质量不断改善，空气优良天数比2015年增加76天；水环境生态显著提高，</w:t>
      </w:r>
      <w:r>
        <w:rPr>
          <w:rFonts w:ascii="Times New Roman" w:hAnsi="Times New Roman" w:cs="Times New Roman"/>
          <w:szCs w:val="32"/>
        </w:rPr>
        <w:t>整治河道12条，</w:t>
      </w:r>
      <w:r>
        <w:rPr>
          <w:rFonts w:hint="eastAsia" w:ascii="Times New Roman" w:hAnsi="Times New Roman" w:cs="Times New Roman"/>
          <w:szCs w:val="32"/>
        </w:rPr>
        <w:t>基本</w:t>
      </w:r>
      <w:r>
        <w:rPr>
          <w:rFonts w:ascii="Times New Roman" w:hAnsi="Times New Roman" w:cs="Times New Roman"/>
          <w:szCs w:val="32"/>
        </w:rPr>
        <w:t>消除黑臭水体</w:t>
      </w:r>
      <w:r>
        <w:rPr>
          <w:rFonts w:hint="eastAsia" w:ascii="Times New Roman" w:hAnsi="Times New Roman" w:cs="Times New Roman"/>
          <w:szCs w:val="32"/>
        </w:rPr>
        <w:t>，</w:t>
      </w:r>
      <w:r>
        <w:rPr>
          <w:rFonts w:ascii="Times New Roman" w:hAnsi="Times New Roman" w:cs="Times New Roman"/>
          <w:color w:val="000000"/>
        </w:rPr>
        <w:t>城市污水处理能力大幅提升；土壤污染治理与修复大力推进。完成药山、凤凰山、标山等山体公园的提升工程，</w:t>
      </w:r>
      <w:r>
        <w:rPr>
          <w:rFonts w:ascii="Times New Roman" w:hAnsi="Times New Roman" w:cs="Times New Roman"/>
          <w:color w:val="000000"/>
          <w:szCs w:val="32"/>
        </w:rPr>
        <w:t>新增城区园林绿地面积52万平方米，</w:t>
      </w:r>
      <w:r>
        <w:rPr>
          <w:rFonts w:ascii="Times New Roman" w:hAnsi="Times New Roman" w:cs="Times New Roman"/>
          <w:color w:val="000000"/>
        </w:rPr>
        <w:t>城区绿化覆盖率达43%。完成市下达的“十三五”单位地区生产总值能耗任务，主要污染物总量控制制度严格落实，减排项目全部通过省生态环境厅认定。</w:t>
      </w:r>
    </w:p>
    <w:p>
      <w:pPr>
        <w:ind w:firstLine="643"/>
        <w:textAlignment w:val="baseline"/>
        <w:rPr>
          <w:rFonts w:ascii="Times New Roman" w:hAnsi="Times New Roman" w:cs="Times New Roman"/>
          <w:color w:val="000000"/>
          <w:sz w:val="20"/>
        </w:rPr>
      </w:pPr>
      <w:r>
        <w:rPr>
          <w:rFonts w:ascii="Times New Roman" w:hAnsi="Times New Roman" w:cs="Times New Roman"/>
          <w:b/>
          <w:color w:val="000000"/>
        </w:rPr>
        <w:t>深化改革提速增效。</w:t>
      </w:r>
      <w:r>
        <w:rPr>
          <w:rFonts w:ascii="Times New Roman" w:hAnsi="Times New Roman" w:cs="Times New Roman"/>
          <w:color w:val="000000"/>
        </w:rPr>
        <w:t>“放管服”“一次办成”改革深入推进，四级政务服务体系加快建设，审批事项提速51%，营商环境加速优化，</w:t>
      </w:r>
      <w:r>
        <w:rPr>
          <w:rFonts w:ascii="Times New Roman" w:hAnsi="Times New Roman" w:cs="Times New Roman"/>
          <w:szCs w:val="32"/>
        </w:rPr>
        <w:t>2017年天桥政务服务能力在全国36个主要城市下辖区县中位列榜首，12345热线群众满意率跃升全市前列。</w:t>
      </w:r>
      <w:r>
        <w:rPr>
          <w:rFonts w:ascii="Times New Roman" w:hAnsi="Times New Roman" w:cs="Times New Roman"/>
          <w:color w:val="000000"/>
        </w:rPr>
        <w:t>深化医疗保障制度改革，以医保支付方式、“三医联动”为突破口，畅通工作机制，优化运转体系。稳步推进农村集体产权制度改革，开展“三资”清理工作。</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rPr>
        <w:t>民生福祉持续增进。</w:t>
      </w:r>
      <w:r>
        <w:rPr>
          <w:rFonts w:ascii="Times New Roman" w:hAnsi="Times New Roman" w:cs="Times New Roman"/>
          <w:szCs w:val="32"/>
        </w:rPr>
        <w:t>始终把实现人民对美好生活的向往作为奋斗目标，切实解决人民群众的所需所急所盼。完成为民办实事项目48个，民生和社会事业区级财政累计投入143亿元，年均占区级一般公共预算收入的77.2%。建档立卡贫困户74户、189人稳定脱贫，贫困村全部摘帽。新增城镇就业</w:t>
      </w:r>
      <w:r>
        <w:rPr>
          <w:rFonts w:hint="eastAsia" w:ascii="Times New Roman" w:hAnsi="Times New Roman" w:cs="Times New Roman"/>
          <w:szCs w:val="32"/>
        </w:rPr>
        <w:t>9.2</w:t>
      </w:r>
      <w:r>
        <w:rPr>
          <w:rFonts w:ascii="Times New Roman" w:hAnsi="Times New Roman" w:cs="Times New Roman"/>
          <w:szCs w:val="32"/>
        </w:rPr>
        <w:t>万人，城</w:t>
      </w:r>
      <w:r>
        <w:rPr>
          <w:rFonts w:hint="eastAsia" w:ascii="Times New Roman" w:hAnsi="Times New Roman" w:cs="Times New Roman"/>
          <w:szCs w:val="32"/>
        </w:rPr>
        <w:t>镇</w:t>
      </w:r>
      <w:r>
        <w:rPr>
          <w:rFonts w:ascii="Times New Roman" w:hAnsi="Times New Roman" w:cs="Times New Roman"/>
          <w:szCs w:val="32"/>
        </w:rPr>
        <w:t>居民人均可支配收入</w:t>
      </w:r>
      <w:r>
        <w:rPr>
          <w:rFonts w:hint="eastAsia" w:ascii="Times New Roman" w:hAnsi="Times New Roman" w:cs="Times New Roman"/>
          <w:szCs w:val="32"/>
        </w:rPr>
        <w:t>、</w:t>
      </w:r>
      <w:r>
        <w:rPr>
          <w:rFonts w:ascii="Times New Roman" w:hAnsi="Times New Roman" w:cs="Times New Roman"/>
          <w:szCs w:val="32"/>
        </w:rPr>
        <w:t>农村</w:t>
      </w:r>
      <w:r>
        <w:rPr>
          <w:rFonts w:hint="eastAsia" w:ascii="Times New Roman" w:hAnsi="Times New Roman" w:cs="Times New Roman"/>
          <w:szCs w:val="32"/>
        </w:rPr>
        <w:t>居民人均可支配收入</w:t>
      </w:r>
      <w:r>
        <w:rPr>
          <w:rFonts w:ascii="Times New Roman" w:hAnsi="Times New Roman" w:cs="Times New Roman"/>
          <w:szCs w:val="32"/>
        </w:rPr>
        <w:t>年均分别增长6.7%、</w:t>
      </w:r>
      <w:r>
        <w:rPr>
          <w:rFonts w:hint="eastAsia" w:ascii="Times New Roman" w:hAnsi="Times New Roman" w:cs="Times New Roman"/>
          <w:szCs w:val="32"/>
        </w:rPr>
        <w:t>7</w:t>
      </w:r>
      <w:r>
        <w:rPr>
          <w:rFonts w:ascii="Times New Roman" w:hAnsi="Times New Roman" w:cs="Times New Roman"/>
          <w:szCs w:val="32"/>
        </w:rPr>
        <w:t>.8%。</w:t>
      </w:r>
      <w:r>
        <w:rPr>
          <w:rFonts w:ascii="Times New Roman" w:hAnsi="Times New Roman" w:cs="Times New Roman"/>
          <w:bCs/>
          <w:szCs w:val="32"/>
        </w:rPr>
        <w:t>中心城基础教育设施三年建设规划项目全部开工建设，</w:t>
      </w:r>
      <w:r>
        <w:rPr>
          <w:rFonts w:ascii="Times New Roman" w:hAnsi="Times New Roman" w:cs="Times New Roman"/>
          <w:szCs w:val="32"/>
        </w:rPr>
        <w:t>新建改扩建中小学、幼儿园40所，新增学位2.7</w:t>
      </w:r>
      <w:r>
        <w:rPr>
          <w:rFonts w:hint="eastAsia" w:ascii="Times New Roman" w:hAnsi="Times New Roman" w:cs="Times New Roman"/>
          <w:szCs w:val="32"/>
        </w:rPr>
        <w:t>万</w:t>
      </w:r>
      <w:r>
        <w:rPr>
          <w:rFonts w:ascii="Times New Roman" w:hAnsi="Times New Roman" w:cs="Times New Roman"/>
          <w:szCs w:val="32"/>
        </w:rPr>
        <w:t>个，大班额问题得到根本解决，教育事业发展实现新跨越。城乡居民养老保险和基本医疗保险实现全覆盖，居民基础养老金实现“九连涨”。高标准打造省级医养结合示范区，深入推进医联体建设，群众在家门口就能享受到优质的医疗资源。现代公共文化服务体系基本建成。公共文体设施更加完善，文体惠民活动有声有色，公共文化服务水平明显提升，“开放、包容、诚信、图强”的天桥精神深入人心</w:t>
      </w:r>
      <w:r>
        <w:rPr>
          <w:rFonts w:hint="eastAsia" w:ascii="Times New Roman" w:hAnsi="Times New Roman" w:cs="Times New Roman"/>
          <w:szCs w:val="32"/>
        </w:rPr>
        <w:t>。</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rPr>
        <w:t>社会治理富有成效。</w:t>
      </w:r>
      <w:r>
        <w:rPr>
          <w:rFonts w:ascii="Times New Roman" w:hAnsi="Times New Roman" w:cs="Times New Roman"/>
          <w:color w:val="000000"/>
        </w:rPr>
        <w:t>民主法治建设深入推进，扫黑除恶专项斗争取得明显成效，安全生产能力基础不断夯实，应急救援体系基本建成，</w:t>
      </w:r>
      <w:r>
        <w:rPr>
          <w:rFonts w:ascii="Times New Roman" w:hAnsi="Times New Roman" w:cs="Times New Roman"/>
          <w:szCs w:val="32"/>
        </w:rPr>
        <w:t>防范化解重大风险有力有效，新冠肺炎疫情防控取得重大战略成果</w:t>
      </w:r>
      <w:r>
        <w:rPr>
          <w:rFonts w:ascii="Times New Roman" w:hAnsi="Times New Roman" w:cs="Times New Roman"/>
          <w:color w:val="000000"/>
        </w:rPr>
        <w:t>。</w:t>
      </w:r>
      <w:r>
        <w:rPr>
          <w:rFonts w:ascii="Times New Roman" w:hAnsi="Times New Roman" w:cs="Times New Roman"/>
          <w:szCs w:val="32"/>
        </w:rPr>
        <w:t>基层社会治理不断加强，社会保持和谐稳定，</w:t>
      </w:r>
      <w:r>
        <w:rPr>
          <w:rFonts w:hint="eastAsia" w:ascii="Times New Roman" w:hAnsi="Times New Roman" w:cs="Times New Roman"/>
          <w:szCs w:val="32"/>
        </w:rPr>
        <w:t>“七五”普法、</w:t>
      </w:r>
      <w:r>
        <w:rPr>
          <w:rFonts w:ascii="Times New Roman" w:hAnsi="Times New Roman" w:cs="Times New Roman"/>
          <w:szCs w:val="32"/>
        </w:rPr>
        <w:t>“平安天桥”创建活动扎实</w:t>
      </w:r>
      <w:r>
        <w:rPr>
          <w:rFonts w:hint="eastAsia" w:ascii="Times New Roman" w:hAnsi="Times New Roman" w:cs="Times New Roman"/>
          <w:szCs w:val="32"/>
        </w:rPr>
        <w:t>推进</w:t>
      </w:r>
      <w:r>
        <w:rPr>
          <w:rFonts w:ascii="Times New Roman" w:hAnsi="Times New Roman" w:cs="Times New Roman"/>
          <w:szCs w:val="32"/>
        </w:rPr>
        <w:t>，</w:t>
      </w:r>
      <w:r>
        <w:rPr>
          <w:rFonts w:hint="eastAsia" w:ascii="Times New Roman" w:hAnsi="Times New Roman" w:cs="Times New Roman"/>
          <w:szCs w:val="32"/>
        </w:rPr>
        <w:t>法制政府建设水平不断</w:t>
      </w:r>
      <w:r>
        <w:rPr>
          <w:rFonts w:ascii="Times New Roman" w:hAnsi="Times New Roman" w:cs="Times New Roman"/>
          <w:szCs w:val="32"/>
        </w:rPr>
        <w:t>提升</w:t>
      </w:r>
      <w:r>
        <w:rPr>
          <w:rFonts w:hint="eastAsia" w:ascii="Times New Roman" w:hAnsi="Times New Roman" w:cs="Times New Roman"/>
          <w:szCs w:val="32"/>
        </w:rPr>
        <w:t>，</w:t>
      </w:r>
      <w:r>
        <w:rPr>
          <w:rFonts w:ascii="Times New Roman" w:hAnsi="Times New Roman" w:cs="Times New Roman"/>
          <w:szCs w:val="32"/>
        </w:rPr>
        <w:t>国防动员</w:t>
      </w:r>
      <w:r>
        <w:rPr>
          <w:rFonts w:hint="eastAsia" w:ascii="Times New Roman" w:hAnsi="Times New Roman" w:cs="Times New Roman"/>
          <w:szCs w:val="32"/>
        </w:rPr>
        <w:t>、</w:t>
      </w:r>
      <w:r>
        <w:rPr>
          <w:rFonts w:ascii="Times New Roman" w:hAnsi="Times New Roman" w:cs="Times New Roman"/>
          <w:color w:val="000000"/>
        </w:rPr>
        <w:t>双拥共建、</w:t>
      </w:r>
      <w:r>
        <w:rPr>
          <w:rFonts w:hint="eastAsia" w:ascii="Times New Roman" w:hAnsi="Times New Roman" w:cs="Times New Roman"/>
          <w:color w:val="000000"/>
        </w:rPr>
        <w:t>人防</w:t>
      </w:r>
      <w:r>
        <w:rPr>
          <w:rFonts w:ascii="Times New Roman" w:hAnsi="Times New Roman" w:cs="Times New Roman"/>
          <w:color w:val="000000"/>
        </w:rPr>
        <w:t>建设等工作深入开展，妇女、儿童、残疾人和退役军人合法权益得到有效保障，</w:t>
      </w:r>
      <w:r>
        <w:rPr>
          <w:rFonts w:ascii="Times New Roman" w:hAnsi="Times New Roman" w:cs="Times New Roman"/>
          <w:szCs w:val="32"/>
        </w:rPr>
        <w:t>台侨外事、档案史志</w:t>
      </w:r>
      <w:r>
        <w:rPr>
          <w:rFonts w:hint="eastAsia" w:ascii="Times New Roman" w:hAnsi="Times New Roman" w:cs="Times New Roman"/>
          <w:szCs w:val="32"/>
        </w:rPr>
        <w:t>、民族宗教</w:t>
      </w:r>
      <w:r>
        <w:rPr>
          <w:rFonts w:ascii="Times New Roman" w:hAnsi="Times New Roman" w:cs="Times New Roman"/>
          <w:szCs w:val="32"/>
        </w:rPr>
        <w:t>等各项事业全面进步。</w:t>
      </w:r>
    </w:p>
    <w:p>
      <w:pPr>
        <w:spacing w:line="590" w:lineRule="exact"/>
        <w:ind w:firstLine="640"/>
        <w:textAlignment w:val="baseline"/>
        <w:rPr>
          <w:rFonts w:ascii="Times New Roman" w:hAnsi="Times New Roman" w:cs="Times New Roman"/>
          <w:color w:val="000000"/>
          <w:sz w:val="20"/>
        </w:rPr>
      </w:pPr>
      <w:r>
        <w:rPr>
          <w:rFonts w:ascii="Times New Roman" w:hAnsi="Times New Roman" w:cs="Times New Roman"/>
          <w:szCs w:val="32"/>
        </w:rPr>
        <w:t>五年来，全区经济实力、产业活力、城市魅力、治理能力、社会合力大幅提升，全面建成小康社会胜利在望，为未来发展奠定了坚实基础。</w:t>
      </w:r>
    </w:p>
    <w:p>
      <w:pPr>
        <w:pStyle w:val="3"/>
        <w:spacing w:before="120" w:after="120"/>
        <w:textAlignment w:val="baseline"/>
        <w:rPr>
          <w:rFonts w:ascii="Times New Roman" w:hAnsi="Times New Roman" w:cs="Times New Roman"/>
          <w:color w:val="000000"/>
        </w:rPr>
      </w:pPr>
      <w:bookmarkStart w:id="2" w:name="_Toc75764620"/>
      <w:r>
        <w:rPr>
          <w:rFonts w:ascii="Times New Roman" w:hAnsi="Times New Roman" w:cs="Times New Roman"/>
          <w:color w:val="000000"/>
        </w:rPr>
        <w:t>第二节</w:t>
      </w:r>
      <w:r>
        <w:rPr>
          <w:rFonts w:hint="eastAsia" w:ascii="Times New Roman" w:hAnsi="Times New Roman" w:cs="Times New Roman"/>
          <w:color w:val="000000"/>
        </w:rPr>
        <w:t xml:space="preserve"> </w:t>
      </w:r>
      <w:r>
        <w:rPr>
          <w:rFonts w:ascii="Times New Roman" w:hAnsi="Times New Roman" w:cs="Times New Roman"/>
          <w:color w:val="000000"/>
        </w:rPr>
        <w:t>发展形势</w:t>
      </w:r>
      <w:bookmarkEnd w:id="2"/>
    </w:p>
    <w:p>
      <w:pPr>
        <w:ind w:firstLine="640"/>
        <w:textAlignment w:val="baseline"/>
        <w:rPr>
          <w:rFonts w:ascii="Times New Roman" w:hAnsi="Times New Roman" w:cs="Times New Roman"/>
          <w:sz w:val="20"/>
          <w:szCs w:val="32"/>
        </w:rPr>
      </w:pPr>
      <w:r>
        <w:rPr>
          <w:rFonts w:ascii="Times New Roman" w:hAnsi="Times New Roman" w:eastAsia="楷体_GB2312" w:cs="Times New Roman"/>
          <w:bCs/>
          <w:color w:val="000000"/>
          <w:szCs w:val="32"/>
        </w:rPr>
        <w:t>——外部环境。</w:t>
      </w:r>
      <w:r>
        <w:rPr>
          <w:rFonts w:ascii="Times New Roman" w:hAnsi="Times New Roman" w:cs="Times New Roman"/>
          <w:b/>
          <w:szCs w:val="32"/>
        </w:rPr>
        <w:t>从全球看，</w:t>
      </w:r>
      <w:r>
        <w:rPr>
          <w:rFonts w:ascii="Times New Roman" w:hAnsi="Times New Roman" w:cs="Times New Roman"/>
          <w:szCs w:val="32"/>
        </w:rPr>
        <w:t>当今世界正经历百年未有之大变局，新一轮科技革命和产业变革深入发展，和平与发展仍然是时代主题，同时国际环境日趋复杂，新冠肺炎疫情影响广泛深远，不稳定性不确定性明显增加。</w:t>
      </w:r>
      <w:r>
        <w:rPr>
          <w:rFonts w:ascii="Times New Roman" w:hAnsi="Times New Roman" w:cs="Times New Roman"/>
          <w:b/>
          <w:szCs w:val="32"/>
        </w:rPr>
        <w:t>从全国看，</w:t>
      </w:r>
      <w:r>
        <w:rPr>
          <w:rFonts w:ascii="Times New Roman" w:hAnsi="Times New Roman" w:cs="Times New Roman"/>
          <w:szCs w:val="32"/>
        </w:rPr>
        <w:t>我国已转向高质量发展阶段，制度优势显著，治理效能提升，经济长期向好，继续发展具有多方面优势和条件，仍然处于重要战略机遇期。</w:t>
      </w:r>
      <w:r>
        <w:rPr>
          <w:rFonts w:ascii="Times New Roman" w:hAnsi="Times New Roman" w:cs="Times New Roman"/>
          <w:b/>
          <w:szCs w:val="32"/>
        </w:rPr>
        <w:t>从全省看，</w:t>
      </w:r>
      <w:r>
        <w:rPr>
          <w:rFonts w:ascii="Times New Roman" w:hAnsi="Times New Roman" w:cs="Times New Roman"/>
          <w:szCs w:val="32"/>
        </w:rPr>
        <w:t>新旧动能转换初见成效，重大战略叠加，创新要素不断集聚，改革红利加速释放，“一群两心三圈”区域协调发展格局加速形成，“走在前列、全面开创”迈出新步伐。</w:t>
      </w:r>
      <w:r>
        <w:rPr>
          <w:rFonts w:ascii="Times New Roman" w:hAnsi="Times New Roman" w:cs="Times New Roman"/>
          <w:b/>
          <w:szCs w:val="32"/>
        </w:rPr>
        <w:t>从全市看，</w:t>
      </w:r>
      <w:r>
        <w:rPr>
          <w:rFonts w:ascii="Times New Roman" w:hAnsi="Times New Roman" w:cs="Times New Roman"/>
          <w:szCs w:val="32"/>
        </w:rPr>
        <w:t>国家黄河流域生态保护和高质量发展战略的推进实施，把济南首次放在国家发展大局、生态文明建设全局、区域协调发展布局中予以高点定位，明确济南是黄河流域中心城市，要求济南发挥山东半岛城市群龙头作用，推动了济南加快建设国家中心城市，黄河流域强省会的集聚辐射优势凸显。</w:t>
      </w:r>
    </w:p>
    <w:p>
      <w:pPr>
        <w:ind w:firstLine="640"/>
        <w:textAlignment w:val="baseline"/>
        <w:rPr>
          <w:rFonts w:ascii="Times New Roman" w:hAnsi="Times New Roman" w:cs="Times New Roman"/>
          <w:sz w:val="20"/>
          <w:szCs w:val="32"/>
        </w:rPr>
      </w:pPr>
      <w:r>
        <w:rPr>
          <w:rFonts w:ascii="Times New Roman" w:hAnsi="Times New Roman" w:eastAsia="楷体_GB2312" w:cs="Times New Roman"/>
          <w:szCs w:val="32"/>
        </w:rPr>
        <w:t>——发展机遇。</w:t>
      </w:r>
      <w:r>
        <w:rPr>
          <w:rFonts w:ascii="Times New Roman" w:hAnsi="Times New Roman" w:cs="Times New Roman"/>
          <w:szCs w:val="32"/>
        </w:rPr>
        <w:t>从我区自身看，经过“十三五”不懈努力，经济社会发展迈上新台阶，“十四五”时期，黄河重大国家战略、“强省会”战略和“新十字”新发展格局带来的利好叠加，将极大提升天桥发展的战略能级、加速资源要素集聚、提升天桥的中心城区地位</w:t>
      </w:r>
      <w:r>
        <w:rPr>
          <w:rFonts w:hint="eastAsia" w:ascii="Times New Roman" w:hAnsi="Times New Roman" w:cs="Times New Roman"/>
          <w:szCs w:val="32"/>
        </w:rPr>
        <w:t>。</w:t>
      </w:r>
      <w:r>
        <w:rPr>
          <w:rFonts w:ascii="Times New Roman" w:hAnsi="Times New Roman" w:cs="Times New Roman"/>
          <w:lang w:val="en-GB"/>
        </w:rPr>
        <w:t>我区作为济南唯一地跨黄河的中心城区，</w:t>
      </w:r>
      <w:r>
        <w:rPr>
          <w:rFonts w:ascii="Times New Roman" w:hAnsi="Times New Roman" w:cs="Times New Roman"/>
        </w:rPr>
        <w:t>是黄河流域生态保护和高质量发展的重要承载地，</w:t>
      </w:r>
      <w:r>
        <w:rPr>
          <w:rFonts w:ascii="Times New Roman" w:hAnsi="Times New Roman" w:cs="Times New Roman"/>
          <w:szCs w:val="32"/>
        </w:rPr>
        <w:t>黄河北72平方公里全部都在“北起”范围内、同时也位于新旧动能转换起步区范围，黄河南72平方公里全部都在“中优”范围内，市委市政府将天桥区确定为打造连接“中优”“北起”的城市新地标，支持我区打造城市更新样板区</w:t>
      </w:r>
      <w:r>
        <w:rPr>
          <w:rFonts w:hint="eastAsia" w:ascii="Times New Roman" w:hAnsi="Times New Roman" w:cs="Times New Roman"/>
          <w:szCs w:val="32"/>
        </w:rPr>
        <w:t>，全区</w:t>
      </w:r>
      <w:r>
        <w:rPr>
          <w:rFonts w:ascii="Times New Roman" w:hAnsi="Times New Roman" w:cs="Times New Roman"/>
          <w:szCs w:val="32"/>
        </w:rPr>
        <w:t>发展能级和中心城区地位将明显跃升，发展战略更加科学，发展重点更加凸显，发展氛围更加浓厚，发展势头更加强劲。</w:t>
      </w:r>
    </w:p>
    <w:p>
      <w:pPr>
        <w:ind w:firstLine="640"/>
        <w:textAlignment w:val="baseline"/>
        <w:rPr>
          <w:rFonts w:ascii="Times New Roman" w:hAnsi="Times New Roman" w:cs="Times New Roman"/>
          <w:color w:val="000000"/>
          <w:sz w:val="20"/>
        </w:rPr>
      </w:pPr>
      <w:r>
        <w:rPr>
          <w:rFonts w:ascii="Times New Roman" w:hAnsi="Times New Roman" w:eastAsia="楷体_GB2312" w:cs="Times New Roman"/>
          <w:szCs w:val="32"/>
        </w:rPr>
        <w:t>——面临挑战。</w:t>
      </w:r>
      <w:r>
        <w:rPr>
          <w:rFonts w:ascii="Times New Roman" w:hAnsi="Times New Roman" w:cs="Times New Roman"/>
          <w:szCs w:val="32"/>
        </w:rPr>
        <w:t>“十四五”时期，我区要实现建设现代化中心城区的任务目标，仍面临诸多压力与挑战。我区发展正处在转型升级的紧要关口、重要“窗口期”，发展不平衡不充分的问题仍然突出，综合实力仍不够强，经济增速仍不够快，发展质量仍不够高，城市品质仍不够优，生态环保、民生保障、社会治理等领域仍存在短板弱项。全区上下要科学把握新发展阶段，坚定贯彻新发展理念，主动融入新发展格局，在国家大格局、大目标、大战略中找准定位、谋划发展，树立强烈的机遇意识和风险意识，保持战略定力，强化责任担当，准确识变、科学应变、主动求变，不断开创全区高质量发展新局面。</w:t>
      </w:r>
    </w:p>
    <w:p>
      <w:pPr>
        <w:pStyle w:val="3"/>
        <w:spacing w:before="120" w:after="120"/>
        <w:textAlignment w:val="baseline"/>
        <w:rPr>
          <w:rFonts w:ascii="Times New Roman" w:hAnsi="Times New Roman" w:cs="Times New Roman"/>
          <w:color w:val="000000"/>
        </w:rPr>
      </w:pPr>
      <w:bookmarkStart w:id="3" w:name="_Toc75764621"/>
      <w:r>
        <w:rPr>
          <w:rFonts w:ascii="Times New Roman" w:hAnsi="Times New Roman" w:cs="Times New Roman"/>
          <w:color w:val="000000"/>
        </w:rPr>
        <w:t>第三节</w:t>
      </w:r>
      <w:r>
        <w:rPr>
          <w:rFonts w:hint="eastAsia" w:ascii="Times New Roman" w:hAnsi="Times New Roman" w:cs="Times New Roman"/>
          <w:color w:val="000000"/>
        </w:rPr>
        <w:t xml:space="preserve"> </w:t>
      </w:r>
      <w:r>
        <w:rPr>
          <w:rFonts w:ascii="Times New Roman" w:hAnsi="Times New Roman" w:cs="Times New Roman"/>
          <w:color w:val="000000"/>
        </w:rPr>
        <w:t>指导思想</w:t>
      </w:r>
      <w:bookmarkEnd w:id="3"/>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“十四五”时期全区经济社会发展的指导思想是：高举中国特色社会主义伟大旗帜，深入贯彻党的十九大和十九届二中、三中、四中、五中全会精神，</w:t>
      </w:r>
      <w:r>
        <w:rPr>
          <w:rFonts w:hint="eastAsia" w:ascii="Times New Roman" w:hAnsi="Times New Roman" w:cs="Times New Roman"/>
          <w:szCs w:val="32"/>
          <w:lang w:eastAsia="zh-CN"/>
        </w:rPr>
        <w:t>坚持马克思列宁主义、毛泽东思想、邓小平理论、“三个代表”重要思想、科学发展观</w:t>
      </w:r>
      <w:r>
        <w:rPr>
          <w:rFonts w:ascii="Times New Roman" w:hAnsi="Times New Roman" w:cs="Times New Roman"/>
          <w:szCs w:val="32"/>
        </w:rPr>
        <w:t>、习近平新时代中国特色社会主义思想为指导，认真落实习近平总书记对山东、对济南工作的重要指示要求，全面贯彻落实黄河流域生态保护和高质量发展重大国家战略，紧紧围绕统筹推进“五位一体”总体布局和“四个全面”战略布局，坚定不移贯彻新发展理念，坚持稳中求进工作总基调，以推动高质量发展为主题，以深化供给侧结构性改革为主线，以改革创新为根本动力，以满足人民日益增长的美好生活需要为根本目的，主动融入新发展格局，统筹发展和安全，加快建设现代化经济体系，持续提升社会治理效能，建设现代化中心城区，打造黄河流域生态保护和高质量发展样板区。</w:t>
      </w:r>
    </w:p>
    <w:p>
      <w:pPr>
        <w:pStyle w:val="3"/>
        <w:spacing w:before="120" w:after="120"/>
        <w:textAlignment w:val="baseline"/>
        <w:rPr>
          <w:rFonts w:ascii="Times New Roman" w:hAnsi="Times New Roman" w:cs="Times New Roman"/>
          <w:color w:val="000000"/>
        </w:rPr>
      </w:pPr>
      <w:bookmarkStart w:id="4" w:name="_Toc75764622"/>
      <w:r>
        <w:rPr>
          <w:rFonts w:ascii="Times New Roman" w:hAnsi="Times New Roman" w:cs="Times New Roman"/>
          <w:color w:val="000000"/>
        </w:rPr>
        <w:t>第四节</w:t>
      </w:r>
      <w:r>
        <w:rPr>
          <w:rFonts w:hint="eastAsia" w:ascii="Times New Roman" w:hAnsi="Times New Roman" w:cs="Times New Roman"/>
          <w:color w:val="000000"/>
        </w:rPr>
        <w:t xml:space="preserve"> </w:t>
      </w:r>
      <w:r>
        <w:rPr>
          <w:rFonts w:ascii="Times New Roman" w:hAnsi="Times New Roman" w:cs="Times New Roman"/>
          <w:color w:val="000000"/>
        </w:rPr>
        <w:t>基本原则</w:t>
      </w:r>
      <w:bookmarkEnd w:id="4"/>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szCs w:val="32"/>
        </w:rPr>
        <w:t>——必须坚持党的全面领导。</w:t>
      </w:r>
      <w:r>
        <w:rPr>
          <w:rFonts w:ascii="Times New Roman" w:hAnsi="Times New Roman" w:cs="Times New Roman"/>
          <w:szCs w:val="32"/>
        </w:rPr>
        <w:t>增强“四个意识”、坚定“四个自信”、做到“两个维护”，切实加强党对经济社会发展的全面领导，更好发挥党总揽全局、协调各方的作用，不断提高贯彻新发展理念、构建新发展格局的能力和水平，为实现高质量发展提供根本保证。</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szCs w:val="32"/>
        </w:rPr>
        <w:t>——必须坚持以人民为中心。</w:t>
      </w:r>
      <w:r>
        <w:rPr>
          <w:rFonts w:ascii="Times New Roman" w:hAnsi="Times New Roman" w:cs="Times New Roman"/>
          <w:szCs w:val="32"/>
        </w:rPr>
        <w:t>坚持人民主体地位，坚持共同富裕方向，始终把人民对美好生活的向往作为奋斗目标，增进民生福祉，促进社会公平，不断增强人民群众的幸福感获得感安全感。</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szCs w:val="32"/>
        </w:rPr>
        <w:t>——必须坚持新发展理念。</w:t>
      </w:r>
      <w:r>
        <w:rPr>
          <w:rFonts w:ascii="Times New Roman" w:hAnsi="Times New Roman" w:cs="Times New Roman"/>
          <w:szCs w:val="32"/>
        </w:rPr>
        <w:t>毫不动摇坚持发展第一要务，把新发展理念贯穿发展全过程和各领域，坚定不移推动新旧动能转换，加快质量变革、效率变革、动力变革，努力实现更高质量、更有效率、更加公平、更可持续、更为安全的发展。</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szCs w:val="32"/>
        </w:rPr>
        <w:t>——必须主动融入新发展格局。</w:t>
      </w:r>
      <w:r>
        <w:rPr>
          <w:rFonts w:ascii="Times New Roman" w:hAnsi="Times New Roman" w:cs="Times New Roman"/>
          <w:szCs w:val="32"/>
        </w:rPr>
        <w:t>扭住扩大内需战略基点，促进国际国内市场高效贯通，探索有利于促进构建新发展格局的有效路径，进一步构筑未来发展的战略优势。</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szCs w:val="32"/>
        </w:rPr>
        <w:t>——必须坚持深化改革开放。</w:t>
      </w:r>
      <w:r>
        <w:rPr>
          <w:rFonts w:ascii="Times New Roman" w:hAnsi="Times New Roman" w:cs="Times New Roman"/>
          <w:szCs w:val="32"/>
        </w:rPr>
        <w:t>更大力度解放思想、更新观念、提升境界，破除制约高质量发展、高品质生活、高效能治理的体制机制障碍，强化有利于提高资源配置效率、有利于调动全社会积极性的重大改革开放举措，持续增强发展活力和动力。</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szCs w:val="32"/>
        </w:rPr>
        <w:t>——必须坚持系统观念。</w:t>
      </w:r>
      <w:r>
        <w:rPr>
          <w:rFonts w:ascii="Times New Roman" w:hAnsi="Times New Roman" w:cs="Times New Roman"/>
          <w:szCs w:val="32"/>
        </w:rPr>
        <w:t>加强前瞻性思考、全局性谋划、战略性布局、整体性推进，统筹黄河南北发展，加快全域城市化现代化，统筹空间、规模、产业结构，统筹规划、建设、管理和生产、生活、生态各个方面，着力固根基、扬优势、补短板、强弱项，注重防范化解重大风险挑战，实现发展质量、结构、规模、速度、效益、安全相统一。</w:t>
      </w:r>
    </w:p>
    <w:p>
      <w:pPr>
        <w:pStyle w:val="3"/>
        <w:spacing w:before="120" w:after="120"/>
        <w:textAlignment w:val="baseline"/>
        <w:rPr>
          <w:rFonts w:ascii="Times New Roman" w:hAnsi="Times New Roman" w:cs="Times New Roman"/>
          <w:color w:val="000000"/>
        </w:rPr>
      </w:pPr>
      <w:bookmarkStart w:id="5" w:name="_Toc75764623"/>
      <w:r>
        <w:rPr>
          <w:rFonts w:ascii="Times New Roman" w:hAnsi="Times New Roman" w:cs="Times New Roman"/>
          <w:color w:val="000000"/>
        </w:rPr>
        <w:t>第五节</w:t>
      </w:r>
      <w:r>
        <w:rPr>
          <w:rFonts w:hint="eastAsia" w:ascii="Times New Roman" w:hAnsi="Times New Roman" w:cs="Times New Roman"/>
          <w:color w:val="000000"/>
        </w:rPr>
        <w:t xml:space="preserve"> </w:t>
      </w:r>
      <w:r>
        <w:rPr>
          <w:rFonts w:ascii="Times New Roman" w:hAnsi="Times New Roman" w:cs="Times New Roman"/>
          <w:color w:val="000000"/>
        </w:rPr>
        <w:t>发展目标</w:t>
      </w:r>
      <w:bookmarkEnd w:id="5"/>
    </w:p>
    <w:p>
      <w:pPr>
        <w:ind w:firstLine="640"/>
        <w:textAlignment w:val="baseline"/>
        <w:rPr>
          <w:rFonts w:ascii="Times New Roman" w:hAnsi="Times New Roman" w:eastAsia="楷体_GB2312" w:cs="Times New Roman"/>
          <w:sz w:val="20"/>
        </w:rPr>
      </w:pPr>
      <w:r>
        <w:rPr>
          <w:rFonts w:ascii="Times New Roman" w:hAnsi="Times New Roman" w:eastAsia="楷体_GB2312" w:cs="Times New Roman"/>
        </w:rPr>
        <w:t>（一）2025年发展目标</w:t>
      </w:r>
    </w:p>
    <w:p>
      <w:pPr>
        <w:ind w:firstLine="640"/>
        <w:textAlignment w:val="baseline"/>
        <w:rPr>
          <w:rFonts w:ascii="Times New Roman" w:hAnsi="Times New Roman" w:cs="Times New Roman"/>
          <w:sz w:val="20"/>
          <w:szCs w:val="32"/>
        </w:rPr>
      </w:pPr>
      <w:r>
        <w:rPr>
          <w:rFonts w:ascii="Times New Roman" w:hAnsi="Times New Roman" w:cs="Times New Roman"/>
          <w:kern w:val="0"/>
          <w:szCs w:val="32"/>
          <w:lang w:val="en-GB"/>
        </w:rPr>
        <w:t>综合考虑天桥区优势条件和未来发展趋势，</w:t>
      </w:r>
      <w:r>
        <w:rPr>
          <w:rFonts w:ascii="Times New Roman" w:hAnsi="Times New Roman" w:cs="Times New Roman"/>
          <w:szCs w:val="32"/>
        </w:rPr>
        <w:t>经过五年不懈奋斗，实现赋能赶超、跨越崛起，基本建成实力跃升、活力迸发、魅力绽放的现代化中心城区，基本建成在黄河流域具有较强影响力的生态保护和高质量发展样板区。</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——中心地位全面塑成。</w:t>
      </w:r>
      <w:r>
        <w:rPr>
          <w:rFonts w:ascii="Times New Roman" w:hAnsi="Times New Roman" w:cs="Times New Roman"/>
          <w:szCs w:val="32"/>
        </w:rPr>
        <w:t>在对标对表、服从服务、融合融入黄河重大国家战略中全面提升发展能级和战略地位，核心竞争力和辐射带动力显著增强，成为强省会和黄河流域中心城市的战略引领高地、产业支撑高地、动能策源高地、城市隆起高地，由地区中心升成为经济社会发展中心。</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——综合实力全面跃升。</w:t>
      </w:r>
      <w:r>
        <w:rPr>
          <w:rFonts w:ascii="Times New Roman" w:hAnsi="Times New Roman" w:cs="Times New Roman"/>
          <w:szCs w:val="32"/>
        </w:rPr>
        <w:t>经济持续较快增长，主要经济指标增速高于全市平均水平，</w:t>
      </w:r>
      <w:r>
        <w:rPr>
          <w:rFonts w:ascii="Times New Roman" w:hAnsi="Times New Roman" w:cs="Times New Roman"/>
          <w:kern w:val="0"/>
          <w:szCs w:val="32"/>
          <w:lang w:val="en-GB"/>
        </w:rPr>
        <w:t>地区生产总值</w:t>
      </w:r>
      <w:r>
        <w:rPr>
          <w:rFonts w:ascii="Times New Roman" w:hAnsi="Times New Roman" w:cs="Times New Roman"/>
          <w:kern w:val="0"/>
          <w:szCs w:val="32"/>
        </w:rPr>
        <w:t>年均增长9%、到2025年总量突破1000亿元；</w:t>
      </w:r>
      <w:r>
        <w:rPr>
          <w:rFonts w:ascii="Times New Roman" w:hAnsi="Times New Roman" w:cs="Times New Roman"/>
          <w:kern w:val="0"/>
          <w:szCs w:val="32"/>
          <w:lang w:val="en-GB"/>
        </w:rPr>
        <w:t>一般公共预算收入年均增长9%、到2025年总量达到</w:t>
      </w:r>
      <w:r>
        <w:rPr>
          <w:rFonts w:ascii="Times New Roman" w:hAnsi="Times New Roman" w:cs="Times New Roman"/>
          <w:kern w:val="0"/>
          <w:szCs w:val="32"/>
        </w:rPr>
        <w:t>7</w:t>
      </w:r>
      <w:r>
        <w:rPr>
          <w:rFonts w:ascii="Times New Roman" w:hAnsi="Times New Roman" w:cs="Times New Roman"/>
          <w:kern w:val="0"/>
          <w:szCs w:val="32"/>
          <w:lang w:val="en-GB"/>
        </w:rPr>
        <w:t>0亿元；</w:t>
      </w:r>
      <w:r>
        <w:rPr>
          <w:rFonts w:ascii="Times New Roman" w:hAnsi="Times New Roman" w:cs="Times New Roman"/>
          <w:kern w:val="0"/>
          <w:szCs w:val="32"/>
        </w:rPr>
        <w:t>固定资产投资年均增长20%</w:t>
      </w:r>
      <w:r>
        <w:rPr>
          <w:rFonts w:hint="eastAsia" w:ascii="Times New Roman" w:hAnsi="Times New Roman" w:cs="Times New Roman"/>
          <w:kern w:val="0"/>
          <w:szCs w:val="32"/>
        </w:rPr>
        <w:t>，</w:t>
      </w:r>
      <w:r>
        <w:rPr>
          <w:rFonts w:ascii="Times New Roman" w:hAnsi="Times New Roman" w:cs="Times New Roman"/>
          <w:color w:val="000000"/>
          <w:szCs w:val="32"/>
        </w:rPr>
        <w:t>规模以上工业增加值年均增长15%，社会消费品零售总额年均增长8%，进出口总额年均增长10%，实际使用外资年均增长20%。到“十四五”末期，</w:t>
      </w:r>
      <w:r>
        <w:rPr>
          <w:rFonts w:ascii="Times New Roman" w:hAnsi="Times New Roman" w:cs="Times New Roman"/>
          <w:kern w:val="0"/>
          <w:szCs w:val="32"/>
          <w:lang w:val="en-GB"/>
        </w:rPr>
        <w:t>全区</w:t>
      </w:r>
      <w:r>
        <w:rPr>
          <w:rFonts w:ascii="Times New Roman" w:hAnsi="Times New Roman" w:cs="Times New Roman"/>
          <w:szCs w:val="32"/>
        </w:rPr>
        <w:t>经济总量在全省各县（市）区中位次明显前移，综合实力全面跃升。</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——产业质效全面升级。</w:t>
      </w:r>
      <w:r>
        <w:rPr>
          <w:rFonts w:ascii="Times New Roman" w:hAnsi="Times New Roman" w:cs="Times New Roman"/>
          <w:szCs w:val="32"/>
        </w:rPr>
        <w:t>产业基础高级化、产业链现代化水平明显提高，工业经济占比、“四新经济”占比、现代商贸占比大幅提升，</w:t>
      </w:r>
      <w:r>
        <w:rPr>
          <w:rFonts w:ascii="Times New Roman" w:hAnsi="Times New Roman" w:cs="Times New Roman"/>
          <w:color w:val="000000"/>
          <w:szCs w:val="32"/>
        </w:rPr>
        <w:t>高新技术企业数量达到300家，高新技术产业产值占比达到70%。</w:t>
      </w:r>
      <w:r>
        <w:rPr>
          <w:rFonts w:ascii="Times New Roman" w:hAnsi="Times New Roman" w:cs="Times New Roman"/>
          <w:szCs w:val="32"/>
        </w:rPr>
        <w:t>济南新材料产业园区成为推动新旧动能转换、重塑产业辉煌的龙头，全区形成一批具有重要影响力的产业集群、领航企业和知名品牌，初步建立实体经济、科技创新、现代金融、人力资源协同发展的现代产业体系。</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——城市魅力全面彰显。</w:t>
      </w:r>
      <w:r>
        <w:rPr>
          <w:rFonts w:ascii="Times New Roman" w:hAnsi="Times New Roman" w:cs="Times New Roman"/>
          <w:szCs w:val="32"/>
        </w:rPr>
        <w:t>全域城市化进程加速推进，黄河两岸加速隆起，基本建成省会连接“中优”和“北起”的城市新地标。基础设施综合承载能力显著增强，</w:t>
      </w:r>
      <w:r>
        <w:rPr>
          <w:rFonts w:ascii="Times New Roman" w:hAnsi="Times New Roman" w:cs="Times New Roman"/>
          <w:kern w:val="0"/>
          <w:szCs w:val="32"/>
          <w:lang w:val="en-GB"/>
        </w:rPr>
        <w:t>断头路全部实现打通，市政路全部改造完成，路网更加优化、管网全部连接联通</w:t>
      </w:r>
      <w:r>
        <w:rPr>
          <w:rFonts w:hint="eastAsia" w:ascii="Times New Roman" w:hAnsi="Times New Roman" w:cs="Times New Roman"/>
          <w:kern w:val="0"/>
          <w:szCs w:val="32"/>
          <w:lang w:val="en-GB"/>
        </w:rPr>
        <w:t>，</w:t>
      </w:r>
      <w:r>
        <w:rPr>
          <w:rFonts w:ascii="Times New Roman" w:hAnsi="Times New Roman" w:cs="Times New Roman"/>
          <w:szCs w:val="32"/>
        </w:rPr>
        <w:t>城市管理科学化、精细化、智能化，成为宜居城区、绿色城区、韧性城区、智慧城区、人文城区，为人民群众提供高品质生活的空间。</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——生态环境全面改善。</w:t>
      </w:r>
      <w:r>
        <w:rPr>
          <w:rFonts w:ascii="Times New Roman" w:hAnsi="Times New Roman" w:cs="Times New Roman"/>
          <w:szCs w:val="32"/>
        </w:rPr>
        <w:t>国土空间开发保护格局得到优化，生产生活方式绿色转型成效显著，完成市下达的单位地区生产总值能耗任务，能源资源利用效率大幅提高，主要污染物排放持续削减，山体、水体得到有效恢复治理，到“十四五”末，</w:t>
      </w:r>
      <w:r>
        <w:rPr>
          <w:rFonts w:ascii="Times New Roman" w:hAnsi="Times New Roman" w:cs="Times New Roman"/>
          <w:kern w:val="0"/>
          <w:szCs w:val="32"/>
          <w:lang w:val="en-GB"/>
        </w:rPr>
        <w:t>全区河道全部完成整治任务，</w:t>
      </w:r>
      <w:r>
        <w:rPr>
          <w:rFonts w:ascii="Times New Roman" w:hAnsi="Times New Roman" w:cs="Times New Roman"/>
          <w:szCs w:val="32"/>
        </w:rPr>
        <w:t>生态系统稳定性明显增强，青山常在、绿水长流、空气常新、泉水常涌的生态特色充分彰显。</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——民生福祉全面增进。</w:t>
      </w:r>
      <w:r>
        <w:rPr>
          <w:rFonts w:ascii="Times New Roman" w:hAnsi="Times New Roman" w:cs="Times New Roman"/>
          <w:szCs w:val="32"/>
        </w:rPr>
        <w:t>省会一流的现代化教育强区基本建成，实现更加充分更高质量就业，</w:t>
      </w:r>
      <w:r>
        <w:rPr>
          <w:rFonts w:ascii="Times New Roman" w:hAnsi="Times New Roman" w:cs="Times New Roman"/>
          <w:kern w:val="0"/>
          <w:szCs w:val="32"/>
          <w:lang w:val="en-GB"/>
        </w:rPr>
        <w:t>城镇登记失业率控制在3.5%以内。</w:t>
      </w:r>
      <w:r>
        <w:rPr>
          <w:rFonts w:ascii="Times New Roman" w:hAnsi="Times New Roman" w:cs="Times New Roman"/>
          <w:szCs w:val="32"/>
        </w:rPr>
        <w:t>居民收入增长与经济增长基本同步，</w:t>
      </w:r>
      <w:r>
        <w:rPr>
          <w:rFonts w:hint="eastAsia" w:ascii="Times New Roman" w:hAnsi="Times New Roman" w:cs="Times New Roman"/>
          <w:color w:val="000000"/>
          <w:szCs w:val="32"/>
        </w:rPr>
        <w:t>全体</w:t>
      </w:r>
      <w:r>
        <w:rPr>
          <w:rFonts w:ascii="Times New Roman" w:hAnsi="Times New Roman" w:cs="Times New Roman"/>
          <w:color w:val="000000"/>
          <w:szCs w:val="32"/>
        </w:rPr>
        <w:t>居民人均可支配收入年均增长9%，</w:t>
      </w:r>
      <w:r>
        <w:rPr>
          <w:rFonts w:ascii="Times New Roman" w:hAnsi="Times New Roman" w:cs="Times New Roman"/>
          <w:kern w:val="0"/>
          <w:szCs w:val="32"/>
          <w:lang w:val="en-GB"/>
        </w:rPr>
        <w:t>进入全市领先梯队。</w:t>
      </w:r>
      <w:r>
        <w:rPr>
          <w:rFonts w:ascii="Times New Roman" w:hAnsi="Times New Roman" w:cs="Times New Roman"/>
          <w:szCs w:val="32"/>
        </w:rPr>
        <w:t>中等收入群体为主的橄榄型社会保障结构基本形成，覆盖全民、贯穿全龄的多层次社会保障体系更加完善，率先实现基本公共服务均等化、普惠化、便捷化。</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——改革开放全面深化。</w:t>
      </w:r>
      <w:r>
        <w:rPr>
          <w:rFonts w:ascii="Times New Roman" w:hAnsi="Times New Roman" w:cs="Times New Roman"/>
          <w:szCs w:val="32"/>
        </w:rPr>
        <w:t>重点领域关键环节改革取得更大突破，高标准市场体系基本建成，营商环境全面提升，市场主体更加充满活力，各方面创新创造热情得到充分发挥。开放型经济发展水平显著提高，开放平台建设取得突破，构建起黄河战略引领下的全方位开放新格局。</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——治理效能全面提升。</w:t>
      </w:r>
      <w:r>
        <w:rPr>
          <w:rFonts w:ascii="Times New Roman" w:hAnsi="Times New Roman" w:cs="Times New Roman"/>
          <w:szCs w:val="32"/>
        </w:rPr>
        <w:t>党的全面领导落实到各领域各方面的高效执行体系基本形成，政府运转更加高效便民务实廉洁，党建引领基层网格化治理水平持续提升，广泛多层制度化协商民主深入推进，</w:t>
      </w:r>
      <w:r>
        <w:rPr>
          <w:rFonts w:hint="eastAsia" w:ascii="Times New Roman" w:hAnsi="Times New Roman" w:cs="Times New Roman"/>
          <w:szCs w:val="32"/>
        </w:rPr>
        <w:t>“八五”普法扎实推进，</w:t>
      </w:r>
      <w:r>
        <w:rPr>
          <w:rFonts w:ascii="Times New Roman" w:hAnsi="Times New Roman" w:cs="Times New Roman"/>
          <w:szCs w:val="32"/>
        </w:rPr>
        <w:t>“开放、包容、诚信、图强”的天桥精神成为激励广大党员干部群众干事创业的持久动力。</w:t>
      </w:r>
    </w:p>
    <w:p>
      <w:pPr>
        <w:spacing w:line="590" w:lineRule="exact"/>
        <w:ind w:firstLine="400"/>
        <w:textAlignment w:val="baseline"/>
        <w:rPr>
          <w:rFonts w:ascii="Times New Roman" w:hAnsi="Times New Roman" w:cs="Times New Roman"/>
          <w:sz w:val="20"/>
          <w:szCs w:val="32"/>
        </w:rPr>
      </w:pPr>
    </w:p>
    <w:p>
      <w:pPr>
        <w:spacing w:line="592" w:lineRule="exact"/>
        <w:ind w:firstLine="0" w:firstLineChars="0"/>
        <w:jc w:val="center"/>
        <w:textAlignment w:val="baseline"/>
        <w:rPr>
          <w:rFonts w:ascii="楷体_GB2312" w:hAnsi="方正小标宋简体" w:eastAsia="楷体_GB2312" w:cs="方正小标宋简体"/>
          <w:sz w:val="20"/>
          <w:szCs w:val="32"/>
        </w:rPr>
      </w:pPr>
      <w:r>
        <w:rPr>
          <w:rFonts w:hint="eastAsia" w:ascii="楷体_GB2312" w:hAnsi="方正小标宋简体" w:eastAsia="楷体_GB2312" w:cs="方正小标宋简体"/>
          <w:szCs w:val="32"/>
        </w:rPr>
        <w:t>“十四五”时期经济社会发展主要指标</w:t>
      </w:r>
    </w:p>
    <w:p>
      <w:pPr>
        <w:spacing w:line="592" w:lineRule="exact"/>
        <w:ind w:firstLine="800"/>
        <w:jc w:val="center"/>
        <w:textAlignment w:val="baseline"/>
        <w:rPr>
          <w:rFonts w:ascii="方正小标宋简体" w:hAnsi="方正小标宋简体" w:eastAsia="方正小标宋简体" w:cs="方正小标宋简体"/>
          <w:sz w:val="40"/>
          <w:szCs w:val="40"/>
        </w:rPr>
      </w:pPr>
    </w:p>
    <w:tbl>
      <w:tblPr>
        <w:tblStyle w:val="17"/>
        <w:tblW w:w="490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759"/>
        <w:gridCol w:w="2725"/>
        <w:gridCol w:w="1038"/>
        <w:gridCol w:w="1038"/>
        <w:gridCol w:w="1038"/>
        <w:gridCol w:w="121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512" w:type="pct"/>
          </w:tcPr>
          <w:p>
            <w:pPr>
              <w:spacing w:line="260" w:lineRule="exact"/>
              <w:ind w:firstLine="0" w:firstLineChars="0"/>
              <w:jc w:val="center"/>
              <w:textAlignment w:val="baseline"/>
              <w:rPr>
                <w:rFonts w:ascii="Times New Roman" w:hAnsi="Times New Roman" w:eastAsia="黑体" w:cs="黑体"/>
                <w:sz w:val="24"/>
              </w:rPr>
            </w:pPr>
            <w:r>
              <w:rPr>
                <w:rFonts w:hint="eastAsia" w:ascii="Times New Roman" w:hAnsi="Times New Roman" w:eastAsia="黑体" w:cs="黑体"/>
                <w:sz w:val="24"/>
              </w:rPr>
              <w:t>指标类别</w:t>
            </w:r>
          </w:p>
        </w:tc>
        <w:tc>
          <w:tcPr>
            <w:tcW w:w="436" w:type="pct"/>
            <w:tcMar>
              <w:left w:w="28" w:type="dxa"/>
              <w:right w:w="28" w:type="dxa"/>
            </w:tcMar>
            <w:vAlign w:val="center"/>
          </w:tcPr>
          <w:p>
            <w:pPr>
              <w:spacing w:line="260" w:lineRule="exact"/>
              <w:ind w:firstLine="0" w:firstLineChars="0"/>
              <w:jc w:val="center"/>
              <w:textAlignment w:val="baseline"/>
              <w:rPr>
                <w:rFonts w:ascii="Times New Roman" w:hAnsi="Times New Roman" w:eastAsia="黑体" w:cs="黑体"/>
                <w:sz w:val="24"/>
              </w:rPr>
            </w:pPr>
            <w:r>
              <w:rPr>
                <w:rFonts w:hint="eastAsia" w:ascii="Times New Roman" w:hAnsi="Times New Roman" w:eastAsia="黑体" w:cs="黑体"/>
                <w:sz w:val="24"/>
              </w:rPr>
              <w:t>序号</w:t>
            </w:r>
          </w:p>
        </w:tc>
        <w:tc>
          <w:tcPr>
            <w:tcW w:w="1565" w:type="pct"/>
            <w:tcMar>
              <w:left w:w="28" w:type="dxa"/>
              <w:right w:w="28" w:type="dxa"/>
            </w:tcMar>
            <w:vAlign w:val="center"/>
          </w:tcPr>
          <w:p>
            <w:pPr>
              <w:spacing w:line="260" w:lineRule="exact"/>
              <w:ind w:firstLine="0" w:firstLineChars="0"/>
              <w:jc w:val="center"/>
              <w:textAlignment w:val="baseline"/>
              <w:rPr>
                <w:rFonts w:ascii="Times New Roman" w:hAnsi="Times New Roman" w:eastAsia="黑体" w:cs="黑体"/>
                <w:sz w:val="24"/>
              </w:rPr>
            </w:pPr>
            <w:r>
              <w:rPr>
                <w:rFonts w:hint="eastAsia" w:ascii="Times New Roman" w:hAnsi="Times New Roman" w:eastAsia="黑体" w:cs="黑体"/>
                <w:sz w:val="24"/>
              </w:rPr>
              <w:t>主 要 指 标</w:t>
            </w:r>
          </w:p>
        </w:tc>
        <w:tc>
          <w:tcPr>
            <w:tcW w:w="596" w:type="pct"/>
            <w:tcMar>
              <w:left w:w="28" w:type="dxa"/>
              <w:right w:w="28" w:type="dxa"/>
            </w:tcMar>
            <w:vAlign w:val="center"/>
          </w:tcPr>
          <w:p>
            <w:pPr>
              <w:spacing w:line="260" w:lineRule="exact"/>
              <w:ind w:firstLine="0" w:firstLineChars="0"/>
              <w:jc w:val="center"/>
              <w:textAlignment w:val="baseline"/>
              <w:rPr>
                <w:rFonts w:hint="eastAsia" w:ascii="Times New Roman" w:hAnsi="Times New Roman" w:eastAsia="黑体" w:cs="黑体"/>
                <w:sz w:val="24"/>
                <w:lang w:eastAsia="zh-CN"/>
              </w:rPr>
            </w:pPr>
            <w:r>
              <w:rPr>
                <w:rFonts w:hint="eastAsia" w:ascii="Times New Roman" w:hAnsi="Times New Roman" w:eastAsia="黑体" w:cs="黑体"/>
                <w:sz w:val="24"/>
              </w:rPr>
              <w:t>2020年</w:t>
            </w:r>
          </w:p>
          <w:p>
            <w:pPr>
              <w:spacing w:line="260" w:lineRule="exact"/>
              <w:ind w:firstLine="0" w:firstLineChars="0"/>
              <w:jc w:val="center"/>
              <w:textAlignment w:val="baseline"/>
              <w:rPr>
                <w:rFonts w:ascii="Times New Roman" w:hAnsi="Times New Roman" w:eastAsia="黑体" w:cs="黑体"/>
                <w:sz w:val="24"/>
              </w:rPr>
            </w:pPr>
            <w:r>
              <w:rPr>
                <w:rFonts w:hint="eastAsia" w:ascii="Times New Roman" w:hAnsi="Times New Roman" w:eastAsia="黑体" w:cs="黑体"/>
                <w:sz w:val="24"/>
              </w:rPr>
              <w:t>实际</w:t>
            </w:r>
          </w:p>
        </w:tc>
        <w:tc>
          <w:tcPr>
            <w:tcW w:w="596" w:type="pct"/>
            <w:tcMar>
              <w:left w:w="28" w:type="dxa"/>
              <w:right w:w="28" w:type="dxa"/>
            </w:tcMar>
            <w:vAlign w:val="center"/>
          </w:tcPr>
          <w:p>
            <w:pPr>
              <w:spacing w:line="260" w:lineRule="exact"/>
              <w:ind w:firstLine="0" w:firstLineChars="0"/>
              <w:jc w:val="center"/>
              <w:textAlignment w:val="baseline"/>
              <w:rPr>
                <w:rFonts w:hint="eastAsia" w:ascii="Times New Roman" w:hAnsi="Times New Roman" w:eastAsia="黑体" w:cs="黑体"/>
                <w:sz w:val="24"/>
                <w:lang w:eastAsia="zh-CN"/>
              </w:rPr>
            </w:pPr>
            <w:r>
              <w:rPr>
                <w:rFonts w:hint="eastAsia" w:ascii="Times New Roman" w:hAnsi="Times New Roman" w:eastAsia="黑体" w:cs="黑体"/>
                <w:sz w:val="24"/>
              </w:rPr>
              <w:t>2025年</w:t>
            </w:r>
          </w:p>
          <w:p>
            <w:pPr>
              <w:spacing w:line="260" w:lineRule="exact"/>
              <w:ind w:firstLine="0" w:firstLineChars="0"/>
              <w:jc w:val="center"/>
              <w:textAlignment w:val="baseline"/>
              <w:rPr>
                <w:rFonts w:ascii="Times New Roman" w:hAnsi="Times New Roman" w:eastAsia="黑体" w:cs="黑体"/>
                <w:sz w:val="24"/>
              </w:rPr>
            </w:pPr>
            <w:r>
              <w:rPr>
                <w:rFonts w:hint="eastAsia" w:ascii="Times New Roman" w:hAnsi="Times New Roman" w:eastAsia="黑体" w:cs="黑体"/>
                <w:sz w:val="24"/>
              </w:rPr>
              <w:t>目标</w:t>
            </w:r>
          </w:p>
        </w:tc>
        <w:tc>
          <w:tcPr>
            <w:tcW w:w="596" w:type="pct"/>
            <w:tcMar>
              <w:left w:w="28" w:type="dxa"/>
              <w:right w:w="28" w:type="dxa"/>
            </w:tcMar>
            <w:vAlign w:val="center"/>
          </w:tcPr>
          <w:p>
            <w:pPr>
              <w:spacing w:line="260" w:lineRule="exact"/>
              <w:ind w:firstLine="0" w:firstLineChars="0"/>
              <w:jc w:val="center"/>
              <w:textAlignment w:val="baseline"/>
              <w:rPr>
                <w:rFonts w:ascii="Times New Roman" w:hAnsi="Times New Roman" w:eastAsia="黑体" w:cs="黑体"/>
                <w:sz w:val="24"/>
              </w:rPr>
            </w:pPr>
            <w:r>
              <w:rPr>
                <w:rFonts w:hint="eastAsia" w:ascii="Times New Roman" w:hAnsi="Times New Roman" w:eastAsia="黑体" w:cs="黑体"/>
                <w:sz w:val="24"/>
              </w:rPr>
              <w:t>年均增长（%）</w:t>
            </w:r>
          </w:p>
        </w:tc>
        <w:tc>
          <w:tcPr>
            <w:tcW w:w="697" w:type="pct"/>
            <w:tcMar>
              <w:left w:w="28" w:type="dxa"/>
              <w:right w:w="28" w:type="dxa"/>
            </w:tcMar>
            <w:vAlign w:val="center"/>
          </w:tcPr>
          <w:p>
            <w:pPr>
              <w:spacing w:line="260" w:lineRule="exact"/>
              <w:ind w:firstLine="0" w:firstLineChars="0"/>
              <w:jc w:val="center"/>
              <w:textAlignment w:val="baseline"/>
              <w:rPr>
                <w:rFonts w:hint="eastAsia" w:ascii="Times New Roman" w:hAnsi="Times New Roman" w:eastAsia="黑体" w:cs="黑体"/>
                <w:sz w:val="24"/>
                <w:lang w:eastAsia="zh-CN"/>
              </w:rPr>
            </w:pPr>
            <w:r>
              <w:rPr>
                <w:rFonts w:hint="eastAsia" w:ascii="Times New Roman" w:hAnsi="Times New Roman" w:eastAsia="黑体" w:cs="黑体"/>
                <w:sz w:val="24"/>
              </w:rPr>
              <w:t>指标</w:t>
            </w:r>
          </w:p>
          <w:p>
            <w:pPr>
              <w:spacing w:line="260" w:lineRule="exact"/>
              <w:ind w:firstLine="0" w:firstLineChars="0"/>
              <w:jc w:val="center"/>
              <w:textAlignment w:val="baseline"/>
              <w:rPr>
                <w:rFonts w:ascii="Times New Roman" w:hAnsi="Times New Roman" w:eastAsia="黑体" w:cs="黑体"/>
                <w:sz w:val="24"/>
              </w:rPr>
            </w:pPr>
            <w:r>
              <w:rPr>
                <w:rFonts w:hint="eastAsia" w:ascii="Times New Roman" w:hAnsi="Times New Roman" w:eastAsia="黑体" w:cs="黑体"/>
                <w:sz w:val="24"/>
              </w:rPr>
              <w:t>属性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restart"/>
          </w:tcPr>
          <w:p>
            <w:pPr>
              <w:spacing w:line="260" w:lineRule="exact"/>
              <w:ind w:firstLine="0" w:firstLineChars="0"/>
              <w:jc w:val="center"/>
              <w:textAlignment w:val="baseline"/>
              <w:rPr>
                <w:rFonts w:hAnsi="Times New Roman"/>
                <w:color w:val="000000"/>
                <w:sz w:val="24"/>
              </w:rPr>
            </w:pPr>
          </w:p>
          <w:p>
            <w:pPr>
              <w:spacing w:line="260" w:lineRule="exact"/>
              <w:ind w:firstLine="0" w:firstLineChars="0"/>
              <w:jc w:val="center"/>
              <w:textAlignment w:val="baseline"/>
              <w:rPr>
                <w:rFonts w:hAnsi="Times New Roman"/>
                <w:color w:val="000000"/>
                <w:sz w:val="24"/>
              </w:rPr>
            </w:pPr>
          </w:p>
          <w:p>
            <w:pPr>
              <w:pStyle w:val="7"/>
              <w:snapToGrid w:val="0"/>
              <w:textAlignment w:val="baseline"/>
            </w:pP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经</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济</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增</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长</w:t>
            </w: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地区生产总值（亿元）</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564.64</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&gt;1000</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9</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2</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一般公共预算收入（亿元）</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44.12</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&gt;70</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9</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3</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规模以上工业增加值增幅（%）</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9</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15</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4</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服务业增加值(亿元）</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ascii="Arial" w:hAnsi="Arial" w:cs="Arial"/>
                <w:color w:val="000000"/>
                <w:sz w:val="24"/>
              </w:rPr>
              <w:t>≥</w:t>
            </w:r>
            <w:r>
              <w:rPr>
                <w:rFonts w:hint="eastAsia" w:hAnsi="Times New Roman"/>
                <w:color w:val="000000"/>
                <w:sz w:val="24"/>
              </w:rPr>
              <w:t>700</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9</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5</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固定资产投资增幅（%）</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1.4</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20</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6</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社会消费品零售总额（亿元）</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453.9</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8</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7</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进出口总额（亿元）</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34.86</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10</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8</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实际使用外资（万美元）</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13605</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20</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restart"/>
          </w:tcPr>
          <w:p>
            <w:pPr>
              <w:spacing w:line="260" w:lineRule="exact"/>
              <w:ind w:firstLine="0" w:firstLineChars="0"/>
              <w:jc w:val="center"/>
              <w:textAlignment w:val="baseline"/>
              <w:rPr>
                <w:rFonts w:hAnsi="Times New Roman"/>
                <w:color w:val="000000"/>
                <w:sz w:val="24"/>
              </w:rPr>
            </w:pP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城</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市</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更</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新</w:t>
            </w: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9</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完成拆迁面积（万平方米）</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1200</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10</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实现新开工建设面积（万平方米）</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1500</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11</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完成提升改造房屋面积（万平方米）</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562</w:t>
            </w:r>
          </w:p>
        </w:tc>
        <w:tc>
          <w:tcPr>
            <w:tcW w:w="596" w:type="pct"/>
            <w:tcMar>
              <w:left w:w="28" w:type="dxa"/>
              <w:right w:w="28" w:type="dxa"/>
            </w:tcMar>
            <w:vAlign w:val="center"/>
          </w:tcPr>
          <w:p>
            <w:pPr>
              <w:widowControl/>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restart"/>
          </w:tcPr>
          <w:p>
            <w:pPr>
              <w:spacing w:line="260" w:lineRule="exact"/>
              <w:ind w:firstLine="0" w:firstLineChars="0"/>
              <w:jc w:val="center"/>
              <w:textAlignment w:val="baseline"/>
              <w:rPr>
                <w:rFonts w:hAnsi="Times New Roman"/>
                <w:color w:val="000000"/>
                <w:sz w:val="24"/>
              </w:rPr>
            </w:pP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科</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技</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创</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新</w:t>
            </w: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12</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高新技术企业占比（%）</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70</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w:t>
            </w:r>
            <w:r>
              <w:rPr>
                <w:rFonts w:hAnsi="Times New Roman"/>
                <w:color w:val="000000"/>
                <w:sz w:val="24"/>
              </w:rPr>
              <w:t>3</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全社会研发经费支出占GDP比重（%）</w:t>
            </w:r>
          </w:p>
        </w:tc>
        <w:tc>
          <w:tcPr>
            <w:tcW w:w="596" w:type="pct"/>
            <w:tcMar>
              <w:left w:w="28" w:type="dxa"/>
              <w:right w:w="28" w:type="dxa"/>
            </w:tcMar>
            <w:vAlign w:val="center"/>
          </w:tcPr>
          <w:p>
            <w:pPr>
              <w:tabs>
                <w:tab w:val="left" w:pos="492"/>
              </w:tabs>
              <w:spacing w:line="260" w:lineRule="exact"/>
              <w:ind w:firstLine="0" w:firstLineChars="0"/>
              <w:jc w:val="center"/>
              <w:textAlignment w:val="baseline"/>
              <w:rPr>
                <w:rFonts w:hAnsi="Times New Roman"/>
                <w:color w:val="000000"/>
                <w:sz w:val="24"/>
              </w:rPr>
            </w:pPr>
            <w:r>
              <w:rPr>
                <w:rFonts w:hint="eastAsia" w:hAnsi="Times New Roman"/>
                <w:color w:val="000000"/>
                <w:sz w:val="24"/>
              </w:rPr>
              <w:t>1.45</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1.88</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14</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高新技术企业数量（家）</w:t>
            </w:r>
          </w:p>
        </w:tc>
        <w:tc>
          <w:tcPr>
            <w:tcW w:w="596" w:type="pct"/>
            <w:tcMar>
              <w:left w:w="28" w:type="dxa"/>
              <w:right w:w="28" w:type="dxa"/>
            </w:tcMar>
            <w:vAlign w:val="center"/>
          </w:tcPr>
          <w:p>
            <w:pPr>
              <w:tabs>
                <w:tab w:val="left" w:pos="492"/>
              </w:tabs>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300</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restart"/>
          </w:tcPr>
          <w:p>
            <w:pPr>
              <w:spacing w:line="260" w:lineRule="exact"/>
              <w:ind w:firstLine="0" w:firstLineChars="0"/>
              <w:jc w:val="center"/>
              <w:textAlignment w:val="baseline"/>
              <w:rPr>
                <w:rFonts w:hAnsi="Times New Roman"/>
                <w:color w:val="000000"/>
                <w:sz w:val="24"/>
              </w:rPr>
            </w:pPr>
          </w:p>
          <w:p>
            <w:pPr>
              <w:spacing w:line="260" w:lineRule="exact"/>
              <w:ind w:firstLine="0" w:firstLineChars="0"/>
              <w:jc w:val="center"/>
              <w:textAlignment w:val="baseline"/>
              <w:rPr>
                <w:rFonts w:hAnsi="Times New Roman"/>
                <w:color w:val="000000"/>
                <w:sz w:val="24"/>
              </w:rPr>
            </w:pPr>
          </w:p>
          <w:p>
            <w:pPr>
              <w:spacing w:line="260" w:lineRule="exact"/>
              <w:ind w:firstLine="0" w:firstLineChars="0"/>
              <w:jc w:val="center"/>
              <w:textAlignment w:val="baseline"/>
              <w:rPr>
                <w:rFonts w:hAnsi="Times New Roman"/>
                <w:color w:val="000000"/>
                <w:sz w:val="24"/>
              </w:rPr>
            </w:pP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民</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生</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保</w:t>
            </w:r>
          </w:p>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障</w:t>
            </w: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w:t>
            </w:r>
            <w:r>
              <w:rPr>
                <w:rFonts w:hAnsi="Times New Roman"/>
                <w:color w:val="000000"/>
                <w:sz w:val="24"/>
              </w:rPr>
              <w:t>5</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全体居民人均可支配收入（元）</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51349</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9</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w:t>
            </w:r>
            <w:r>
              <w:rPr>
                <w:rFonts w:hAnsi="Times New Roman"/>
                <w:color w:val="000000"/>
                <w:sz w:val="24"/>
              </w:rPr>
              <w:t>6</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城镇登记失业率（%）</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&lt;3.5</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w:t>
            </w:r>
            <w:r>
              <w:rPr>
                <w:rFonts w:hAnsi="Times New Roman"/>
                <w:color w:val="000000"/>
                <w:sz w:val="24"/>
              </w:rPr>
              <w:t>7</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城镇新增就业人数（万人）</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w:t>
            </w:r>
            <w:r>
              <w:rPr>
                <w:rFonts w:hAnsi="Times New Roman"/>
                <w:color w:val="000000"/>
                <w:sz w:val="24"/>
              </w:rPr>
              <w:t>.5</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1</w:t>
            </w:r>
            <w:r>
              <w:rPr>
                <w:rFonts w:hAnsi="Times New Roman"/>
                <w:color w:val="000000"/>
                <w:sz w:val="24"/>
              </w:rPr>
              <w:t>.75</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3</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18</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学前三年毛入园率（%）</w:t>
            </w:r>
          </w:p>
        </w:tc>
        <w:tc>
          <w:tcPr>
            <w:tcW w:w="596" w:type="pct"/>
            <w:tcMar>
              <w:left w:w="28" w:type="dxa"/>
              <w:right w:w="28" w:type="dxa"/>
            </w:tcMar>
            <w:vAlign w:val="center"/>
          </w:tcPr>
          <w:p>
            <w:pPr>
              <w:spacing w:line="260" w:lineRule="exact"/>
              <w:ind w:firstLine="0" w:firstLineChars="0"/>
              <w:jc w:val="center"/>
              <w:textAlignment w:val="baseline"/>
              <w:rPr>
                <w:rFonts w:ascii="Times New Roman" w:hAnsi="Times New Roman" w:eastAsia="楷体" w:cs="Times New Roman"/>
                <w:color w:val="000000"/>
                <w:sz w:val="22"/>
                <w:szCs w:val="24"/>
              </w:rPr>
            </w:pPr>
            <w:r>
              <w:rPr>
                <w:rFonts w:hint="eastAsia" w:hAnsi="Times New Roman"/>
                <w:color w:val="000000"/>
                <w:sz w:val="24"/>
              </w:rPr>
              <w:t>-</w:t>
            </w:r>
          </w:p>
        </w:tc>
        <w:tc>
          <w:tcPr>
            <w:tcW w:w="596" w:type="pct"/>
            <w:tcMar>
              <w:left w:w="28" w:type="dxa"/>
              <w:right w:w="28" w:type="dxa"/>
            </w:tcMar>
            <w:vAlign w:val="center"/>
          </w:tcPr>
          <w:p>
            <w:pPr>
              <w:spacing w:line="260" w:lineRule="exact"/>
              <w:ind w:firstLine="0" w:firstLineChars="0"/>
              <w:jc w:val="center"/>
              <w:textAlignment w:val="baseline"/>
              <w:rPr>
                <w:rFonts w:ascii="Times New Roman" w:hAnsi="Times New Roman" w:eastAsia="楷体" w:cs="Times New Roman"/>
                <w:color w:val="000000"/>
                <w:sz w:val="22"/>
                <w:szCs w:val="24"/>
              </w:rPr>
            </w:pPr>
            <w:r>
              <w:rPr>
                <w:rFonts w:ascii="Times New Roman" w:hAnsi="Times New Roman" w:eastAsia="楷体" w:cs="Times New Roman"/>
                <w:color w:val="000000"/>
                <w:sz w:val="22"/>
                <w:szCs w:val="24"/>
              </w:rPr>
              <w:t>100</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19</w:t>
            </w:r>
          </w:p>
        </w:tc>
        <w:tc>
          <w:tcPr>
            <w:tcW w:w="1565" w:type="pct"/>
            <w:tcMar>
              <w:left w:w="28" w:type="dxa"/>
              <w:right w:w="28" w:type="dxa"/>
            </w:tcMar>
            <w:vAlign w:val="center"/>
          </w:tcPr>
          <w:p>
            <w:pPr>
              <w:spacing w:line="260" w:lineRule="exact"/>
              <w:ind w:firstLine="0" w:firstLineChars="0"/>
              <w:textAlignment w:val="baseline"/>
              <w:rPr>
                <w:rFonts w:hAnsi="Times New Roman"/>
                <w:color w:val="000000"/>
                <w:sz w:val="24"/>
              </w:rPr>
            </w:pPr>
            <w:r>
              <w:rPr>
                <w:rFonts w:hint="eastAsia" w:hAnsi="Times New Roman"/>
                <w:color w:val="000000"/>
                <w:sz w:val="24"/>
              </w:rPr>
              <w:t>每千人拥有执业（助理）医师（人）</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5.2</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5.</w:t>
            </w:r>
            <w:r>
              <w:rPr>
                <w:rFonts w:hAnsi="Times New Roman"/>
                <w:color w:val="000000"/>
                <w:sz w:val="24"/>
              </w:rPr>
              <w:t>4</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仿宋_GB2312"/>
                <w:sz w:val="24"/>
                <w:szCs w:val="24"/>
                <w:lang w:bidi="ar"/>
              </w:rPr>
            </w:pPr>
            <w:r>
              <w:rPr>
                <w:rFonts w:hint="eastAsia" w:hAnsi="Times New Roman" w:cs="仿宋_GB2312"/>
                <w:sz w:val="24"/>
                <w:szCs w:val="24"/>
                <w:lang w:bidi="ar"/>
              </w:rPr>
              <w:t>20</w:t>
            </w:r>
          </w:p>
        </w:tc>
        <w:tc>
          <w:tcPr>
            <w:tcW w:w="1565" w:type="pct"/>
            <w:tcMar>
              <w:left w:w="28" w:type="dxa"/>
              <w:right w:w="28" w:type="dxa"/>
            </w:tcMar>
            <w:vAlign w:val="center"/>
          </w:tcPr>
          <w:p>
            <w:pPr>
              <w:spacing w:line="260" w:lineRule="exact"/>
              <w:ind w:firstLine="0" w:firstLineChars="0"/>
              <w:textAlignment w:val="baseline"/>
              <w:rPr>
                <w:rFonts w:hAnsi="Times New Roman" w:cs="仿宋_GB2312"/>
                <w:sz w:val="24"/>
                <w:szCs w:val="24"/>
                <w:lang w:bidi="ar"/>
              </w:rPr>
            </w:pPr>
            <w:r>
              <w:rPr>
                <w:rFonts w:hint="eastAsia" w:hAnsi="Times New Roman"/>
                <w:color w:val="000000"/>
                <w:sz w:val="24"/>
              </w:rPr>
              <w:t>劳动年龄人口平均受教育年限（年）</w:t>
            </w:r>
          </w:p>
        </w:tc>
        <w:tc>
          <w:tcPr>
            <w:tcW w:w="596" w:type="pct"/>
            <w:tcMar>
              <w:left w:w="28" w:type="dxa"/>
              <w:right w:w="28" w:type="dxa"/>
            </w:tcMar>
            <w:vAlign w:val="center"/>
          </w:tcPr>
          <w:p>
            <w:pPr>
              <w:spacing w:line="260" w:lineRule="exact"/>
              <w:ind w:firstLine="480"/>
              <w:jc w:val="center"/>
              <w:textAlignment w:val="baseline"/>
              <w:rPr>
                <w:rFonts w:hAnsi="Times New Roman" w:cs="仿宋_GB2312"/>
                <w:sz w:val="24"/>
                <w:szCs w:val="24"/>
              </w:rPr>
            </w:pPr>
          </w:p>
        </w:tc>
        <w:tc>
          <w:tcPr>
            <w:tcW w:w="596" w:type="pct"/>
            <w:tcMar>
              <w:left w:w="28" w:type="dxa"/>
              <w:right w:w="28" w:type="dxa"/>
            </w:tcMar>
            <w:vAlign w:val="center"/>
          </w:tcPr>
          <w:p>
            <w:pPr>
              <w:spacing w:line="260" w:lineRule="exact"/>
              <w:ind w:firstLine="0" w:firstLineChars="0"/>
              <w:textAlignment w:val="baseline"/>
              <w:rPr>
                <w:rFonts w:hAnsi="Times New Roman" w:cs="仿宋_GB2312"/>
                <w:sz w:val="24"/>
                <w:szCs w:val="24"/>
              </w:rPr>
            </w:pPr>
            <w:r>
              <w:rPr>
                <w:rFonts w:hint="eastAsia" w:hAnsi="Times New Roman" w:cs="Times New Roman"/>
                <w:color w:val="000000"/>
                <w:sz w:val="24"/>
              </w:rPr>
              <w:t>完成市下达任务</w:t>
            </w:r>
          </w:p>
        </w:tc>
        <w:tc>
          <w:tcPr>
            <w:tcW w:w="596" w:type="pct"/>
            <w:tcMar>
              <w:left w:w="28" w:type="dxa"/>
              <w:right w:w="28" w:type="dxa"/>
            </w:tcMar>
            <w:vAlign w:val="center"/>
          </w:tcPr>
          <w:p>
            <w:pPr>
              <w:spacing w:line="260" w:lineRule="exact"/>
              <w:ind w:firstLine="480"/>
              <w:jc w:val="center"/>
              <w:textAlignment w:val="baseline"/>
              <w:rPr>
                <w:rFonts w:hAnsi="Times New Roman" w:cs="仿宋_GB2312"/>
                <w:sz w:val="24"/>
                <w:szCs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仿宋_GB2312"/>
                <w:sz w:val="24"/>
                <w:szCs w:val="24"/>
                <w:lang w:bidi="ar"/>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restart"/>
          </w:tcPr>
          <w:p>
            <w:pPr>
              <w:spacing w:line="260" w:lineRule="exact"/>
              <w:ind w:firstLine="0" w:firstLineChars="0"/>
              <w:textAlignment w:val="baseline"/>
              <w:rPr>
                <w:rFonts w:hAnsi="Times New Roman"/>
                <w:color w:val="000000"/>
                <w:sz w:val="24"/>
              </w:rPr>
            </w:pPr>
          </w:p>
          <w:p>
            <w:pPr>
              <w:spacing w:line="260" w:lineRule="exact"/>
              <w:ind w:firstLine="0" w:firstLineChars="0"/>
              <w:textAlignment w:val="baseline"/>
              <w:rPr>
                <w:rFonts w:hAnsi="Times New Roman"/>
                <w:color w:val="000000"/>
                <w:sz w:val="24"/>
              </w:rPr>
            </w:pPr>
          </w:p>
          <w:p>
            <w:pPr>
              <w:spacing w:line="260" w:lineRule="exact"/>
              <w:ind w:firstLine="0" w:firstLineChars="0"/>
              <w:textAlignment w:val="baseline"/>
              <w:rPr>
                <w:rFonts w:hAnsi="Times New Roman"/>
                <w:color w:val="000000"/>
                <w:sz w:val="24"/>
              </w:rPr>
            </w:pPr>
          </w:p>
          <w:p>
            <w:pPr>
              <w:spacing w:line="260" w:lineRule="exact"/>
              <w:ind w:firstLine="0" w:firstLineChars="0"/>
              <w:textAlignment w:val="baseline"/>
              <w:rPr>
                <w:rFonts w:hAnsi="Times New Roman"/>
                <w:color w:val="000000"/>
                <w:sz w:val="24"/>
              </w:rPr>
            </w:pPr>
          </w:p>
          <w:p>
            <w:pPr>
              <w:spacing w:line="260" w:lineRule="exact"/>
              <w:ind w:firstLine="0" w:firstLineChars="0"/>
              <w:textAlignment w:val="baseline"/>
              <w:rPr>
                <w:rFonts w:hAnsi="Times New Roman"/>
                <w:color w:val="000000"/>
                <w:sz w:val="24"/>
              </w:rPr>
            </w:pPr>
            <w:r>
              <w:rPr>
                <w:rFonts w:hAnsi="Times New Roman"/>
                <w:color w:val="000000"/>
                <w:sz w:val="24"/>
              </w:rPr>
              <w:t>可</w:t>
            </w:r>
          </w:p>
          <w:p>
            <w:pPr>
              <w:spacing w:line="260" w:lineRule="exact"/>
              <w:ind w:firstLine="0" w:firstLineChars="0"/>
              <w:textAlignment w:val="baseline"/>
              <w:rPr>
                <w:rFonts w:hAnsi="Times New Roman"/>
                <w:color w:val="000000"/>
                <w:sz w:val="24"/>
              </w:rPr>
            </w:pPr>
            <w:r>
              <w:rPr>
                <w:rFonts w:hAnsi="Times New Roman"/>
                <w:color w:val="000000"/>
                <w:sz w:val="24"/>
              </w:rPr>
              <w:t>持</w:t>
            </w:r>
          </w:p>
          <w:p>
            <w:pPr>
              <w:spacing w:line="260" w:lineRule="exact"/>
              <w:ind w:firstLine="0" w:firstLineChars="0"/>
              <w:textAlignment w:val="baseline"/>
              <w:rPr>
                <w:rFonts w:hAnsi="Times New Roman"/>
                <w:color w:val="000000"/>
                <w:sz w:val="24"/>
              </w:rPr>
            </w:pPr>
            <w:r>
              <w:rPr>
                <w:rFonts w:hAnsi="Times New Roman"/>
                <w:color w:val="000000"/>
                <w:sz w:val="24"/>
              </w:rPr>
              <w:t>续</w:t>
            </w:r>
          </w:p>
          <w:p>
            <w:pPr>
              <w:spacing w:line="260" w:lineRule="exact"/>
              <w:ind w:firstLine="0" w:firstLineChars="0"/>
              <w:textAlignment w:val="baseline"/>
              <w:rPr>
                <w:rFonts w:hAnsi="Times New Roman"/>
                <w:color w:val="000000"/>
                <w:sz w:val="24"/>
              </w:rPr>
            </w:pPr>
            <w:r>
              <w:rPr>
                <w:rFonts w:hAnsi="Times New Roman"/>
                <w:color w:val="000000"/>
                <w:sz w:val="24"/>
              </w:rPr>
              <w:t>发</w:t>
            </w:r>
          </w:p>
          <w:p>
            <w:pPr>
              <w:spacing w:line="260" w:lineRule="exact"/>
              <w:ind w:firstLine="0" w:firstLineChars="0"/>
              <w:textAlignment w:val="baseline"/>
              <w:rPr>
                <w:rFonts w:hAnsi="Times New Roman"/>
                <w:color w:val="000000"/>
                <w:sz w:val="24"/>
              </w:rPr>
            </w:pPr>
            <w:r>
              <w:rPr>
                <w:rFonts w:hAnsi="Times New Roman"/>
                <w:color w:val="000000"/>
                <w:sz w:val="24"/>
              </w:rPr>
              <w:t>展</w:t>
            </w:r>
          </w:p>
        </w:tc>
        <w:tc>
          <w:tcPr>
            <w:tcW w:w="43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21</w:t>
            </w:r>
          </w:p>
        </w:tc>
        <w:tc>
          <w:tcPr>
            <w:tcW w:w="1565" w:type="pct"/>
            <w:tcMar>
              <w:left w:w="28" w:type="dxa"/>
              <w:right w:w="28" w:type="dxa"/>
            </w:tcMar>
            <w:vAlign w:val="center"/>
          </w:tcPr>
          <w:p>
            <w:pPr>
              <w:spacing w:line="260" w:lineRule="exact"/>
              <w:ind w:firstLine="0" w:firstLineChars="0"/>
              <w:textAlignment w:val="baseline"/>
              <w:rPr>
                <w:rFonts w:hAnsi="Times New Roman" w:cs="Times New Roman"/>
                <w:color w:val="000000"/>
                <w:sz w:val="24"/>
              </w:rPr>
            </w:pPr>
            <w:r>
              <w:rPr>
                <w:rFonts w:hint="eastAsia" w:hAnsi="Times New Roman"/>
                <w:color w:val="000000"/>
                <w:sz w:val="24"/>
              </w:rPr>
              <w:t>城区绿化覆盖率（%）</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s="Times New Roman"/>
                <w:color w:val="000000"/>
                <w:sz w:val="24"/>
              </w:rPr>
              <w:t>43</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Ansi="Times New Roman" w:cs="Times New Roman"/>
                <w:color w:val="000000"/>
                <w:sz w:val="24"/>
              </w:rPr>
              <w:t>43</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s="Times New Roman"/>
                <w:color w:val="000000"/>
                <w:sz w:val="24"/>
              </w:rPr>
              <w:t>-</w:t>
            </w:r>
          </w:p>
        </w:tc>
        <w:tc>
          <w:tcPr>
            <w:tcW w:w="697"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预期性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Ansi="Times New Roman"/>
                <w:color w:val="000000"/>
                <w:sz w:val="24"/>
              </w:rPr>
              <w:t>2</w:t>
            </w:r>
            <w:r>
              <w:rPr>
                <w:rFonts w:hint="eastAsia" w:hAnsi="Times New Roman"/>
                <w:color w:val="000000"/>
                <w:sz w:val="24"/>
              </w:rPr>
              <w:t>2</w:t>
            </w:r>
          </w:p>
        </w:tc>
        <w:tc>
          <w:tcPr>
            <w:tcW w:w="1565" w:type="pct"/>
            <w:tcMar>
              <w:left w:w="28" w:type="dxa"/>
              <w:right w:w="28" w:type="dxa"/>
            </w:tcMar>
            <w:vAlign w:val="center"/>
          </w:tcPr>
          <w:p>
            <w:pPr>
              <w:spacing w:line="260" w:lineRule="exact"/>
              <w:ind w:firstLine="0" w:firstLineChars="0"/>
              <w:textAlignment w:val="baseline"/>
              <w:rPr>
                <w:rFonts w:hAnsi="Times New Roman" w:cs="Times New Roman"/>
                <w:color w:val="000000"/>
                <w:sz w:val="24"/>
              </w:rPr>
            </w:pPr>
            <w:r>
              <w:rPr>
                <w:rFonts w:hint="eastAsia" w:hAnsi="Times New Roman"/>
                <w:color w:val="000000"/>
                <w:sz w:val="24"/>
              </w:rPr>
              <w:t>单位GDP能耗降幅（%）</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vMerge w:val="restar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s="Times New Roman"/>
                <w:color w:val="000000"/>
                <w:sz w:val="24"/>
              </w:rPr>
              <w:t>完成市下达任务</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Ansi="Times New Roman"/>
                <w:color w:val="000000"/>
                <w:sz w:val="24"/>
              </w:rPr>
              <w:t>2</w:t>
            </w:r>
            <w:r>
              <w:rPr>
                <w:rFonts w:hint="eastAsia" w:hAnsi="Times New Roman"/>
                <w:color w:val="000000"/>
                <w:sz w:val="24"/>
              </w:rPr>
              <w:t>3</w:t>
            </w:r>
          </w:p>
        </w:tc>
        <w:tc>
          <w:tcPr>
            <w:tcW w:w="1565" w:type="pct"/>
            <w:tcMar>
              <w:left w:w="28" w:type="dxa"/>
              <w:right w:w="28" w:type="dxa"/>
            </w:tcMar>
            <w:vAlign w:val="center"/>
          </w:tcPr>
          <w:p>
            <w:pPr>
              <w:spacing w:line="260" w:lineRule="exact"/>
              <w:ind w:firstLine="0" w:firstLineChars="0"/>
              <w:textAlignment w:val="baseline"/>
              <w:rPr>
                <w:rFonts w:hAnsi="Times New Roman" w:cs="Times New Roman"/>
                <w:color w:val="000000"/>
                <w:sz w:val="24"/>
              </w:rPr>
            </w:pPr>
            <w:r>
              <w:rPr>
                <w:rFonts w:hint="eastAsia" w:hAnsi="Times New Roman"/>
                <w:color w:val="000000"/>
                <w:sz w:val="24"/>
              </w:rPr>
              <w:t>单位GDP用水量降幅（%）</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vMerge w:val="continue"/>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Ansi="Times New Roman"/>
                <w:color w:val="000000"/>
                <w:sz w:val="24"/>
              </w:rPr>
              <w:t>2</w:t>
            </w:r>
            <w:r>
              <w:rPr>
                <w:rFonts w:hint="eastAsia" w:hAnsi="Times New Roman"/>
                <w:color w:val="000000"/>
                <w:sz w:val="24"/>
              </w:rPr>
              <w:t>4</w:t>
            </w:r>
          </w:p>
        </w:tc>
        <w:tc>
          <w:tcPr>
            <w:tcW w:w="1565" w:type="pct"/>
            <w:tcMar>
              <w:left w:w="28" w:type="dxa"/>
              <w:right w:w="28" w:type="dxa"/>
            </w:tcMar>
            <w:vAlign w:val="center"/>
          </w:tcPr>
          <w:p>
            <w:pPr>
              <w:spacing w:line="260" w:lineRule="exact"/>
              <w:ind w:firstLine="0" w:firstLineChars="0"/>
              <w:textAlignment w:val="baseline"/>
              <w:rPr>
                <w:rFonts w:hAnsi="Times New Roman" w:cs="Times New Roman"/>
                <w:color w:val="000000"/>
                <w:sz w:val="24"/>
              </w:rPr>
            </w:pPr>
            <w:r>
              <w:rPr>
                <w:rFonts w:hint="eastAsia" w:hAnsi="Times New Roman"/>
                <w:color w:val="000000"/>
                <w:sz w:val="24"/>
              </w:rPr>
              <w:t>单位GDP二氧化碳排放量降幅（%）</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vMerge w:val="continue"/>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Ansi="Times New Roman"/>
                <w:color w:val="000000"/>
                <w:sz w:val="24"/>
              </w:rPr>
              <w:t>2</w:t>
            </w:r>
            <w:r>
              <w:rPr>
                <w:rFonts w:hint="eastAsia" w:hAnsi="Times New Roman"/>
                <w:color w:val="000000"/>
                <w:sz w:val="24"/>
              </w:rPr>
              <w:t>5</w:t>
            </w:r>
          </w:p>
        </w:tc>
        <w:tc>
          <w:tcPr>
            <w:tcW w:w="1565" w:type="pct"/>
            <w:tcMar>
              <w:left w:w="28" w:type="dxa"/>
              <w:right w:w="28" w:type="dxa"/>
            </w:tcMar>
            <w:vAlign w:val="center"/>
          </w:tcPr>
          <w:p>
            <w:pPr>
              <w:spacing w:line="260" w:lineRule="exact"/>
              <w:ind w:firstLine="0" w:firstLineChars="0"/>
              <w:textAlignment w:val="baseline"/>
              <w:rPr>
                <w:rFonts w:hAnsi="Times New Roman" w:cs="Times New Roman"/>
                <w:color w:val="000000"/>
                <w:sz w:val="24"/>
              </w:rPr>
            </w:pPr>
            <w:r>
              <w:rPr>
                <w:rFonts w:hint="eastAsia" w:hAnsi="Times New Roman"/>
                <w:color w:val="000000"/>
                <w:sz w:val="24"/>
              </w:rPr>
              <w:t>空气质量优良天数比例（%）</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vMerge w:val="continue"/>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Ansi="Times New Roman"/>
                <w:color w:val="000000"/>
                <w:sz w:val="24"/>
              </w:rPr>
              <w:t>2</w:t>
            </w:r>
            <w:r>
              <w:rPr>
                <w:rFonts w:hint="eastAsia" w:hAnsi="Times New Roman"/>
                <w:color w:val="000000"/>
                <w:sz w:val="24"/>
              </w:rPr>
              <w:t>6</w:t>
            </w:r>
          </w:p>
        </w:tc>
        <w:tc>
          <w:tcPr>
            <w:tcW w:w="1565" w:type="pct"/>
            <w:tcMar>
              <w:left w:w="28" w:type="dxa"/>
              <w:right w:w="28" w:type="dxa"/>
            </w:tcMar>
            <w:vAlign w:val="center"/>
          </w:tcPr>
          <w:p>
            <w:pPr>
              <w:spacing w:line="260" w:lineRule="exact"/>
              <w:ind w:firstLine="0" w:firstLineChars="0"/>
              <w:textAlignment w:val="baseline"/>
              <w:rPr>
                <w:rFonts w:hAnsi="Times New Roman" w:cs="Times New Roman"/>
                <w:color w:val="000000"/>
                <w:sz w:val="24"/>
              </w:rPr>
            </w:pPr>
            <w:r>
              <w:rPr>
                <w:rFonts w:hint="eastAsia" w:hAnsi="Times New Roman"/>
                <w:color w:val="000000"/>
                <w:sz w:val="24"/>
              </w:rPr>
              <w:t>Ⅲ类及以上水体占地表水比例（%）</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vMerge w:val="continue"/>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Ansi="Times New Roman"/>
                <w:color w:val="000000"/>
                <w:sz w:val="24"/>
              </w:rPr>
              <w:t>2</w:t>
            </w:r>
            <w:r>
              <w:rPr>
                <w:rFonts w:hint="eastAsia" w:hAnsi="Times New Roman"/>
                <w:color w:val="000000"/>
                <w:sz w:val="24"/>
              </w:rPr>
              <w:t>7</w:t>
            </w:r>
          </w:p>
        </w:tc>
        <w:tc>
          <w:tcPr>
            <w:tcW w:w="1565" w:type="pct"/>
            <w:tcMar>
              <w:left w:w="28" w:type="dxa"/>
              <w:right w:w="28" w:type="dxa"/>
            </w:tcMar>
            <w:vAlign w:val="center"/>
          </w:tcPr>
          <w:p>
            <w:pPr>
              <w:spacing w:line="260" w:lineRule="exact"/>
              <w:ind w:firstLine="0" w:firstLineChars="0"/>
              <w:textAlignment w:val="baseline"/>
              <w:rPr>
                <w:rFonts w:hAnsi="Times New Roman" w:cs="Times New Roman"/>
                <w:color w:val="000000"/>
                <w:sz w:val="24"/>
              </w:rPr>
            </w:pPr>
            <w:r>
              <w:rPr>
                <w:rFonts w:hint="eastAsia" w:hAnsi="Times New Roman"/>
                <w:color w:val="000000"/>
                <w:sz w:val="24"/>
              </w:rPr>
              <w:t>森林覆盖率（%）</w:t>
            </w: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s="Times New Roman"/>
                <w:color w:val="000000"/>
                <w:sz w:val="24"/>
              </w:rPr>
              <w:t>1</w:t>
            </w:r>
            <w:r>
              <w:rPr>
                <w:rFonts w:hAnsi="Times New Roman" w:cs="Times New Roman"/>
                <w:color w:val="000000"/>
                <w:sz w:val="24"/>
              </w:rPr>
              <w:t>0</w:t>
            </w:r>
          </w:p>
        </w:tc>
        <w:tc>
          <w:tcPr>
            <w:tcW w:w="596" w:type="pct"/>
            <w:vMerge w:val="continue"/>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596"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Times New Roman"/>
                <w:color w:val="000000"/>
                <w:sz w:val="24"/>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olor w:val="000000"/>
                <w:sz w:val="24"/>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Ansi="Times New Roman"/>
                <w:color w:val="000000"/>
                <w:sz w:val="24"/>
              </w:rPr>
              <w:t>2</w:t>
            </w:r>
            <w:r>
              <w:rPr>
                <w:rFonts w:hint="eastAsia" w:hAnsi="Times New Roman"/>
                <w:color w:val="000000"/>
                <w:sz w:val="24"/>
              </w:rPr>
              <w:t>8</w:t>
            </w:r>
          </w:p>
        </w:tc>
        <w:tc>
          <w:tcPr>
            <w:tcW w:w="1565" w:type="pct"/>
            <w:tcMar>
              <w:left w:w="28" w:type="dxa"/>
              <w:right w:w="28" w:type="dxa"/>
            </w:tcMar>
            <w:vAlign w:val="center"/>
          </w:tcPr>
          <w:p>
            <w:pPr>
              <w:spacing w:line="260" w:lineRule="exact"/>
              <w:ind w:firstLine="0" w:firstLineChars="0"/>
              <w:jc w:val="left"/>
              <w:textAlignment w:val="baseline"/>
              <w:rPr>
                <w:rFonts w:hAnsi="Times New Roman"/>
                <w:color w:val="000000"/>
                <w:sz w:val="24"/>
              </w:rPr>
            </w:pPr>
            <w:r>
              <w:rPr>
                <w:rFonts w:hint="eastAsia" w:hAnsi="Times New Roman"/>
                <w:color w:val="000000"/>
                <w:sz w:val="24"/>
              </w:rPr>
              <w:t>耕地保有量（万亩）</w:t>
            </w: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5</w:t>
            </w:r>
            <w:r>
              <w:rPr>
                <w:rFonts w:hAnsi="Times New Roman"/>
                <w:color w:val="000000"/>
                <w:sz w:val="24"/>
              </w:rPr>
              <w:t>.0331</w:t>
            </w:r>
          </w:p>
        </w:tc>
        <w:tc>
          <w:tcPr>
            <w:tcW w:w="596" w:type="pct"/>
            <w:vMerge w:val="continue"/>
            <w:tcMar>
              <w:left w:w="28" w:type="dxa"/>
              <w:right w:w="28" w:type="dxa"/>
            </w:tcMar>
            <w:vAlign w:val="center"/>
          </w:tcPr>
          <w:p>
            <w:pPr>
              <w:spacing w:line="260" w:lineRule="exact"/>
              <w:ind w:firstLine="0" w:firstLineChars="0"/>
              <w:jc w:val="center"/>
              <w:textAlignment w:val="baseline"/>
              <w:rPr>
                <w:rFonts w:hAnsi="Times New Roman"/>
                <w:color w:val="000000"/>
                <w:sz w:val="21"/>
                <w:szCs w:val="21"/>
              </w:rPr>
            </w:pPr>
          </w:p>
        </w:tc>
        <w:tc>
          <w:tcPr>
            <w:tcW w:w="596"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olor w:val="000000"/>
                <w:sz w:val="24"/>
              </w:rPr>
            </w:pPr>
            <w:r>
              <w:rPr>
                <w:rFonts w:hint="eastAsia" w:hAnsi="Times New Roman"/>
                <w:color w:val="000000"/>
                <w:sz w:val="24"/>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s="仿宋_GB2312"/>
                <w:sz w:val="24"/>
                <w:lang w:bidi="ar"/>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仿宋_GB2312"/>
                <w:sz w:val="24"/>
                <w:szCs w:val="24"/>
              </w:rPr>
            </w:pPr>
            <w:r>
              <w:rPr>
                <w:rFonts w:hint="eastAsia" w:hAnsi="Times New Roman" w:cs="仿宋_GB2312"/>
                <w:sz w:val="24"/>
                <w:szCs w:val="24"/>
              </w:rPr>
              <w:t>29</w:t>
            </w:r>
          </w:p>
        </w:tc>
        <w:tc>
          <w:tcPr>
            <w:tcW w:w="1565" w:type="pct"/>
            <w:tcMar>
              <w:left w:w="28" w:type="dxa"/>
              <w:right w:w="28" w:type="dxa"/>
            </w:tcMar>
            <w:vAlign w:val="center"/>
          </w:tcPr>
          <w:p>
            <w:pPr>
              <w:spacing w:line="260" w:lineRule="exact"/>
              <w:ind w:firstLine="0" w:firstLineChars="0"/>
              <w:textAlignment w:val="baseline"/>
              <w:rPr>
                <w:rFonts w:hAnsi="Times New Roman" w:cs="仿宋_GB2312"/>
                <w:sz w:val="24"/>
                <w:szCs w:val="24"/>
              </w:rPr>
            </w:pPr>
            <w:r>
              <w:rPr>
                <w:rFonts w:hint="eastAsia" w:hAnsi="Times New Roman" w:cs="仿宋_GB2312"/>
                <w:sz w:val="24"/>
                <w:szCs w:val="24"/>
                <w:lang w:bidi="ar"/>
              </w:rPr>
              <w:t>粮食综合生产能力（万吨）</w:t>
            </w:r>
          </w:p>
        </w:tc>
        <w:tc>
          <w:tcPr>
            <w:tcW w:w="596" w:type="pct"/>
            <w:tcMar>
              <w:left w:w="28" w:type="dxa"/>
              <w:right w:w="28" w:type="dxa"/>
            </w:tcMar>
            <w:vAlign w:val="center"/>
          </w:tcPr>
          <w:p>
            <w:pPr>
              <w:spacing w:line="260" w:lineRule="exact"/>
              <w:ind w:firstLine="480"/>
              <w:jc w:val="center"/>
              <w:textAlignment w:val="baseline"/>
              <w:rPr>
                <w:rFonts w:hAnsi="Times New Roman" w:cs="仿宋_GB2312"/>
                <w:color w:val="FF0000"/>
                <w:sz w:val="24"/>
                <w:szCs w:val="24"/>
              </w:rPr>
            </w:pPr>
          </w:p>
        </w:tc>
        <w:tc>
          <w:tcPr>
            <w:tcW w:w="596" w:type="pct"/>
            <w:vMerge w:val="continue"/>
            <w:tcMar>
              <w:left w:w="28" w:type="dxa"/>
              <w:right w:w="28" w:type="dxa"/>
            </w:tcMar>
            <w:vAlign w:val="center"/>
          </w:tcPr>
          <w:p>
            <w:pPr>
              <w:spacing w:line="260" w:lineRule="exact"/>
              <w:ind w:firstLine="480"/>
              <w:jc w:val="center"/>
              <w:textAlignment w:val="baseline"/>
              <w:rPr>
                <w:rFonts w:hAnsi="Times New Roman" w:cs="仿宋_GB2312"/>
                <w:sz w:val="24"/>
                <w:szCs w:val="24"/>
              </w:rPr>
            </w:pPr>
          </w:p>
        </w:tc>
        <w:tc>
          <w:tcPr>
            <w:tcW w:w="596" w:type="pct"/>
            <w:tcMar>
              <w:left w:w="28" w:type="dxa"/>
              <w:right w:w="28" w:type="dxa"/>
            </w:tcMar>
            <w:vAlign w:val="center"/>
          </w:tcPr>
          <w:p>
            <w:pPr>
              <w:spacing w:line="260" w:lineRule="exact"/>
              <w:ind w:firstLine="480"/>
              <w:jc w:val="center"/>
              <w:textAlignment w:val="baseline"/>
              <w:rPr>
                <w:rFonts w:hAnsi="Times New Roman" w:cs="仿宋_GB2312"/>
                <w:sz w:val="24"/>
                <w:szCs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仿宋_GB2312"/>
                <w:sz w:val="24"/>
                <w:szCs w:val="24"/>
              </w:rPr>
            </w:pPr>
            <w:r>
              <w:rPr>
                <w:rFonts w:hint="eastAsia" w:hAnsi="Times New Roman" w:cs="仿宋_GB2312"/>
                <w:sz w:val="24"/>
                <w:szCs w:val="24"/>
                <w:lang w:bidi="ar"/>
              </w:rPr>
              <w:t>约束性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12" w:type="pct"/>
            <w:vMerge w:val="continue"/>
          </w:tcPr>
          <w:p>
            <w:pPr>
              <w:spacing w:line="260" w:lineRule="exact"/>
              <w:ind w:firstLine="0" w:firstLineChars="0"/>
              <w:jc w:val="center"/>
              <w:textAlignment w:val="baseline"/>
              <w:rPr>
                <w:rFonts w:hAnsi="Times New Roman" w:cs="仿宋_GB2312"/>
                <w:sz w:val="24"/>
                <w:lang w:bidi="ar"/>
              </w:rPr>
            </w:pPr>
          </w:p>
        </w:tc>
        <w:tc>
          <w:tcPr>
            <w:tcW w:w="436" w:type="pct"/>
            <w:tcMar>
              <w:left w:w="28" w:type="dxa"/>
              <w:right w:w="28" w:type="dxa"/>
            </w:tcMar>
            <w:vAlign w:val="center"/>
          </w:tcPr>
          <w:p>
            <w:pPr>
              <w:spacing w:line="260" w:lineRule="exact"/>
              <w:ind w:firstLine="0" w:firstLineChars="0"/>
              <w:jc w:val="center"/>
              <w:textAlignment w:val="baseline"/>
              <w:rPr>
                <w:rFonts w:hAnsi="Times New Roman" w:cs="仿宋_GB2312"/>
                <w:sz w:val="24"/>
                <w:szCs w:val="24"/>
              </w:rPr>
            </w:pPr>
            <w:r>
              <w:rPr>
                <w:rFonts w:hint="eastAsia" w:hAnsi="Times New Roman" w:cs="仿宋_GB2312"/>
                <w:sz w:val="24"/>
                <w:szCs w:val="24"/>
                <w:lang w:bidi="ar"/>
              </w:rPr>
              <w:t>30</w:t>
            </w:r>
          </w:p>
        </w:tc>
        <w:tc>
          <w:tcPr>
            <w:tcW w:w="1565" w:type="pct"/>
            <w:tcMar>
              <w:left w:w="28" w:type="dxa"/>
              <w:right w:w="28" w:type="dxa"/>
            </w:tcMar>
            <w:vAlign w:val="center"/>
          </w:tcPr>
          <w:p>
            <w:pPr>
              <w:spacing w:line="260" w:lineRule="exact"/>
              <w:ind w:firstLine="0" w:firstLineChars="0"/>
              <w:textAlignment w:val="baseline"/>
              <w:rPr>
                <w:rFonts w:hAnsi="Times New Roman" w:cs="仿宋_GB2312"/>
                <w:sz w:val="24"/>
                <w:szCs w:val="24"/>
              </w:rPr>
            </w:pPr>
            <w:r>
              <w:rPr>
                <w:rFonts w:hint="eastAsia" w:hAnsi="Times New Roman" w:cs="仿宋_GB2312"/>
                <w:sz w:val="24"/>
                <w:szCs w:val="24"/>
                <w:lang w:bidi="ar"/>
              </w:rPr>
              <w:t>能源综合生产能力（万吨标准煤）</w:t>
            </w:r>
          </w:p>
        </w:tc>
        <w:tc>
          <w:tcPr>
            <w:tcW w:w="596" w:type="pct"/>
            <w:tcMar>
              <w:left w:w="28" w:type="dxa"/>
              <w:right w:w="28" w:type="dxa"/>
            </w:tcMar>
            <w:vAlign w:val="center"/>
          </w:tcPr>
          <w:p>
            <w:pPr>
              <w:spacing w:line="260" w:lineRule="exact"/>
              <w:ind w:firstLine="480"/>
              <w:jc w:val="center"/>
              <w:textAlignment w:val="baseline"/>
              <w:rPr>
                <w:rFonts w:hAnsi="Times New Roman" w:cs="仿宋_GB2312"/>
                <w:sz w:val="24"/>
                <w:szCs w:val="24"/>
              </w:rPr>
            </w:pPr>
          </w:p>
        </w:tc>
        <w:tc>
          <w:tcPr>
            <w:tcW w:w="596" w:type="pct"/>
            <w:vMerge w:val="continue"/>
            <w:tcMar>
              <w:left w:w="28" w:type="dxa"/>
              <w:right w:w="28" w:type="dxa"/>
            </w:tcMar>
            <w:vAlign w:val="center"/>
          </w:tcPr>
          <w:p>
            <w:pPr>
              <w:spacing w:line="260" w:lineRule="exact"/>
              <w:ind w:firstLine="480"/>
              <w:jc w:val="center"/>
              <w:textAlignment w:val="baseline"/>
              <w:rPr>
                <w:rFonts w:hAnsi="Times New Roman" w:cs="仿宋_GB2312"/>
                <w:sz w:val="24"/>
                <w:szCs w:val="24"/>
              </w:rPr>
            </w:pPr>
          </w:p>
        </w:tc>
        <w:tc>
          <w:tcPr>
            <w:tcW w:w="596" w:type="pct"/>
            <w:tcMar>
              <w:left w:w="28" w:type="dxa"/>
              <w:right w:w="28" w:type="dxa"/>
            </w:tcMar>
            <w:vAlign w:val="center"/>
          </w:tcPr>
          <w:p>
            <w:pPr>
              <w:spacing w:line="260" w:lineRule="exact"/>
              <w:ind w:firstLine="480"/>
              <w:jc w:val="center"/>
              <w:textAlignment w:val="baseline"/>
              <w:rPr>
                <w:rFonts w:hAnsi="Times New Roman" w:cs="仿宋_GB2312"/>
                <w:sz w:val="24"/>
                <w:szCs w:val="24"/>
              </w:rPr>
            </w:pPr>
          </w:p>
        </w:tc>
        <w:tc>
          <w:tcPr>
            <w:tcW w:w="697" w:type="pct"/>
            <w:tcMar>
              <w:left w:w="28" w:type="dxa"/>
              <w:right w:w="28" w:type="dxa"/>
            </w:tcMar>
            <w:vAlign w:val="center"/>
          </w:tcPr>
          <w:p>
            <w:pPr>
              <w:spacing w:line="260" w:lineRule="exact"/>
              <w:ind w:firstLine="0" w:firstLineChars="0"/>
              <w:jc w:val="center"/>
              <w:textAlignment w:val="baseline"/>
              <w:rPr>
                <w:rFonts w:hAnsi="Times New Roman" w:cs="仿宋_GB2312"/>
                <w:sz w:val="24"/>
                <w:szCs w:val="24"/>
              </w:rPr>
            </w:pPr>
            <w:r>
              <w:rPr>
                <w:rFonts w:hint="eastAsia" w:hAnsi="Times New Roman" w:cs="仿宋_GB2312"/>
                <w:sz w:val="24"/>
                <w:szCs w:val="24"/>
                <w:lang w:bidi="ar"/>
              </w:rPr>
              <w:t>约束性</w:t>
            </w:r>
          </w:p>
        </w:tc>
      </w:tr>
    </w:tbl>
    <w:p>
      <w:pPr>
        <w:spacing w:before="156" w:line="288" w:lineRule="auto"/>
        <w:ind w:firstLine="0" w:firstLineChars="0"/>
        <w:textAlignment w:val="baseline"/>
        <w:rPr>
          <w:color w:val="000000"/>
          <w:kern w:val="0"/>
          <w:sz w:val="20"/>
        </w:rPr>
      </w:pPr>
      <w:r>
        <w:rPr>
          <w:rFonts w:hint="eastAsia" w:ascii="楷体_GB2312" w:hAnsi="仿宋_GB2312" w:eastAsia="楷体_GB2312" w:cs="仿宋_GB2312"/>
          <w:b/>
          <w:color w:val="000000"/>
          <w:sz w:val="24"/>
          <w:szCs w:val="32"/>
        </w:rPr>
        <w:t>注：</w:t>
      </w:r>
      <w:r>
        <w:rPr>
          <w:rFonts w:hint="eastAsia" w:ascii="楷体_GB2312" w:hAnsi="仿宋_GB2312" w:eastAsia="楷体_GB2312" w:cs="仿宋_GB2312"/>
          <w:color w:val="000000"/>
          <w:spacing w:val="-6"/>
          <w:sz w:val="24"/>
          <w:szCs w:val="32"/>
        </w:rPr>
        <w:t>指标体系设置依据及说明：一是对接国家、山东省、济南市“十四五”规划纲要指标体系；二是突出天桥特色，设定部分差异化指标；三是约束性指标是必须完成的目标，主要依靠政府正确履行职责、配置公共资源、运用行政力量来实现；预期性目标是政府期望的发展目标，主要通过引导市场行为来实现。</w:t>
      </w:r>
    </w:p>
    <w:p>
      <w:pPr>
        <w:ind w:firstLine="640"/>
        <w:textAlignment w:val="baseline"/>
        <w:rPr>
          <w:rFonts w:ascii="Times New Roman" w:hAnsi="Times New Roman" w:eastAsia="楷体_GB2312" w:cs="Times New Roman"/>
          <w:sz w:val="20"/>
        </w:rPr>
      </w:pPr>
      <w:r>
        <w:rPr>
          <w:rFonts w:ascii="Times New Roman" w:hAnsi="Times New Roman" w:eastAsia="楷体_GB2312" w:cs="Times New Roman"/>
        </w:rPr>
        <w:t>（二）2035年远景目标</w:t>
      </w:r>
    </w:p>
    <w:p>
      <w:pPr>
        <w:ind w:firstLine="640"/>
        <w:textAlignment w:val="baseline"/>
        <w:rPr>
          <w:rFonts w:ascii="Times New Roman" w:hAnsi="Times New Roman" w:cs="Times New Roman"/>
          <w:sz w:val="20"/>
          <w:szCs w:val="32"/>
        </w:rPr>
      </w:pPr>
      <w:r>
        <w:rPr>
          <w:rFonts w:ascii="Times New Roman" w:hAnsi="Times New Roman" w:cs="Times New Roman"/>
        </w:rPr>
        <w:t>在</w:t>
      </w:r>
      <w:r>
        <w:rPr>
          <w:rFonts w:ascii="Times New Roman" w:hAnsi="Times New Roman" w:cs="Times New Roman"/>
          <w:szCs w:val="32"/>
        </w:rPr>
        <w:t>“十四五”基本建成实力跃升、活力迸发、魅力绽放的现代化中心城区的基础上，再奋斗十年，成为省会区域经济中心的重要增长极、贸易中心的引领高地、科创中心的智造引擎、文化中心的标志区域、金融中心的重要板块，全面建成现代化中心强区，建成黄河流域生态保护和高质量发展样板区。</w:t>
      </w:r>
    </w:p>
    <w:p>
      <w:pPr>
        <w:ind w:firstLine="643"/>
        <w:textAlignment w:val="baseline"/>
        <w:rPr>
          <w:rFonts w:ascii="Times New Roman" w:hAnsi="Times New Roman" w:cs="Times New Roman"/>
          <w:sz w:val="20"/>
          <w:szCs w:val="32"/>
        </w:rPr>
      </w:pPr>
      <w:r>
        <w:rPr>
          <w:rFonts w:ascii="Times New Roman" w:hAnsi="Times New Roman" w:cs="Times New Roman"/>
          <w:b/>
          <w:szCs w:val="32"/>
        </w:rPr>
        <w:t>综合实力强，</w:t>
      </w:r>
      <w:r>
        <w:rPr>
          <w:rFonts w:ascii="Times New Roman" w:hAnsi="Times New Roman" w:cs="Times New Roman"/>
          <w:szCs w:val="32"/>
        </w:rPr>
        <w:t>城市发展能级和辐射带动能力大幅跃升，基本实现新型工业化、商贸现代化、信息化、城镇化、都市农业精致化，建成现代化基础设施体系，形成优势突出、特色鲜明的现代经济体系。</w:t>
      </w:r>
      <w:r>
        <w:rPr>
          <w:rFonts w:ascii="Times New Roman" w:hAnsi="Times New Roman" w:cs="Times New Roman"/>
          <w:b/>
          <w:szCs w:val="32"/>
        </w:rPr>
        <w:t>城市能级强，</w:t>
      </w:r>
      <w:r>
        <w:rPr>
          <w:rFonts w:ascii="Times New Roman" w:hAnsi="Times New Roman" w:cs="Times New Roman"/>
          <w:szCs w:val="32"/>
        </w:rPr>
        <w:t>城乡区域一体化发展、黄河南北两岸交相辉映的全域城市化格局全面塑成，城市功能品质、综合承载能力、运行效率和安全性能大幅提升，建成绿色智慧、功能完备、宜居宜业的现代化中心城区。</w:t>
      </w:r>
      <w:r>
        <w:rPr>
          <w:rFonts w:ascii="Times New Roman" w:hAnsi="Times New Roman" w:cs="Times New Roman"/>
          <w:b/>
          <w:szCs w:val="32"/>
        </w:rPr>
        <w:t>治理能力强，</w:t>
      </w:r>
      <w:r>
        <w:rPr>
          <w:rFonts w:ascii="Times New Roman" w:hAnsi="Times New Roman" w:cs="Times New Roman"/>
          <w:szCs w:val="32"/>
        </w:rPr>
        <w:t>治理体系和治理能力现代化基本实现，平安天桥建设达到更高水平，法治天桥、法治政府、法治社会基本建成。</w:t>
      </w:r>
      <w:r>
        <w:rPr>
          <w:rFonts w:ascii="Times New Roman" w:hAnsi="Times New Roman" w:cs="Times New Roman"/>
          <w:b/>
          <w:szCs w:val="32"/>
        </w:rPr>
        <w:t>改革活力强，</w:t>
      </w:r>
      <w:r>
        <w:rPr>
          <w:rFonts w:ascii="Times New Roman" w:hAnsi="Times New Roman" w:cs="Times New Roman"/>
          <w:szCs w:val="32"/>
        </w:rPr>
        <w:t>市场化法治化国际化营商环境全面形成，区域影响力和知名度显著提升，成为强省会改革开放新高地。</w:t>
      </w:r>
      <w:r>
        <w:rPr>
          <w:rFonts w:ascii="Times New Roman" w:hAnsi="Times New Roman" w:cs="Times New Roman"/>
          <w:b/>
          <w:szCs w:val="32"/>
        </w:rPr>
        <w:t>生态优势强，</w:t>
      </w:r>
      <w:r>
        <w:rPr>
          <w:rFonts w:ascii="Times New Roman" w:hAnsi="Times New Roman" w:cs="Times New Roman"/>
          <w:szCs w:val="32"/>
        </w:rPr>
        <w:t>绿色生产生活方式广泛形成，生态环境质量实现根本性好转，水清景美、山水相映、人与自然和谐共生成为常态。</w:t>
      </w:r>
      <w:r>
        <w:rPr>
          <w:rFonts w:ascii="Times New Roman" w:hAnsi="Times New Roman" w:cs="Times New Roman"/>
          <w:b/>
          <w:szCs w:val="32"/>
        </w:rPr>
        <w:t>群众幸福感强，</w:t>
      </w:r>
      <w:r>
        <w:rPr>
          <w:rFonts w:ascii="Times New Roman" w:hAnsi="Times New Roman" w:cs="Times New Roman"/>
          <w:szCs w:val="32"/>
        </w:rPr>
        <w:t>高品质生活广泛享有，基本实现幼有善育、学有优教、劳有厚得、病有良医、老有颐养、住有宜居、弱有众扶，市民文明素质和社会文明程度达到新高度，全区文化软实力大幅提升，人的全面发展、全体人民共同富裕取得更为明显的实质性进展。</w:t>
      </w:r>
    </w:p>
    <w:p>
      <w:pPr>
        <w:pStyle w:val="2"/>
        <w:numPr>
          <w:ilvl w:val="0"/>
          <w:numId w:val="1"/>
        </w:numPr>
        <w:spacing w:before="156" w:after="156" w:line="620" w:lineRule="exact"/>
        <w:ind w:left="1474" w:hanging="1117"/>
        <w:textAlignment w:val="baseline"/>
        <w:rPr>
          <w:rFonts w:ascii="Times New Roman" w:hAnsi="Times New Roman" w:cs="Times New Roman"/>
          <w:color w:val="000000"/>
        </w:rPr>
      </w:pPr>
      <w:bookmarkStart w:id="6" w:name="_Toc75764624"/>
      <w:r>
        <w:rPr>
          <w:rFonts w:ascii="Times New Roman" w:hAnsi="Times New Roman" w:cs="Times New Roman"/>
          <w:color w:val="000000"/>
        </w:rPr>
        <w:t>落实黄河</w:t>
      </w:r>
      <w:r>
        <w:rPr>
          <w:rFonts w:ascii="Times New Roman" w:hAnsi="Times New Roman" w:cs="Times New Roman"/>
        </w:rPr>
        <w:t>国家</w:t>
      </w:r>
      <w:r>
        <w:rPr>
          <w:rFonts w:ascii="Times New Roman" w:hAnsi="Times New Roman" w:cs="Times New Roman"/>
          <w:color w:val="000000"/>
        </w:rPr>
        <w:t>战略</w:t>
      </w:r>
      <w:bookmarkEnd w:id="6"/>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牢牢把握黄河流域生态保护和高质量发展重大国家战略机遇，积极融入省会经济圈一体化发展，放大区域协同的战略能级，促进产城河共荣，在黄河国家战略引领下借势起势、抢位卡位、赋能赶超、强势崛起，全面塑造发展新优势。</w:t>
      </w:r>
    </w:p>
    <w:p>
      <w:pPr>
        <w:pStyle w:val="3"/>
        <w:spacing w:before="156" w:after="156"/>
        <w:textAlignment w:val="baseline"/>
        <w:rPr>
          <w:rFonts w:ascii="Times New Roman" w:hAnsi="Times New Roman" w:cs="Times New Roman"/>
          <w:color w:val="000000"/>
        </w:rPr>
      </w:pPr>
      <w:bookmarkStart w:id="7" w:name="_Toc75764625"/>
      <w:r>
        <w:rPr>
          <w:rFonts w:ascii="Times New Roman" w:hAnsi="Times New Roman" w:cs="Times New Roman"/>
        </w:rPr>
        <w:t>第一节</w:t>
      </w:r>
      <w:r>
        <w:rPr>
          <w:rFonts w:hint="eastAsia" w:ascii="Times New Roman" w:hAnsi="Times New Roman" w:cs="Times New Roman"/>
        </w:rPr>
        <w:t xml:space="preserve"> </w:t>
      </w:r>
      <w:r>
        <w:rPr>
          <w:rFonts w:ascii="Times New Roman" w:hAnsi="Times New Roman" w:cs="Times New Roman"/>
        </w:rPr>
        <w:t>构建“三线六区”发展格局</w:t>
      </w:r>
      <w:bookmarkEnd w:id="7"/>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秉承传承历史、引领未来的城市发展设计理念，着力构建南北贯通、东西连接、两岸呼应的</w:t>
      </w:r>
      <w:r>
        <w:rPr>
          <w:rFonts w:ascii="Times New Roman" w:hAnsi="Times New Roman" w:cs="Times New Roman"/>
          <w:b/>
          <w:szCs w:val="32"/>
        </w:rPr>
        <w:t>“三条天际线、六大标志区”</w:t>
      </w:r>
      <w:r>
        <w:rPr>
          <w:rFonts w:ascii="Times New Roman" w:hAnsi="Times New Roman" w:cs="Times New Roman"/>
          <w:szCs w:val="32"/>
        </w:rPr>
        <w:t>发展格局，全面拉开黄河流域生态保护和高质量发展样板区发展框架。</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lang w:val="en-GB"/>
        </w:rPr>
        <w:t>济泺路两翼城市发展天际线。</w:t>
      </w:r>
      <w:r>
        <w:rPr>
          <w:rFonts w:ascii="Times New Roman" w:hAnsi="Times New Roman" w:cs="Times New Roman"/>
          <w:szCs w:val="32"/>
        </w:rPr>
        <w:t>依托济泺路“南北贯通”的黄金轴线，构建南段以天桥两侧包括明湖西（北）路两侧、济南火车站南北广场为重点的“城市门户”，中段以四建、中恒、国棉二厂片区、标山片区为重点的高端综合体群，北段以泺口片区为重点的地标群组团，形成城市及产业隆起高地。</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lang w:val="en-GB"/>
        </w:rPr>
        <w:t>小清河两岸城市发展天际线。</w:t>
      </w:r>
      <w:r>
        <w:rPr>
          <w:rFonts w:ascii="Times New Roman" w:hAnsi="Times New Roman" w:cs="Times New Roman"/>
          <w:szCs w:val="32"/>
        </w:rPr>
        <w:t>依托小清河“东西连接”的纽带效应，建设都市工业集聚高地、总部汇聚高地、商贸流通高地、高端服务业隆起高地、电子商务发展高地、国际合作交流高地“六大高地”，把小清河沿线打造成产业发展带、城市隆起带、生态景观带、人文活力带。</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lang w:val="en-GB"/>
        </w:rPr>
        <w:t>黄河两岸城市发展天际线。</w:t>
      </w:r>
      <w:r>
        <w:rPr>
          <w:rFonts w:ascii="Times New Roman" w:hAnsi="Times New Roman" w:cs="Times New Roman"/>
          <w:szCs w:val="32"/>
        </w:rPr>
        <w:t>依托黄河“两岸呼应”的发展脉络，建设黄河两岸标志性节点，打造沿黄协同发展中心区、新兴产业集中承载区、生态文明标杆示范区、消费服务高端品质区，形成引领黄河流域高质量发展的重要引擎、省会建设国家中心城市的重要支点、落实新发展理念的营城标杆。</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lang w:val="en-GB"/>
        </w:rPr>
        <w:t>工商河</w:t>
      </w:r>
      <w:r>
        <w:rPr>
          <w:rFonts w:hint="eastAsia" w:ascii="Times New Roman" w:hAnsi="Times New Roman" w:cs="Times New Roman"/>
          <w:b/>
          <w:lang w:val="en-GB"/>
        </w:rPr>
        <w:t>开</w:t>
      </w:r>
      <w:r>
        <w:rPr>
          <w:rFonts w:ascii="Times New Roman" w:hAnsi="Times New Roman" w:cs="Times New Roman"/>
          <w:b/>
          <w:lang w:val="en-GB"/>
        </w:rPr>
        <w:t>埠文化引领区。</w:t>
      </w:r>
      <w:r>
        <w:rPr>
          <w:rFonts w:ascii="Times New Roman" w:hAnsi="Times New Roman" w:cs="Times New Roman"/>
          <w:szCs w:val="32"/>
        </w:rPr>
        <w:t>以工商河内圈及沿河周边为主要区域，依托工商河肌理风貌，挖掘、传承、展现工商文化、水文化、开埠文化，打造省会独具特色的</w:t>
      </w:r>
      <w:r>
        <w:rPr>
          <w:rFonts w:hint="eastAsia" w:ascii="Times New Roman" w:hAnsi="Times New Roman" w:cs="Times New Roman"/>
          <w:szCs w:val="32"/>
        </w:rPr>
        <w:t>开</w:t>
      </w:r>
      <w:r>
        <w:rPr>
          <w:rFonts w:ascii="Times New Roman" w:hAnsi="Times New Roman" w:cs="Times New Roman"/>
          <w:szCs w:val="32"/>
        </w:rPr>
        <w:t>埠文化标志区。</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lang w:val="en-GB"/>
        </w:rPr>
        <w:t>北湖高端服务业集聚区。</w:t>
      </w:r>
      <w:r>
        <w:rPr>
          <w:rFonts w:ascii="Times New Roman" w:hAnsi="Times New Roman" w:cs="Times New Roman"/>
          <w:szCs w:val="32"/>
        </w:rPr>
        <w:t>以打造中央活动区为目标，完备商业贸易、商务办公、创业创新、文化休闲、娱乐餐饮、生活居住等功能，建成传承特色历史文化、汇聚现代时尚元素的省会城市活动中心、活力中心，成为泉城特色风貌轴上璀璨明珠。</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lang w:val="en-GB"/>
        </w:rPr>
        <w:t>泺口国际商贸区。</w:t>
      </w:r>
      <w:r>
        <w:rPr>
          <w:rFonts w:ascii="Times New Roman" w:hAnsi="Times New Roman" w:cs="Times New Roman"/>
          <w:szCs w:val="32"/>
        </w:rPr>
        <w:t>以重塑泺口古镇为带动，加快设施再造、功能再造、业态再造，建设以高端商业综合体为主的地标性建筑群，吸引国际高端商贸服务业集聚，打造集国际贸易、商务展贸、商埠文化、生态保护于一体的国际商贸示范区，成为黄河流域全生命周期现代商贸典范。</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lang w:val="en-GB"/>
        </w:rPr>
        <w:t>药山都市工业示范区。</w:t>
      </w:r>
      <w:r>
        <w:rPr>
          <w:rFonts w:ascii="Times New Roman" w:hAnsi="Times New Roman" w:cs="Times New Roman"/>
          <w:szCs w:val="32"/>
        </w:rPr>
        <w:t>以省会“工业强市”战略为引领，打造产业新地标，加快药山科技园绿色化转型、智能化升级、数字化赋能，建设新型都市工业引领示范基地。</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color w:val="000000"/>
          <w:lang w:val="en-GB"/>
        </w:rPr>
        <w:t>丁太鲁黄河文旅标志区。</w:t>
      </w:r>
      <w:r>
        <w:rPr>
          <w:rFonts w:ascii="Times New Roman" w:hAnsi="Times New Roman" w:cs="Times New Roman"/>
          <w:szCs w:val="32"/>
        </w:rPr>
        <w:t>建设高档酒店集群、高端商业综合体、黄河文化展示中心，展现黄河历史文化内核，大力发展黄河文旅主体业态，融合发展文化创意设计、高端会展、休闲旅游等新兴业态，打造</w:t>
      </w:r>
      <w:r>
        <w:rPr>
          <w:rFonts w:hint="eastAsia" w:ascii="Times New Roman" w:hAnsi="Times New Roman" w:cs="Times New Roman"/>
          <w:szCs w:val="32"/>
        </w:rPr>
        <w:t>文旅标志区</w:t>
      </w:r>
      <w:r>
        <w:rPr>
          <w:rFonts w:ascii="Times New Roman" w:hAnsi="Times New Roman" w:cs="Times New Roman"/>
          <w:szCs w:val="32"/>
        </w:rPr>
        <w:t>。</w:t>
      </w:r>
    </w:p>
    <w:p>
      <w:pPr>
        <w:spacing w:line="590" w:lineRule="exact"/>
        <w:ind w:firstLine="668" w:firstLineChars="208"/>
        <w:textAlignment w:val="baseline"/>
        <w:rPr>
          <w:rFonts w:ascii="Times New Roman" w:hAnsi="Times New Roman" w:cs="Times New Roman"/>
          <w:sz w:val="20"/>
          <w:szCs w:val="32"/>
        </w:rPr>
      </w:pPr>
      <w:r>
        <w:rPr>
          <w:rFonts w:ascii="Times New Roman" w:hAnsi="Times New Roman" w:cs="Times New Roman"/>
          <w:b/>
          <w:color w:val="000000"/>
          <w:lang w:val="en-GB"/>
        </w:rPr>
        <w:t>桑梓组团产城融合区。</w:t>
      </w:r>
      <w:r>
        <w:rPr>
          <w:rFonts w:ascii="Times New Roman" w:hAnsi="Times New Roman" w:cs="Times New Roman"/>
          <w:szCs w:val="32"/>
        </w:rPr>
        <w:t>深度融入新旧动能转换起步区，以桑梓组团一体规划建设引领产城融合、北部崛起，持续优化空间布局和基础配套，做大总量规模，提升城市品质，建成环境秀美、宜居宜业、现代时尚的现代化产城融合区，实现以产带城、以城促产、产城共兴。</w:t>
      </w:r>
    </w:p>
    <w:p>
      <w:pPr>
        <w:pStyle w:val="3"/>
        <w:spacing w:before="120" w:after="120"/>
        <w:textAlignment w:val="baseline"/>
        <w:rPr>
          <w:rFonts w:ascii="Times New Roman" w:hAnsi="Times New Roman" w:cs="Times New Roman"/>
          <w:color w:val="000000"/>
          <w:highlight w:val="yellow"/>
        </w:rPr>
      </w:pPr>
      <w:bookmarkStart w:id="8" w:name="_Toc75764626"/>
      <w:r>
        <w:rPr>
          <w:rFonts w:ascii="Times New Roman" w:hAnsi="Times New Roman" w:cs="Times New Roman"/>
          <w:color w:val="000000"/>
        </w:rPr>
        <w:t>第二节</w:t>
      </w:r>
      <w:r>
        <w:rPr>
          <w:rFonts w:hint="eastAsia" w:ascii="Times New Roman" w:hAnsi="Times New Roman" w:cs="Times New Roman"/>
          <w:color w:val="000000"/>
        </w:rPr>
        <w:t xml:space="preserve"> </w:t>
      </w:r>
      <w:r>
        <w:rPr>
          <w:rFonts w:ascii="Times New Roman" w:hAnsi="Times New Roman" w:cs="Times New Roman"/>
          <w:color w:val="000000"/>
        </w:rPr>
        <w:t>加强黄河流域生态保护</w:t>
      </w:r>
      <w:bookmarkEnd w:id="8"/>
    </w:p>
    <w:p>
      <w:pPr>
        <w:ind w:right="-149" w:firstLine="640"/>
        <w:textAlignment w:val="baseline"/>
        <w:rPr>
          <w:rFonts w:ascii="Times New Roman" w:hAnsi="Times New Roman" w:cs="Times New Roman"/>
          <w:sz w:val="20"/>
          <w:szCs w:val="32"/>
        </w:rPr>
      </w:pPr>
      <w:r>
        <w:rPr>
          <w:rFonts w:ascii="Times New Roman" w:hAnsi="Times New Roman" w:cs="Times New Roman"/>
          <w:szCs w:val="32"/>
        </w:rPr>
        <w:t>以保护母亲河、保障黄河长治久安为目标，推进黄河两岸生态环境系统性保护，提高综合防治能力和防洪减灾应急管理能力，保证黄河长久安澜。</w:t>
      </w:r>
    </w:p>
    <w:p>
      <w:pPr>
        <w:ind w:right="-149" w:firstLine="643"/>
        <w:textAlignment w:val="baseline"/>
        <w:rPr>
          <w:rFonts w:ascii="Times New Roman" w:hAnsi="Times New Roman" w:cs="Times New Roman"/>
          <w:sz w:val="20"/>
          <w:szCs w:val="32"/>
        </w:rPr>
      </w:pPr>
      <w:r>
        <w:rPr>
          <w:rFonts w:ascii="Times New Roman" w:hAnsi="Times New Roman" w:cs="Times New Roman"/>
          <w:b/>
          <w:szCs w:val="32"/>
        </w:rPr>
        <w:t>全力保障黄河长治久安</w:t>
      </w:r>
      <w:r>
        <w:rPr>
          <w:rFonts w:ascii="Times New Roman" w:hAnsi="Times New Roman" w:cs="Times New Roman"/>
          <w:szCs w:val="32"/>
        </w:rPr>
        <w:t>。强化综合性防洪减灾体系建设，联防联控突发性洪水。加强防洪工程建设，保护整治黄河岸线，做好对险工及控导工程的维护管理工作。全面整治侵占和破坏黄河河道的违法违规行为，增强主槽行洪能力。强化综合性防洪减灾体系建设，完善防汛物资储备制度，加强防洪防凌应急预案、预警发布、抢险救援、工程科技等能力建设。</w:t>
      </w:r>
    </w:p>
    <w:p>
      <w:pPr>
        <w:ind w:right="-149" w:firstLine="643"/>
        <w:textAlignment w:val="baseline"/>
        <w:rPr>
          <w:rFonts w:ascii="Times New Roman" w:hAnsi="Times New Roman" w:cs="Times New Roman"/>
          <w:sz w:val="20"/>
          <w:szCs w:val="32"/>
        </w:rPr>
      </w:pPr>
      <w:r>
        <w:rPr>
          <w:rFonts w:ascii="Times New Roman" w:hAnsi="Times New Roman" w:cs="Times New Roman"/>
          <w:b/>
          <w:szCs w:val="32"/>
        </w:rPr>
        <w:t>打造黄河沿岸生态屏障。</w:t>
      </w:r>
      <w:r>
        <w:rPr>
          <w:rFonts w:ascii="Times New Roman" w:hAnsi="Times New Roman" w:cs="Times New Roman"/>
          <w:szCs w:val="32"/>
        </w:rPr>
        <w:t>加强黄河南北两岸滩地及现有防护林带建设，对现有生态功能不良、景观效果不佳的区域进行林分改造或补植补造。构建以森林公园、湿地公园、重要湖库、水源地等多元化节点组成的生态网络。加快建设绿色生态走廊，加强黄河流域腹地生态环境监测治理，全力配合、高标准实施沿黄增绿、重要节点适度自然化景观化改造和黄河生态风貌带建设，加强对龙湖湿地保护管理与合理利用。</w:t>
      </w:r>
    </w:p>
    <w:p>
      <w:pPr>
        <w:pStyle w:val="3"/>
        <w:spacing w:before="120" w:after="120"/>
        <w:textAlignment w:val="baseline"/>
        <w:rPr>
          <w:rFonts w:ascii="Times New Roman" w:hAnsi="Times New Roman" w:cs="Times New Roman"/>
          <w:color w:val="000000"/>
          <w:highlight w:val="yellow"/>
        </w:rPr>
      </w:pPr>
      <w:bookmarkStart w:id="9" w:name="_Toc75764627"/>
      <w:r>
        <w:rPr>
          <w:rFonts w:ascii="Times New Roman" w:hAnsi="Times New Roman" w:cs="Times New Roman"/>
          <w:color w:val="000000"/>
        </w:rPr>
        <w:t>第三节</w:t>
      </w:r>
      <w:r>
        <w:rPr>
          <w:rFonts w:hint="eastAsia" w:ascii="Times New Roman" w:hAnsi="Times New Roman" w:cs="Times New Roman"/>
          <w:color w:val="000000"/>
        </w:rPr>
        <w:t xml:space="preserve"> </w:t>
      </w:r>
      <w:r>
        <w:rPr>
          <w:rFonts w:ascii="Times New Roman" w:hAnsi="Times New Roman" w:cs="Times New Roman"/>
          <w:color w:val="000000"/>
        </w:rPr>
        <w:t>推进黄河流域文化传承</w:t>
      </w:r>
      <w:bookmarkEnd w:id="9"/>
    </w:p>
    <w:p>
      <w:pPr>
        <w:ind w:right="-149" w:firstLine="640"/>
        <w:textAlignment w:val="baseline"/>
        <w:rPr>
          <w:rFonts w:ascii="Times New Roman" w:hAnsi="Times New Roman" w:cs="Times New Roman"/>
          <w:kern w:val="0"/>
          <w:sz w:val="20"/>
          <w:szCs w:val="32"/>
        </w:rPr>
      </w:pPr>
      <w:r>
        <w:rPr>
          <w:rFonts w:ascii="Times New Roman" w:hAnsi="Times New Roman" w:cs="Times New Roman"/>
          <w:szCs w:val="32"/>
        </w:rPr>
        <w:t>以保护、传承、弘扬黄河历史文化为己任，</w:t>
      </w:r>
      <w:r>
        <w:rPr>
          <w:rFonts w:ascii="Times New Roman" w:hAnsi="Times New Roman" w:cs="Times New Roman"/>
          <w:color w:val="000000"/>
        </w:rPr>
        <w:t>推进区内黄河文化遗产的系统保护，深入挖掘黄河文化蕴含的时代价值，让</w:t>
      </w:r>
      <w:r>
        <w:rPr>
          <w:rFonts w:ascii="Times New Roman" w:hAnsi="Times New Roman" w:cs="Times New Roman"/>
          <w:szCs w:val="32"/>
        </w:rPr>
        <w:t>黄河文化熠熠生辉</w:t>
      </w:r>
      <w:r>
        <w:rPr>
          <w:rFonts w:ascii="Times New Roman" w:hAnsi="Times New Roman" w:cs="Times New Roman"/>
          <w:color w:val="000000"/>
        </w:rPr>
        <w:t>。</w:t>
      </w:r>
    </w:p>
    <w:p>
      <w:pPr>
        <w:ind w:right="-149" w:firstLine="643"/>
        <w:textAlignment w:val="baseline"/>
        <w:rPr>
          <w:rFonts w:ascii="Times New Roman" w:hAnsi="Times New Roman" w:cs="Times New Roman"/>
          <w:kern w:val="0"/>
          <w:sz w:val="20"/>
          <w:szCs w:val="32"/>
        </w:rPr>
      </w:pPr>
      <w:r>
        <w:rPr>
          <w:rFonts w:hint="eastAsia" w:ascii="Times New Roman" w:hAnsi="Times New Roman" w:cs="Times New Roman"/>
          <w:b/>
          <w:bCs/>
          <w:color w:val="000000"/>
        </w:rPr>
        <w:t>弘扬</w:t>
      </w:r>
      <w:r>
        <w:rPr>
          <w:rFonts w:ascii="Times New Roman" w:hAnsi="Times New Roman" w:cs="Times New Roman"/>
          <w:b/>
          <w:bCs/>
          <w:color w:val="000000"/>
        </w:rPr>
        <w:t>黄河流域文化。</w:t>
      </w:r>
      <w:r>
        <w:rPr>
          <w:rFonts w:ascii="Times New Roman" w:hAnsi="Times New Roman" w:cs="Times New Roman"/>
          <w:szCs w:val="32"/>
        </w:rPr>
        <w:t>深度挖掘黄河沿岸农耕文化、鹊山文化、扁鹊医药文化、治水文化、渡口文化、古镇文化、红色文化</w:t>
      </w:r>
      <w:r>
        <w:rPr>
          <w:rFonts w:ascii="Times New Roman" w:hAnsi="Times New Roman" w:cs="Times New Roman"/>
          <w:color w:val="000000"/>
        </w:rPr>
        <w:t>，打造黄河文化寻根地</w:t>
      </w:r>
      <w:r>
        <w:rPr>
          <w:rFonts w:ascii="Times New Roman" w:hAnsi="Times New Roman" w:cs="Times New Roman"/>
          <w:szCs w:val="32"/>
        </w:rPr>
        <w:t>。实施黄河历史文化遗址保护、抢救和修复工程。全力配合、高标准规划建设黄河国家文化公园、泺口古镇等特色标志性工程，全面展现毛主席视察黄河纪念地、百年铁路桥、鹊华秋色等自然人文</w:t>
      </w:r>
      <w:r>
        <w:rPr>
          <w:rFonts w:ascii="Times New Roman" w:hAnsi="Times New Roman" w:cs="Times New Roman"/>
          <w:spacing w:val="4"/>
          <w:szCs w:val="32"/>
        </w:rPr>
        <w:t>风貌和黄河治理成就，</w:t>
      </w:r>
      <w:r>
        <w:rPr>
          <w:rFonts w:ascii="Times New Roman" w:hAnsi="Times New Roman" w:cs="Times New Roman"/>
          <w:szCs w:val="32"/>
        </w:rPr>
        <w:t>打造具有重要影响力的黄河文化保护、传承和展示区域。全面</w:t>
      </w:r>
      <w:r>
        <w:rPr>
          <w:rFonts w:ascii="Times New Roman" w:hAnsi="Times New Roman" w:cs="Times New Roman"/>
          <w:color w:val="000000"/>
        </w:rPr>
        <w:t>加强与黄河沿线九省城市中心城区的文化合作交流，</w:t>
      </w:r>
      <w:r>
        <w:rPr>
          <w:rFonts w:hint="eastAsia" w:ascii="Times New Roman" w:hAnsi="Times New Roman" w:cs="Times New Roman"/>
          <w:color w:val="000000"/>
        </w:rPr>
        <w:t>积极参与</w:t>
      </w:r>
      <w:r>
        <w:rPr>
          <w:rFonts w:ascii="Times New Roman" w:hAnsi="Times New Roman" w:cs="Times New Roman"/>
          <w:color w:val="000000"/>
        </w:rPr>
        <w:t>具有影响力的国际会议、</w:t>
      </w:r>
      <w:r>
        <w:rPr>
          <w:rFonts w:ascii="Times New Roman" w:hAnsi="Times New Roman" w:cs="Times New Roman"/>
          <w:bCs/>
          <w:color w:val="000000"/>
        </w:rPr>
        <w:t>商贸会展、</w:t>
      </w:r>
      <w:r>
        <w:rPr>
          <w:rFonts w:ascii="Times New Roman" w:hAnsi="Times New Roman" w:cs="Times New Roman"/>
          <w:color w:val="000000"/>
        </w:rPr>
        <w:t>文化活动、体育赛事和高峰论坛等，带动黄河文化对外交流，彰显齐鲁文化深刻内涵，扩大国际影响力。</w:t>
      </w:r>
    </w:p>
    <w:p>
      <w:pPr>
        <w:ind w:right="-149" w:firstLine="643"/>
        <w:textAlignment w:val="baseline"/>
        <w:rPr>
          <w:rFonts w:ascii="Times New Roman" w:hAnsi="Times New Roman" w:cs="Times New Roman"/>
          <w:color w:val="000000"/>
          <w:sz w:val="20"/>
        </w:rPr>
      </w:pPr>
      <w:r>
        <w:rPr>
          <w:rFonts w:ascii="Times New Roman" w:hAnsi="Times New Roman" w:cs="Times New Roman"/>
          <w:b/>
          <w:bCs/>
          <w:color w:val="000000"/>
        </w:rPr>
        <w:t>激发城区</w:t>
      </w:r>
      <w:r>
        <w:rPr>
          <w:rFonts w:ascii="Times New Roman" w:hAnsi="Times New Roman" w:cs="Times New Roman"/>
          <w:b/>
        </w:rPr>
        <w:t>滨河活力</w:t>
      </w:r>
      <w:r>
        <w:rPr>
          <w:rFonts w:ascii="Times New Roman" w:hAnsi="Times New Roman" w:cs="Times New Roman"/>
          <w:b/>
          <w:bCs/>
          <w:color w:val="000000"/>
        </w:rPr>
        <w:t>。</w:t>
      </w:r>
      <w:r>
        <w:rPr>
          <w:rFonts w:hint="eastAsia" w:ascii="Times New Roman" w:hAnsi="Times New Roman" w:cs="Times New Roman"/>
          <w:color w:val="000000"/>
        </w:rPr>
        <w:t>本着“黄河与城市共生、共兴、共荣”理念，坚持“拥河发展、依河兴城、促进产城河共荣发展”的原则，建设独具天桥特色的城市景观与黄河自然景观共荣的标志性项目。提高黄河的可视性，提升全域一体化的沿河绿道系统，将济南百里黄河风景区和济南黄河森林公园等生态资源有机整合，串联形成沿河观光带。利用绿道生态优势，设计沿河休闲运动线路，</w:t>
      </w:r>
      <w:r>
        <w:rPr>
          <w:rFonts w:ascii="Times New Roman" w:hAnsi="Times New Roman" w:cs="Times New Roman"/>
          <w:color w:val="000000"/>
        </w:rPr>
        <w:t>促进滨水亲民。加大推动城市绿化品质提升，打造绿化特色道路、特色街区，提供功能完善的活力休闲场所。结合小清河两岸风貌带，建设环境优美、交通便捷、产业聚集、功能完善的滨河景观带和经济发展带，打造济南</w:t>
      </w:r>
      <w:r>
        <w:rPr>
          <w:rFonts w:hint="eastAsia" w:ascii="Times New Roman" w:hAnsi="Times New Roman" w:cs="Times New Roman"/>
          <w:color w:val="000000"/>
        </w:rPr>
        <w:t>滨河体验中心。</w:t>
      </w:r>
    </w:p>
    <w:p>
      <w:pPr>
        <w:spacing w:before="312" w:after="156" w:line="400" w:lineRule="exact"/>
        <w:ind w:firstLine="0" w:firstLineChars="0"/>
        <w:jc w:val="center"/>
        <w:textAlignment w:val="baseline"/>
        <w:rPr>
          <w:rFonts w:ascii="Times New Roman" w:hAnsi="Times New Roman" w:eastAsia="楷体_GB2312" w:cs="Times New Roman"/>
          <w:sz w:val="30"/>
          <w:szCs w:val="30"/>
        </w:rPr>
      </w:pPr>
      <w:r>
        <w:rPr>
          <w:rFonts w:ascii="Times New Roman" w:hAnsi="Times New Roman" w:eastAsia="楷体_GB2312" w:cs="Times New Roman"/>
          <w:sz w:val="30"/>
          <w:szCs w:val="30"/>
        </w:rPr>
        <w:t>专栏1 落实黄河国家战略重大项目</w:t>
      </w:r>
    </w:p>
    <w:tbl>
      <w:tblPr>
        <w:tblStyle w:val="17"/>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noWrap/>
          </w:tcPr>
          <w:p>
            <w:pPr>
              <w:spacing w:line="500" w:lineRule="exact"/>
              <w:ind w:firstLine="602"/>
              <w:textAlignment w:val="baseline"/>
              <w:rPr>
                <w:rFonts w:ascii="Times New Roman" w:hAnsi="Times New Roman" w:cs="Times New Roman"/>
                <w:sz w:val="30"/>
                <w:szCs w:val="30"/>
              </w:rPr>
            </w:pPr>
            <w:r>
              <w:rPr>
                <w:rFonts w:ascii="Times New Roman" w:hAnsi="Times New Roman" w:cs="Times New Roman"/>
                <w:b/>
                <w:sz w:val="30"/>
                <w:szCs w:val="30"/>
              </w:rPr>
              <w:t>泺口国际商贸城，</w:t>
            </w:r>
            <w:r>
              <w:rPr>
                <w:rFonts w:ascii="Times New Roman" w:hAnsi="Times New Roman" w:cs="Times New Roman"/>
                <w:sz w:val="30"/>
                <w:szCs w:val="30"/>
              </w:rPr>
              <w:t>依托泺口片区开发改造和泺口古镇重塑，建设以高端商业综合体为主的地标性建筑群，放大该区域商贸流通的基础优势和集聚辐射效应，建设商贸交往中心、跨境电商平台、国际商品展贸馆、特色商品交易城，打造集设计研发、总部办公、信息共享、展览销售于一体的国际商贸示范区。</w:t>
            </w:r>
          </w:p>
          <w:p>
            <w:pPr>
              <w:spacing w:line="500" w:lineRule="exact"/>
              <w:ind w:firstLine="602"/>
              <w:textAlignment w:val="baseline"/>
              <w:rPr>
                <w:rFonts w:ascii="Times New Roman" w:hAnsi="Times New Roman" w:cs="Times New Roman"/>
                <w:sz w:val="30"/>
                <w:szCs w:val="30"/>
              </w:rPr>
            </w:pPr>
            <w:r>
              <w:rPr>
                <w:rFonts w:ascii="Times New Roman" w:hAnsi="Times New Roman" w:cs="Times New Roman"/>
                <w:b/>
                <w:sz w:val="30"/>
                <w:szCs w:val="30"/>
              </w:rPr>
              <w:t>黄河文旅城，</w:t>
            </w:r>
            <w:r>
              <w:rPr>
                <w:rFonts w:ascii="Times New Roman" w:hAnsi="Times New Roman" w:cs="Times New Roman"/>
                <w:sz w:val="30"/>
                <w:szCs w:val="30"/>
              </w:rPr>
              <w:t>依托丁太鲁片区特色区位优势和自然风貌，建设冰雪水世界、星级酒店群、高端商业综合体、沉浸式黄河文化展示中心、黄河文化艺术街区等。</w:t>
            </w:r>
          </w:p>
          <w:p>
            <w:pPr>
              <w:spacing w:line="500" w:lineRule="exact"/>
              <w:ind w:firstLine="602"/>
              <w:textAlignment w:val="baseline"/>
              <w:rPr>
                <w:rFonts w:ascii="Times New Roman" w:hAnsi="Times New Roman" w:cs="Times New Roman"/>
                <w:sz w:val="30"/>
                <w:szCs w:val="30"/>
              </w:rPr>
            </w:pPr>
            <w:r>
              <w:rPr>
                <w:rFonts w:ascii="Times New Roman" w:hAnsi="Times New Roman" w:cs="Times New Roman"/>
                <w:b/>
                <w:sz w:val="30"/>
                <w:szCs w:val="30"/>
              </w:rPr>
              <w:t>滨河高端产业集聚示范区，</w:t>
            </w:r>
            <w:r>
              <w:rPr>
                <w:rFonts w:ascii="Times New Roman" w:hAnsi="Times New Roman" w:cs="Times New Roman"/>
                <w:sz w:val="30"/>
                <w:szCs w:val="30"/>
              </w:rPr>
              <w:t>在10公里小清河两岸规划建设高端产业载体，引进总部经济，培育高端业态，做强优势产业，打造黄河中下游高端产业集聚示范区。</w:t>
            </w:r>
          </w:p>
          <w:p>
            <w:pPr>
              <w:spacing w:line="500" w:lineRule="exact"/>
              <w:ind w:firstLine="602"/>
              <w:textAlignment w:val="baseline"/>
              <w:rPr>
                <w:rFonts w:ascii="Times New Roman" w:hAnsi="Times New Roman" w:cs="Times New Roman"/>
                <w:sz w:val="30"/>
                <w:szCs w:val="30"/>
              </w:rPr>
            </w:pPr>
            <w:r>
              <w:rPr>
                <w:rFonts w:ascii="Times New Roman" w:hAnsi="Times New Roman" w:cs="Times New Roman"/>
                <w:b/>
                <w:sz w:val="30"/>
                <w:szCs w:val="30"/>
              </w:rPr>
              <w:t>先进制造业创新示范区，</w:t>
            </w:r>
            <w:r>
              <w:rPr>
                <w:rFonts w:ascii="Times New Roman" w:hAnsi="Times New Roman" w:cs="Times New Roman"/>
                <w:sz w:val="30"/>
                <w:szCs w:val="30"/>
              </w:rPr>
              <w:t>依托济南新材料产业园区构建新型功能材料、智能制造、医疗康养等产业集群相互支撑、协同发展的特色先进制造业体系，打造“北起”先进制造业高地。</w:t>
            </w:r>
          </w:p>
          <w:p>
            <w:pPr>
              <w:spacing w:line="500" w:lineRule="exact"/>
              <w:ind w:firstLine="602"/>
              <w:textAlignment w:val="baseline"/>
              <w:rPr>
                <w:rFonts w:ascii="Times New Roman" w:hAnsi="Times New Roman" w:cs="Times New Roman"/>
                <w:sz w:val="30"/>
                <w:szCs w:val="30"/>
              </w:rPr>
            </w:pPr>
            <w:r>
              <w:rPr>
                <w:rFonts w:ascii="Times New Roman" w:hAnsi="Times New Roman" w:cs="Times New Roman"/>
                <w:b/>
                <w:sz w:val="30"/>
                <w:szCs w:val="30"/>
              </w:rPr>
              <w:t>黄河南岸水生态环境治理工程，</w:t>
            </w:r>
            <w:r>
              <w:rPr>
                <w:rFonts w:ascii="Times New Roman" w:hAnsi="Times New Roman" w:cs="Times New Roman"/>
                <w:sz w:val="30"/>
                <w:szCs w:val="30"/>
              </w:rPr>
              <w:t>建设洋涓湖公园，实施</w:t>
            </w:r>
            <w:r>
              <w:rPr>
                <w:rFonts w:hint="eastAsia" w:ascii="Times New Roman" w:hAnsi="Times New Roman" w:cs="Times New Roman"/>
                <w:sz w:val="30"/>
                <w:szCs w:val="30"/>
              </w:rPr>
              <w:t>工商河改造工程，</w:t>
            </w:r>
            <w:r>
              <w:rPr>
                <w:rFonts w:ascii="Times New Roman" w:hAnsi="Times New Roman" w:cs="Times New Roman"/>
                <w:sz w:val="30"/>
                <w:szCs w:val="30"/>
              </w:rPr>
              <w:t>扎实</w:t>
            </w:r>
            <w:r>
              <w:rPr>
                <w:rFonts w:hint="eastAsia" w:ascii="Times New Roman" w:hAnsi="Times New Roman" w:cs="Times New Roman"/>
                <w:sz w:val="30"/>
                <w:szCs w:val="30"/>
              </w:rPr>
              <w:t>做好</w:t>
            </w:r>
            <w:r>
              <w:rPr>
                <w:rFonts w:ascii="Times New Roman" w:hAnsi="Times New Roman" w:cs="Times New Roman"/>
                <w:sz w:val="30"/>
                <w:szCs w:val="30"/>
              </w:rPr>
              <w:t>全区河道综合整治和雨污</w:t>
            </w:r>
            <w:r>
              <w:rPr>
                <w:rFonts w:hint="eastAsia" w:ascii="Times New Roman" w:hAnsi="Times New Roman" w:cs="Times New Roman"/>
                <w:sz w:val="30"/>
                <w:szCs w:val="30"/>
              </w:rPr>
              <w:t>分流</w:t>
            </w:r>
            <w:r>
              <w:rPr>
                <w:rFonts w:ascii="Times New Roman" w:hAnsi="Times New Roman" w:cs="Times New Roman"/>
                <w:sz w:val="30"/>
                <w:szCs w:val="30"/>
              </w:rPr>
              <w:t>改造，实施截污治污、清淤疏浚、拆违治乱、景观提升工程，加快完善地下管网体系，将全区河道打造成为岸绿水美的景观河、生态河。</w:t>
            </w:r>
          </w:p>
          <w:p>
            <w:pPr>
              <w:spacing w:line="500" w:lineRule="exact"/>
              <w:ind w:firstLine="602"/>
              <w:textAlignment w:val="baseline"/>
              <w:rPr>
                <w:rFonts w:ascii="Times New Roman" w:hAnsi="Times New Roman" w:eastAsia="楷体_GB2312" w:cs="Times New Roman"/>
                <w:sz w:val="28"/>
                <w:szCs w:val="28"/>
              </w:rPr>
            </w:pPr>
            <w:r>
              <w:rPr>
                <w:rFonts w:ascii="Times New Roman" w:hAnsi="Times New Roman" w:cs="Times New Roman"/>
                <w:b/>
                <w:sz w:val="30"/>
                <w:szCs w:val="30"/>
              </w:rPr>
              <w:t>黄河两岸交通网络互联互通工程，</w:t>
            </w:r>
            <w:r>
              <w:rPr>
                <w:rFonts w:ascii="Times New Roman" w:hAnsi="Times New Roman" w:cs="Times New Roman"/>
                <w:sz w:val="30"/>
                <w:szCs w:val="30"/>
              </w:rPr>
              <w:t>实施优化黄河北区域路网规划，实施308、309国道拓宽改造，推动二环北路向城市快速路转型升级，加快济泺路穿黄隧道、黄岗路穿黄隧道、齐鲁黄河大桥北延、跨河轨道交通建设，形成完备的交通路网体系。</w:t>
            </w:r>
          </w:p>
        </w:tc>
      </w:tr>
    </w:tbl>
    <w:p>
      <w:pPr>
        <w:pStyle w:val="2"/>
        <w:numPr>
          <w:ilvl w:val="0"/>
          <w:numId w:val="1"/>
        </w:numPr>
        <w:spacing w:before="156" w:after="156" w:line="620" w:lineRule="exact"/>
        <w:ind w:left="1474" w:hanging="1117"/>
        <w:textAlignment w:val="baseline"/>
        <w:rPr>
          <w:rFonts w:ascii="Times New Roman" w:hAnsi="Times New Roman" w:cs="Times New Roman"/>
          <w:color w:val="000000"/>
        </w:rPr>
      </w:pPr>
      <w:bookmarkStart w:id="10" w:name="_Toc75764628"/>
      <w:r>
        <w:rPr>
          <w:rFonts w:ascii="Times New Roman" w:hAnsi="Times New Roman" w:cs="Times New Roman"/>
          <w:color w:val="000000"/>
        </w:rPr>
        <w:t>重塑天桥产业辉煌</w:t>
      </w:r>
      <w:bookmarkEnd w:id="10"/>
    </w:p>
    <w:p>
      <w:pPr>
        <w:ind w:firstLine="640"/>
        <w:textAlignment w:val="baseline"/>
        <w:rPr>
          <w:rFonts w:ascii="Times New Roman" w:hAnsi="Times New Roman" w:cs="Times New Roman"/>
          <w:sz w:val="20"/>
          <w:szCs w:val="32"/>
        </w:rPr>
      </w:pPr>
      <w:r>
        <w:rPr>
          <w:rFonts w:ascii="Times New Roman" w:hAnsi="Times New Roman" w:cs="Times New Roman"/>
          <w:szCs w:val="32"/>
        </w:rPr>
        <w:t>坚持把发展经济着力点放在实体经济上，坚定不移实施工业强区战略，擦亮现代服务业名片，创新都市新型农业，坚持创新驱动发展，推动新旧动能转换，加快构筑现代产业体系，提高经济规模、质量效益和核心竞争力，实现重塑产业辉煌的目标。</w:t>
      </w:r>
    </w:p>
    <w:p>
      <w:pPr>
        <w:pStyle w:val="3"/>
        <w:spacing w:before="120" w:after="120"/>
        <w:textAlignment w:val="baseline"/>
        <w:rPr>
          <w:rFonts w:ascii="Times New Roman" w:hAnsi="Times New Roman" w:cs="Times New Roman"/>
        </w:rPr>
      </w:pPr>
      <w:bookmarkStart w:id="11" w:name="_Toc75764629"/>
      <w:r>
        <w:rPr>
          <w:rFonts w:ascii="Times New Roman" w:hAnsi="Times New Roman" w:cs="Times New Roman"/>
        </w:rPr>
        <w:t>第一节</w:t>
      </w:r>
      <w:r>
        <w:rPr>
          <w:rFonts w:hint="eastAsia" w:ascii="Times New Roman" w:hAnsi="Times New Roman" w:cs="Times New Roman"/>
        </w:rPr>
        <w:t xml:space="preserve"> </w:t>
      </w:r>
      <w:r>
        <w:rPr>
          <w:rFonts w:ascii="Times New Roman" w:hAnsi="Times New Roman" w:cs="Times New Roman"/>
        </w:rPr>
        <w:t>加快实施工业强区战略</w:t>
      </w:r>
      <w:bookmarkEnd w:id="11"/>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充分发挥济南新材料产业园和药山科技园工业主阵地的作用，大力发展园区经济，</w:t>
      </w:r>
      <w:r>
        <w:rPr>
          <w:rFonts w:ascii="Times New Roman" w:hAnsi="Times New Roman" w:cs="Times New Roman"/>
          <w:bCs/>
          <w:color w:val="000000"/>
        </w:rPr>
        <w:t>聚力发展战略性新兴产业，改造提升传统产业，重点引进新材料、智能制造等产业领域，培育一批创新性强、先导性突出、成长性好的都市工业集群，推动形成高端产业体系。</w:t>
      </w:r>
    </w:p>
    <w:p>
      <w:pPr>
        <w:spacing w:line="590" w:lineRule="exact"/>
        <w:ind w:firstLine="643"/>
        <w:textAlignment w:val="baseline"/>
        <w:rPr>
          <w:rFonts w:ascii="Times New Roman" w:hAnsi="Times New Roman" w:eastAsia="楷体_GB2312" w:cs="Times New Roman"/>
          <w:sz w:val="20"/>
          <w:szCs w:val="32"/>
        </w:rPr>
      </w:pPr>
      <w:r>
        <w:rPr>
          <w:rFonts w:ascii="Times New Roman" w:hAnsi="Times New Roman" w:cs="Times New Roman"/>
          <w:b/>
          <w:bCs/>
        </w:rPr>
        <w:t>扬起济南新材料产业园区发展龙头。</w:t>
      </w:r>
      <w:r>
        <w:rPr>
          <w:rFonts w:ascii="Times New Roman" w:hAnsi="Times New Roman" w:cs="Times New Roman"/>
          <w:szCs w:val="32"/>
        </w:rPr>
        <w:t>担负起高质量发展和工业强区的使命责任，着力打造产业隆起高地，围绕新材料、智能制造、现代高端物流、生物医药等主导产业形成百亿级产业规模，做好“扩链、延链、补链、强链”的文章，加快构建龙头企业带动、中小企业配套、共性平台支撑、上下游产业联动的集约集群发展格局。着力打造科技创新高地，大力引进和培育一批高端科研院所和创新平台，加强园区研发机构成果转化，鼓励企业加大研发投入，全面建成高端研发集聚地、成果转化示范地、创新创业策源地。着力打造改革赋能高地，坚定不移全面深化园区体制机制改革，完善现代化“管委会+”模式，提升企业化管理运行和资产运营能力。着力打造对外开放高地，做大做强对外开放平台，加大对外招商力度，加强国际化配套服务设施建设，促进全球元素、外资外贸、国际人才加快集聚。着力打造产城融合高地，按照生态引领、创新驱动、融合发展的理念，统筹规划产业集聚区、人口集聚区、综合服务区等主体功能区，加强基础配套和公共服务设施建设，为园区产业发展提供有力支撑。</w:t>
      </w:r>
      <w:r>
        <w:rPr>
          <w:rFonts w:ascii="Times New Roman" w:hAnsi="Times New Roman" w:cs="Times New Roman"/>
          <w:color w:val="333333"/>
        </w:rPr>
        <w:t>到2025年，规模以上工业企业达到150家，</w:t>
      </w:r>
      <w:r>
        <w:rPr>
          <w:rFonts w:ascii="Times New Roman" w:hAnsi="Times New Roman" w:cs="Times New Roman"/>
        </w:rPr>
        <w:t>主要经济指标增幅明显高于全省园区同类指标增幅，高于全区平均增幅两倍以上，</w:t>
      </w:r>
      <w:r>
        <w:rPr>
          <w:rFonts w:ascii="Times New Roman" w:hAnsi="Times New Roman" w:cs="Times New Roman"/>
          <w:szCs w:val="32"/>
        </w:rPr>
        <w:t>部分指标实现“三年倍增”</w:t>
      </w:r>
      <w:r>
        <w:rPr>
          <w:rFonts w:ascii="Times New Roman" w:hAnsi="Times New Roman" w:cs="Times New Roman"/>
        </w:rPr>
        <w:t>，</w:t>
      </w:r>
      <w:r>
        <w:rPr>
          <w:rFonts w:ascii="Times New Roman" w:hAnsi="Times New Roman" w:cs="Times New Roman"/>
          <w:szCs w:val="32"/>
        </w:rPr>
        <w:t>在省级开发区的综合实力排名大幅跃升。</w:t>
      </w:r>
    </w:p>
    <w:p>
      <w:pPr>
        <w:spacing w:line="560" w:lineRule="exact"/>
        <w:ind w:firstLine="643"/>
        <w:textAlignment w:val="baseline"/>
        <w:rPr>
          <w:rFonts w:ascii="Times New Roman" w:hAnsi="Times New Roman" w:cs="Times New Roman"/>
          <w:sz w:val="20"/>
          <w:szCs w:val="32"/>
        </w:rPr>
      </w:pPr>
      <w:r>
        <w:rPr>
          <w:rFonts w:ascii="Times New Roman" w:hAnsi="Times New Roman" w:cs="Times New Roman"/>
          <w:b/>
          <w:bCs/>
        </w:rPr>
        <w:t>培育药山科技园都市工业创新形态。</w:t>
      </w:r>
      <w:r>
        <w:rPr>
          <w:rFonts w:ascii="Times New Roman" w:hAnsi="Times New Roman" w:cs="Times New Roman"/>
          <w:bCs/>
        </w:rPr>
        <w:t>聚焦技术密集型、研究开发型和轻加工型等高附加值产业形态，重点关注电子信息、工业设计、工业互联网、医药康复、高端消费品制造等产业领域，</w:t>
      </w:r>
      <w:r>
        <w:rPr>
          <w:rFonts w:ascii="Times New Roman" w:hAnsi="Times New Roman" w:cs="Times New Roman"/>
          <w:szCs w:val="32"/>
        </w:rPr>
        <w:t>实现转型升级、涅</w:t>
      </w:r>
      <w:r>
        <w:rPr>
          <w:rFonts w:hint="eastAsia" w:ascii="Times New Roman" w:hAnsi="Times New Roman" w:cs="Times New Roman"/>
          <w:szCs w:val="32"/>
        </w:rPr>
        <w:t>槃</w:t>
      </w:r>
      <w:r>
        <w:rPr>
          <w:rFonts w:hint="eastAsia" w:hAnsi="仿宋_GB2312" w:cs="仿宋_GB2312"/>
          <w:szCs w:val="32"/>
        </w:rPr>
        <w:t>重生。着力加快</w:t>
      </w:r>
      <w:r>
        <w:rPr>
          <w:rFonts w:ascii="Times New Roman" w:hAnsi="Times New Roman" w:cs="Times New Roman"/>
          <w:szCs w:val="32"/>
        </w:rPr>
        <w:t>“腾笼换鸟”，对低端低效高能耗企业加快外迁，释放发展空间，大力引进和培育新技术、新产业、新业态，实现“汰劣鸟、引靓鸟、育新鸟”的良性循环。着力实施产业升级，大力发展总部企业，扶持壮大园区既有优势企业，帮助引导企业加强科技创新，实施科技改造，扩大生产规模，全力做大做强。到2025年，规模以上工业企业达到70家、产值突破100亿元。</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rPr>
        <w:t>聚力发展战略性新兴产业。</w:t>
      </w:r>
      <w:r>
        <w:rPr>
          <w:rFonts w:ascii="Times New Roman" w:hAnsi="Times New Roman" w:cs="Times New Roman"/>
          <w:szCs w:val="32"/>
        </w:rPr>
        <w:t>积极引进和培育高端前沿产业，加快推动人工智能、北斗卫星通信导航、空天信息、区块链等高端产业的应用研发和产业化应用。加快壮大一批具有全局带动和重大引领作用的战略性新兴产业，着力引进关联度大的龙头型项目、带动力强的基地型项目、产业链长的综合性项目。大力发展数字经济，加快数字产业化、产业数字化进程，持续推动人工智能、5G等新一代信息技术同各产业深度融合。围绕战略性新兴产业发展方向，鼓励龙头企业积极向产业链上下游扩展，扶持一批掌握核心技术、创新能力强、成长性高的新兴科技型中小企业，进一步提升战略性新兴产业的发展质量和水平。</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bCs/>
        </w:rPr>
        <w:t>改造提升传统产业。</w:t>
      </w:r>
      <w:r>
        <w:rPr>
          <w:rFonts w:ascii="Times New Roman" w:hAnsi="Times New Roman" w:cs="Times New Roman"/>
          <w:szCs w:val="32"/>
        </w:rPr>
        <w:t>大力实施存量提升战略，加大企业设备更新和技术改造力度，支持传统企业转型发展，推进智能制造、绿色制造，提高发展质量和效益。打好“个转企、企升规、规改股、股上市、强龙头”组合拳，培育打造一批具有核心竞争力的本土企业，形成大企业“顶天立地”、中小企业“铺天盖地”、“核、链、网”支撑的发展格局。</w:t>
      </w:r>
    </w:p>
    <w:p>
      <w:pPr>
        <w:spacing w:before="156" w:after="156" w:line="400" w:lineRule="exact"/>
        <w:ind w:firstLine="0" w:firstLineChars="0"/>
        <w:jc w:val="center"/>
        <w:textAlignment w:val="baseline"/>
        <w:rPr>
          <w:rFonts w:ascii="Times New Roman" w:hAnsi="Times New Roman" w:eastAsia="楷体_GB2312" w:cs="Times New Roman"/>
          <w:sz w:val="30"/>
          <w:szCs w:val="30"/>
        </w:rPr>
      </w:pPr>
      <w:r>
        <w:rPr>
          <w:rFonts w:ascii="Times New Roman" w:hAnsi="Times New Roman" w:eastAsia="楷体_GB2312" w:cs="Times New Roman"/>
          <w:sz w:val="30"/>
          <w:szCs w:val="30"/>
        </w:rPr>
        <w:t>专栏2</w:t>
      </w:r>
      <w:r>
        <w:rPr>
          <w:rFonts w:hint="eastAsia" w:ascii="Times New Roman" w:hAnsi="Times New Roman" w:eastAsia="楷体_GB2312" w:cs="Times New Roman"/>
          <w:sz w:val="30"/>
          <w:szCs w:val="30"/>
        </w:rPr>
        <w:t xml:space="preserve">  </w:t>
      </w:r>
      <w:r>
        <w:rPr>
          <w:rFonts w:ascii="Times New Roman" w:hAnsi="Times New Roman" w:eastAsia="楷体_GB2312" w:cs="Times New Roman"/>
          <w:sz w:val="30"/>
          <w:szCs w:val="30"/>
        </w:rPr>
        <w:t>“十四五”实体经济重点项目</w:t>
      </w:r>
    </w:p>
    <w:tbl>
      <w:tblPr>
        <w:tblStyle w:val="17"/>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noWrap/>
          </w:tcPr>
          <w:p>
            <w:pPr>
              <w:spacing w:line="500" w:lineRule="exact"/>
              <w:ind w:firstLine="600"/>
              <w:textAlignment w:val="baseline"/>
              <w:rPr>
                <w:rFonts w:ascii="Times New Roman" w:hAnsi="Times New Roman" w:cs="Times New Roman"/>
                <w:sz w:val="30"/>
                <w:szCs w:val="30"/>
              </w:rPr>
            </w:pPr>
            <w:r>
              <w:rPr>
                <w:rFonts w:ascii="Times New Roman" w:hAnsi="Times New Roman" w:cs="Times New Roman"/>
                <w:sz w:val="30"/>
                <w:szCs w:val="30"/>
              </w:rPr>
              <w:t>普洛斯济南天桥冷链及供应链管理项目、东方雨虹绿色建材生产基地、山东科佳智能装备城、山东省标识创意文化产业园、时代天工项目、中南高科智能制造产业园、济南融通智能科技产业园、济南玉晶玻璃有限公司智能特种玻璃生产项目、山东金基建材有限公司建筑新材料生产基地项目、山东三石电子科技有限公司S1机器人移动装置、新晶彩（山东)智能科技发展有限公司年产100吨2～6英寸蓝宝石晶体制造项目、济南晟原轮胎有限公司汽车轮胎组装项目、山东瀚泽道路建材制造项目、济南万城装饰材料仓储基地、山东德源电力科技股份有限公司电力智能设备研发及生产项目、5G 通讯用导磁模片及智慧物联网产业化应用项目(一期)、济南锅炉集团有限公司新旧动能转换项目、山东北申智能装备城、新中安新能源车桥壳体项目、山东零公里润滑科技有限公司年产10万吨汽车及工业用润滑油生产线项目、济南新材料交易中心三期、高铁装备制造基地、中关村（济南）产业基地、新建山东省城际铁路调度指挥中心工程、时代未来科技城、山东德晟机器人股份有限公司-川崎机器人北方工程技术研发中心</w:t>
            </w:r>
          </w:p>
        </w:tc>
      </w:tr>
    </w:tbl>
    <w:p>
      <w:pPr>
        <w:pStyle w:val="3"/>
        <w:spacing w:before="120" w:after="120"/>
        <w:textAlignment w:val="baseline"/>
        <w:rPr>
          <w:rFonts w:ascii="Times New Roman" w:hAnsi="Times New Roman" w:cs="Times New Roman"/>
          <w:color w:val="000000"/>
        </w:rPr>
      </w:pPr>
      <w:bookmarkStart w:id="12" w:name="_Toc75764630"/>
      <w:r>
        <w:rPr>
          <w:rFonts w:ascii="Times New Roman" w:hAnsi="Times New Roman" w:cs="Times New Roman"/>
          <w:color w:val="000000"/>
        </w:rPr>
        <w:t>第二节</w:t>
      </w:r>
      <w:r>
        <w:rPr>
          <w:rFonts w:hint="eastAsia" w:ascii="Times New Roman" w:hAnsi="Times New Roman" w:cs="Times New Roman"/>
          <w:color w:val="000000"/>
        </w:rPr>
        <w:t xml:space="preserve"> </w:t>
      </w:r>
      <w:r>
        <w:rPr>
          <w:rFonts w:ascii="Times New Roman" w:hAnsi="Times New Roman" w:cs="Times New Roman"/>
          <w:color w:val="000000"/>
          <w:lang w:val="en-GB"/>
        </w:rPr>
        <w:t>擦亮现代服务业新名片</w:t>
      </w:r>
      <w:bookmarkEnd w:id="12"/>
    </w:p>
    <w:p>
      <w:pPr>
        <w:ind w:right="-149" w:firstLine="640"/>
        <w:textAlignment w:val="baseline"/>
        <w:rPr>
          <w:rFonts w:ascii="Times New Roman" w:hAnsi="Times New Roman" w:cs="Times New Roman"/>
          <w:bCs/>
          <w:color w:val="000000"/>
          <w:sz w:val="20"/>
          <w:szCs w:val="32"/>
        </w:rPr>
      </w:pPr>
      <w:r>
        <w:rPr>
          <w:rFonts w:ascii="Times New Roman" w:hAnsi="Times New Roman" w:cs="Times New Roman"/>
          <w:color w:val="000000"/>
          <w:lang w:val="en-GB"/>
        </w:rPr>
        <w:t>依托商埠文化基因，</w:t>
      </w:r>
      <w:r>
        <w:rPr>
          <w:rFonts w:ascii="Times New Roman" w:hAnsi="Times New Roman" w:cs="Times New Roman"/>
          <w:szCs w:val="32"/>
        </w:rPr>
        <w:t>积极融入新发展格局，</w:t>
      </w:r>
      <w:r>
        <w:rPr>
          <w:rFonts w:ascii="Times New Roman" w:hAnsi="Times New Roman" w:cs="Times New Roman"/>
          <w:color w:val="000000"/>
          <w:lang w:val="en-GB"/>
        </w:rPr>
        <w:t>推动传统商贸转型升级，加快</w:t>
      </w:r>
      <w:r>
        <w:rPr>
          <w:rFonts w:ascii="Times New Roman" w:hAnsi="Times New Roman" w:cs="Times New Roman"/>
          <w:color w:val="000000"/>
        </w:rPr>
        <w:t>构建电子商务生态</w:t>
      </w:r>
      <w:r>
        <w:rPr>
          <w:rFonts w:ascii="Times New Roman" w:hAnsi="Times New Roman" w:cs="Times New Roman"/>
          <w:szCs w:val="32"/>
        </w:rPr>
        <w:t>，打造高端服务业发展高地。“十四五”</w:t>
      </w:r>
      <w:r>
        <w:rPr>
          <w:rFonts w:hint="eastAsia" w:ascii="Times New Roman" w:hAnsi="Times New Roman" w:cs="Times New Roman"/>
          <w:szCs w:val="32"/>
        </w:rPr>
        <w:t>末</w:t>
      </w:r>
      <w:r>
        <w:rPr>
          <w:rFonts w:ascii="Times New Roman" w:hAnsi="Times New Roman" w:cs="Times New Roman"/>
          <w:szCs w:val="32"/>
        </w:rPr>
        <w:t>，全区服务业增加值突破700亿元，年均增长9%以上。</w:t>
      </w:r>
    </w:p>
    <w:p>
      <w:pPr>
        <w:ind w:right="-149" w:firstLine="643"/>
        <w:textAlignment w:val="baseline"/>
        <w:rPr>
          <w:rFonts w:ascii="Times New Roman" w:hAnsi="Times New Roman" w:cs="Times New Roman"/>
          <w:color w:val="000000"/>
          <w:sz w:val="20"/>
        </w:rPr>
      </w:pPr>
      <w:r>
        <w:rPr>
          <w:rFonts w:ascii="Times New Roman" w:hAnsi="Times New Roman" w:cs="Times New Roman"/>
          <w:b/>
          <w:color w:val="000000"/>
        </w:rPr>
        <w:t>大力</w:t>
      </w:r>
      <w:r>
        <w:rPr>
          <w:rFonts w:hint="eastAsia" w:ascii="Times New Roman" w:hAnsi="Times New Roman" w:cs="Times New Roman"/>
          <w:b/>
          <w:color w:val="000000"/>
        </w:rPr>
        <w:t>发展</w:t>
      </w:r>
      <w:r>
        <w:rPr>
          <w:rFonts w:ascii="Times New Roman" w:hAnsi="Times New Roman" w:cs="Times New Roman"/>
          <w:b/>
          <w:color w:val="000000"/>
        </w:rPr>
        <w:t>现代商贸业。</w:t>
      </w:r>
      <w:r>
        <w:rPr>
          <w:rFonts w:ascii="Times New Roman" w:hAnsi="Times New Roman" w:cs="Times New Roman"/>
          <w:szCs w:val="32"/>
        </w:rPr>
        <w:t>改造提升以专业市场为重点的商贸服务业，完善服务配套、创新管理模式、营造优越环境，嫁接“互联网+”模式，提高产业规模和能级。</w:t>
      </w:r>
      <w:r>
        <w:rPr>
          <w:rFonts w:ascii="Times New Roman" w:hAnsi="Times New Roman" w:cs="Times New Roman"/>
          <w:color w:val="000000"/>
        </w:rPr>
        <w:t>发展首店经济、体验经济、流量经济和夜间经济等，积极培育引进消费新业态新模式，创建国际消费中心。规划建设一批高端商业载体，创新政策和投融资环境，大力引进总部</w:t>
      </w:r>
      <w:r>
        <w:rPr>
          <w:rFonts w:hint="eastAsia" w:ascii="Times New Roman" w:hAnsi="Times New Roman" w:cs="Times New Roman"/>
          <w:color w:val="000000"/>
        </w:rPr>
        <w:t>企业</w:t>
      </w:r>
      <w:r>
        <w:rPr>
          <w:rFonts w:ascii="Times New Roman" w:hAnsi="Times New Roman" w:cs="Times New Roman"/>
          <w:color w:val="000000"/>
        </w:rPr>
        <w:t>和现代服务业机构，吸引跨国公司、大型企业集团总部或区域总部集群布局、创新发展，把总部经济和现代服务业培育成为加快动能转换、促进增量崛起的重要引擎。</w:t>
      </w:r>
    </w:p>
    <w:p>
      <w:pPr>
        <w:ind w:firstLine="643"/>
        <w:textAlignment w:val="baseline"/>
        <w:rPr>
          <w:rFonts w:ascii="Times New Roman" w:hAnsi="Times New Roman" w:cs="Times New Roman"/>
          <w:b/>
          <w:color w:val="000000"/>
          <w:sz w:val="20"/>
        </w:rPr>
      </w:pPr>
      <w:r>
        <w:rPr>
          <w:rFonts w:ascii="Times New Roman" w:hAnsi="Times New Roman" w:cs="Times New Roman"/>
          <w:b/>
          <w:color w:val="000000"/>
        </w:rPr>
        <w:t>促进电子商务蓬勃发展。</w:t>
      </w:r>
      <w:r>
        <w:rPr>
          <w:rFonts w:ascii="Times New Roman" w:hAnsi="Times New Roman" w:cs="Times New Roman"/>
          <w:szCs w:val="32"/>
        </w:rPr>
        <w:t>大力发展电子商务，依托黄台、凤凰山、齐鲁云商等电子商务产业园区，优化电商产业生态，扶持</w:t>
      </w:r>
      <w:r>
        <w:rPr>
          <w:rFonts w:ascii="Times New Roman" w:hAnsi="Times New Roman" w:cs="Times New Roman"/>
          <w:bCs/>
          <w:color w:val="000000"/>
          <w:szCs w:val="32"/>
        </w:rPr>
        <w:t>三际电子、</w:t>
      </w:r>
      <w:r>
        <w:rPr>
          <w:rFonts w:hint="eastAsia" w:ascii="Times New Roman" w:hAnsi="Times New Roman" w:cs="Times New Roman"/>
          <w:bCs/>
          <w:color w:val="000000"/>
          <w:szCs w:val="32"/>
        </w:rPr>
        <w:t>掌视界</w:t>
      </w:r>
      <w:r>
        <w:rPr>
          <w:rFonts w:ascii="Times New Roman" w:hAnsi="Times New Roman" w:cs="Times New Roman"/>
          <w:bCs/>
          <w:color w:val="000000"/>
          <w:szCs w:val="32"/>
        </w:rPr>
        <w:t>、山东康舜等</w:t>
      </w:r>
      <w:r>
        <w:rPr>
          <w:rFonts w:ascii="Times New Roman" w:hAnsi="Times New Roman" w:cs="Times New Roman"/>
          <w:szCs w:val="32"/>
        </w:rPr>
        <w:t>电商龙头做大做强，</w:t>
      </w:r>
      <w:r>
        <w:rPr>
          <w:rFonts w:hint="eastAsia" w:ascii="Times New Roman" w:hAnsi="Times New Roman" w:cs="Times New Roman"/>
          <w:szCs w:val="32"/>
        </w:rPr>
        <w:t>引进培育</w:t>
      </w:r>
      <w:r>
        <w:rPr>
          <w:rFonts w:ascii="Times New Roman" w:hAnsi="Times New Roman" w:cs="Times New Roman"/>
          <w:szCs w:val="32"/>
        </w:rPr>
        <w:t>一批有影响力和示范性的电商平台型企业，巩固电子商务在全省的领先位置。</w:t>
      </w:r>
      <w:r>
        <w:rPr>
          <w:rFonts w:ascii="Times New Roman" w:hAnsi="Times New Roman" w:cs="Times New Roman"/>
          <w:color w:val="000000"/>
          <w:szCs w:val="32"/>
        </w:rPr>
        <w:t>依托天桥商贸产业基础，整合传统品牌渠道，深入挖掘服装、家居建材、通讯电子等商品价值，利用直播电商打响天桥商贸品牌，培育一批具有号召力的本地电商主播。运用5G、</w:t>
      </w:r>
      <w:r>
        <w:rPr>
          <w:rFonts w:ascii="Times New Roman" w:hAnsi="Times New Roman" w:cs="Times New Roman"/>
          <w:bCs/>
          <w:color w:val="000000"/>
          <w:szCs w:val="32"/>
        </w:rPr>
        <w:t>超高清视频、AR/VR等技术增强场景式沉浸式消费体验。</w:t>
      </w:r>
    </w:p>
    <w:p>
      <w:pPr>
        <w:ind w:firstLine="643"/>
        <w:textAlignment w:val="baseline"/>
        <w:rPr>
          <w:rFonts w:ascii="Times New Roman" w:hAnsi="Times New Roman" w:cs="Times New Roman"/>
          <w:color w:val="000000"/>
          <w:sz w:val="20"/>
          <w:szCs w:val="32"/>
        </w:rPr>
      </w:pPr>
      <w:r>
        <w:rPr>
          <w:rFonts w:ascii="Times New Roman" w:hAnsi="Times New Roman" w:cs="Times New Roman"/>
          <w:b/>
          <w:color w:val="000000"/>
          <w:szCs w:val="32"/>
        </w:rPr>
        <w:t>激发文化创意设计活力。</w:t>
      </w:r>
      <w:r>
        <w:rPr>
          <w:rFonts w:ascii="Times New Roman" w:hAnsi="Times New Roman" w:cs="Times New Roman"/>
          <w:szCs w:val="32"/>
        </w:rPr>
        <w:t>加快建设省级文化产业示范基地，鼓励支持建设文化创意产业园区，实施一批文化科技融合重大项目，把文化创意与设计培育成为我区特色产业。</w:t>
      </w:r>
      <w:r>
        <w:rPr>
          <w:rFonts w:ascii="Times New Roman" w:hAnsi="Times New Roman" w:cs="Times New Roman"/>
          <w:color w:val="000000"/>
          <w:szCs w:val="32"/>
        </w:rPr>
        <w:t>推进“文化+”跨界融合发展，推动黄河文化与旅游、艺术、科技、商业、娱乐的解构重组，拓展水文化品牌价值圈；</w:t>
      </w:r>
      <w:r>
        <w:rPr>
          <w:rFonts w:ascii="Times New Roman" w:hAnsi="Times New Roman" w:cs="Times New Roman"/>
          <w:szCs w:val="32"/>
        </w:rPr>
        <w:t>推动工业文明和旅游融合发展，打造更多高品质休闲旅游街区，</w:t>
      </w:r>
      <w:r>
        <w:rPr>
          <w:rFonts w:ascii="Times New Roman" w:hAnsi="Times New Roman" w:cs="Times New Roman"/>
          <w:color w:val="000000"/>
          <w:szCs w:val="32"/>
        </w:rPr>
        <w:t>依托成丰面粉厂、大易造纸厂、北山粮库等老旧工业载体打造特色文化产业园，探索发展“创业基地+博物馆”、“文化便利店”等新兴文化业态。依托小清河两岸，打造24小时书店、深夜剧场等夜间文创业态。</w:t>
      </w:r>
    </w:p>
    <w:p>
      <w:pPr>
        <w:ind w:firstLine="643"/>
        <w:textAlignment w:val="baseline"/>
        <w:rPr>
          <w:rFonts w:ascii="Times New Roman" w:hAnsi="Times New Roman" w:cs="Times New Roman"/>
          <w:color w:val="000000"/>
          <w:sz w:val="20"/>
          <w:szCs w:val="32"/>
        </w:rPr>
      </w:pPr>
      <w:r>
        <w:rPr>
          <w:rFonts w:ascii="Times New Roman" w:hAnsi="Times New Roman" w:cs="Times New Roman"/>
          <w:b/>
          <w:szCs w:val="32"/>
        </w:rPr>
        <w:t>打造精品休闲旅游业。</w:t>
      </w:r>
      <w:r>
        <w:rPr>
          <w:rFonts w:ascii="Times New Roman" w:hAnsi="Times New Roman" w:cs="Times New Roman"/>
          <w:szCs w:val="32"/>
        </w:rPr>
        <w:t>充分挖掘黄河文化、小清河文化、传统历史文化、近现代工商业文化、红色文化等资源，做好开发、整合、包装工作，把休闲旅游业打造成产业发展新亮点。</w:t>
      </w:r>
      <w:r>
        <w:rPr>
          <w:rFonts w:ascii="Times New Roman" w:hAnsi="Times New Roman" w:cs="Times New Roman"/>
          <w:color w:val="000000"/>
          <w:szCs w:val="32"/>
        </w:rPr>
        <w:t>围绕黄河历史文化，借助百里黄河风景区提升，打造集休闲、观光、娱乐一体的黄河文化生态旅游带。围绕乡村振兴齐鲁样板村建设，结合乡村振兴战略，大力推动乡村旅游发展，培育农家生活、农家美食、农业采摘、垂钓等一站式体验业态。提升北湖片区、泺口片区等特色商贸区的夜经济水平，打造天桥夜间游览特色品牌，创建小清河城市“外滩”。</w:t>
      </w:r>
    </w:p>
    <w:p>
      <w:pPr>
        <w:spacing w:before="156" w:after="156" w:line="400" w:lineRule="exact"/>
        <w:ind w:firstLine="0" w:firstLineChars="0"/>
        <w:jc w:val="center"/>
        <w:textAlignment w:val="baseline"/>
        <w:rPr>
          <w:rFonts w:ascii="Times New Roman" w:hAnsi="Times New Roman" w:eastAsia="楷体_GB2312" w:cs="Times New Roman"/>
          <w:sz w:val="30"/>
          <w:szCs w:val="30"/>
        </w:rPr>
      </w:pPr>
      <w:r>
        <w:rPr>
          <w:rFonts w:ascii="Times New Roman" w:hAnsi="Times New Roman" w:eastAsia="楷体_GB2312" w:cs="Times New Roman"/>
          <w:sz w:val="30"/>
          <w:szCs w:val="30"/>
        </w:rPr>
        <w:t xml:space="preserve">专栏3 </w:t>
      </w:r>
      <w:r>
        <w:rPr>
          <w:rFonts w:hint="eastAsia" w:ascii="Times New Roman" w:hAnsi="Times New Roman" w:eastAsia="楷体_GB2312" w:cs="Times New Roman"/>
          <w:sz w:val="30"/>
          <w:szCs w:val="30"/>
        </w:rPr>
        <w:t xml:space="preserve"> </w:t>
      </w:r>
      <w:r>
        <w:rPr>
          <w:rFonts w:ascii="Times New Roman" w:hAnsi="Times New Roman" w:eastAsia="楷体_GB2312" w:cs="Times New Roman"/>
          <w:sz w:val="30"/>
          <w:szCs w:val="30"/>
        </w:rPr>
        <w:t>“十四五”服务业重点项目</w:t>
      </w:r>
    </w:p>
    <w:tbl>
      <w:tblPr>
        <w:tblStyle w:val="17"/>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noWrap/>
          </w:tcPr>
          <w:p>
            <w:pPr>
              <w:spacing w:line="500" w:lineRule="exact"/>
              <w:ind w:firstLine="600"/>
              <w:textAlignment w:val="baseline"/>
              <w:rPr>
                <w:rFonts w:ascii="Times New Roman" w:hAnsi="Times New Roman" w:eastAsia="楷体_GB2312" w:cs="Times New Roman"/>
                <w:sz w:val="30"/>
                <w:szCs w:val="30"/>
              </w:rPr>
            </w:pPr>
            <w:r>
              <w:rPr>
                <w:rFonts w:ascii="Times New Roman" w:hAnsi="Times New Roman" w:cs="Times New Roman"/>
                <w:sz w:val="30"/>
                <w:szCs w:val="30"/>
              </w:rPr>
              <w:t>泺口国际商贸城项目、丁太鲁黄河文旅城项目、四建总部综合体项目、中恒综合体项目、齐鲁鞋都国际品牌港项目、药山西现代商务综合体项目、东海时代中心项目、北湖片区商业商务建设项目、恒大商业综合体项目、田庄商业综合体项目、黄岗城市综合体项目、药山片区城市综合体项目、大魏城市综合体项目、边庄商业综合体项目</w:t>
            </w:r>
            <w:r>
              <w:rPr>
                <w:rFonts w:hint="eastAsia" w:ascii="Times New Roman" w:hAnsi="Times New Roman" w:cs="Times New Roman"/>
                <w:sz w:val="30"/>
                <w:szCs w:val="30"/>
              </w:rPr>
              <w:t>、济南北山粮仓遗址改造项目</w:t>
            </w:r>
          </w:p>
        </w:tc>
      </w:tr>
    </w:tbl>
    <w:p>
      <w:pPr>
        <w:pStyle w:val="3"/>
        <w:spacing w:before="120" w:after="120"/>
        <w:textAlignment w:val="baseline"/>
        <w:rPr>
          <w:rFonts w:ascii="Times New Roman" w:hAnsi="Times New Roman" w:cs="Times New Roman"/>
          <w:color w:val="000000"/>
        </w:rPr>
      </w:pPr>
      <w:bookmarkStart w:id="13" w:name="_Toc75764631"/>
      <w:r>
        <w:rPr>
          <w:rFonts w:ascii="Times New Roman" w:hAnsi="Times New Roman" w:cs="Times New Roman"/>
          <w:color w:val="000000"/>
        </w:rPr>
        <w:t>第三节</w:t>
      </w:r>
      <w:r>
        <w:rPr>
          <w:rFonts w:hint="eastAsia" w:ascii="Times New Roman" w:hAnsi="Times New Roman" w:cs="Times New Roman"/>
          <w:color w:val="000000"/>
        </w:rPr>
        <w:t xml:space="preserve"> </w:t>
      </w:r>
      <w:r>
        <w:rPr>
          <w:rFonts w:ascii="Times New Roman" w:hAnsi="Times New Roman" w:cs="Times New Roman"/>
          <w:color w:val="000000"/>
        </w:rPr>
        <w:t>发展都市生态新型农业</w:t>
      </w:r>
      <w:bookmarkEnd w:id="13"/>
    </w:p>
    <w:p>
      <w:pPr>
        <w:ind w:firstLine="640"/>
        <w:textAlignment w:val="baseline"/>
        <w:rPr>
          <w:rFonts w:ascii="Times New Roman" w:hAnsi="Times New Roman" w:cs="Times New Roman"/>
          <w:color w:val="000000"/>
          <w:sz w:val="20"/>
          <w:szCs w:val="32"/>
        </w:rPr>
      </w:pPr>
      <w:r>
        <w:rPr>
          <w:rFonts w:ascii="Times New Roman" w:hAnsi="Times New Roman" w:cs="Times New Roman"/>
          <w:color w:val="000000"/>
          <w:szCs w:val="32"/>
        </w:rPr>
        <w:t>深入实施乡村振兴战略，通过拓展都市农业多元业态、强化农业科技对都市农业的支撑作用，全面推动农业高质量发展。</w:t>
      </w:r>
    </w:p>
    <w:p>
      <w:pPr>
        <w:spacing w:line="570" w:lineRule="exact"/>
        <w:ind w:firstLine="643"/>
        <w:textAlignment w:val="baseline"/>
        <w:rPr>
          <w:rFonts w:ascii="Times New Roman" w:hAnsi="Times New Roman" w:cs="Times New Roman"/>
          <w:sz w:val="20"/>
          <w:szCs w:val="32"/>
        </w:rPr>
      </w:pPr>
      <w:r>
        <w:rPr>
          <w:rFonts w:ascii="Times New Roman" w:hAnsi="Times New Roman" w:cs="Times New Roman"/>
          <w:b/>
          <w:szCs w:val="32"/>
        </w:rPr>
        <w:t>做精现代都市农业。</w:t>
      </w:r>
      <w:r>
        <w:rPr>
          <w:rFonts w:ascii="Times New Roman" w:hAnsi="Times New Roman" w:cs="Times New Roman"/>
          <w:szCs w:val="32"/>
        </w:rPr>
        <w:t>充分发挥近郊优势，建设一批融生产、生活、生态于一体的现代农业精品园、示范园，积极建设田园综合体，推进既有农业园区、农业龙头企业、农村专业合作社提档</w:t>
      </w:r>
      <w:r>
        <w:rPr>
          <w:rFonts w:ascii="Times New Roman" w:hAnsi="Times New Roman" w:cs="Times New Roman"/>
          <w:spacing w:val="-4"/>
          <w:szCs w:val="32"/>
        </w:rPr>
        <w:t>升级。加快农业与加工、流通、旅游、文化等产业深度融合，创建现代都市农业品牌。到2025年，建设田园综合体1个，农业龙头企业达到40家，农民专业合作社达到25家。</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提高农业质量效益。</w:t>
      </w:r>
      <w:r>
        <w:rPr>
          <w:rFonts w:ascii="Times New Roman" w:hAnsi="Times New Roman" w:cs="Times New Roman"/>
          <w:szCs w:val="32"/>
        </w:rPr>
        <w:t>严守耕地保护红线，实施高标准农田建设工程，强化农业科技和装备支撑，</w:t>
      </w:r>
      <w:r>
        <w:rPr>
          <w:rFonts w:ascii="Times New Roman" w:hAnsi="Times New Roman" w:cs="Times New Roman"/>
          <w:color w:val="000000"/>
          <w:szCs w:val="32"/>
        </w:rPr>
        <w:t>深化农业领域“产学研”合作，大力发展智慧农业，推进“互联网+农业”建设，打造农业大数据信息平台和高端农产品电商平台，推动技术创新与模式创新。</w:t>
      </w:r>
    </w:p>
    <w:p>
      <w:pPr>
        <w:pStyle w:val="3"/>
        <w:textAlignment w:val="baseline"/>
        <w:rPr>
          <w:rFonts w:ascii="Times New Roman" w:hAnsi="Times New Roman" w:cs="Times New Roman"/>
        </w:rPr>
      </w:pPr>
      <w:bookmarkStart w:id="14" w:name="_Toc75764632"/>
      <w:r>
        <w:rPr>
          <w:rFonts w:ascii="Times New Roman" w:hAnsi="Times New Roman" w:cs="Times New Roman"/>
        </w:rPr>
        <w:t>第四节</w:t>
      </w:r>
      <w:r>
        <w:rPr>
          <w:rFonts w:hint="eastAsia" w:ascii="Times New Roman" w:hAnsi="Times New Roman" w:cs="Times New Roman"/>
        </w:rPr>
        <w:t xml:space="preserve"> </w:t>
      </w:r>
      <w:r>
        <w:rPr>
          <w:rFonts w:ascii="Times New Roman" w:hAnsi="Times New Roman" w:cs="Times New Roman"/>
        </w:rPr>
        <w:t>大力实施创新驱动战略</w:t>
      </w:r>
      <w:bookmarkEnd w:id="14"/>
    </w:p>
    <w:p>
      <w:pPr>
        <w:spacing w:before="156"/>
        <w:ind w:firstLine="640"/>
        <w:textAlignment w:val="baseline"/>
        <w:rPr>
          <w:rFonts w:ascii="Times New Roman" w:hAnsi="Times New Roman" w:cs="Times New Roman"/>
          <w:color w:val="000000"/>
          <w:sz w:val="20"/>
        </w:rPr>
      </w:pPr>
      <w:r>
        <w:rPr>
          <w:rFonts w:ascii="Times New Roman" w:hAnsi="Times New Roman" w:cs="Times New Roman"/>
          <w:color w:val="000000"/>
        </w:rPr>
        <w:t>坚持创新在重塑产业辉煌中的核心地位，构建院所、平台、企业、人才“四位一体”创新驱动格局，加快形成“政产学研金服用”全要素深度融合的技术创新体系。</w:t>
      </w:r>
    </w:p>
    <w:p>
      <w:pPr>
        <w:ind w:firstLine="643"/>
        <w:textAlignment w:val="baseline"/>
        <w:rPr>
          <w:rFonts w:ascii="Times New Roman" w:hAnsi="Times New Roman" w:cs="Times New Roman"/>
          <w:sz w:val="20"/>
        </w:rPr>
      </w:pPr>
      <w:r>
        <w:rPr>
          <w:rFonts w:ascii="Times New Roman" w:hAnsi="Times New Roman" w:cs="Times New Roman"/>
          <w:b/>
        </w:rPr>
        <w:t>加强科创平台建设。</w:t>
      </w:r>
      <w:r>
        <w:rPr>
          <w:rFonts w:ascii="Times New Roman" w:hAnsi="Times New Roman" w:cs="Times New Roman"/>
        </w:rPr>
        <w:t>鼓励企业加大研发投入，将现有科创平台做大做强</w:t>
      </w:r>
      <w:r>
        <w:rPr>
          <w:rFonts w:hint="eastAsia" w:ascii="Times New Roman" w:hAnsi="Times New Roman" w:cs="Times New Roman"/>
        </w:rPr>
        <w:t>。</w:t>
      </w:r>
      <w:r>
        <w:rPr>
          <w:rFonts w:ascii="Times New Roman" w:hAnsi="Times New Roman" w:cs="Times New Roman"/>
        </w:rPr>
        <w:t>支持企业高标准新建或盘活闲置厂房、楼宇，改扩建一批科技企业孵化器和众创空间，孵化、催生一批成长性好的科技型中小企业</w:t>
      </w:r>
      <w:r>
        <w:rPr>
          <w:rFonts w:hint="eastAsia" w:ascii="Times New Roman" w:hAnsi="Times New Roman" w:cs="Times New Roman"/>
        </w:rPr>
        <w:t>。</w:t>
      </w:r>
      <w:r>
        <w:rPr>
          <w:rFonts w:ascii="Times New Roman" w:hAnsi="Times New Roman" w:cs="Times New Roman"/>
        </w:rPr>
        <w:t>支持我区科研院所、企业与省内外大型企业和知名研发机构开展合作，共建研发和产业化基地</w:t>
      </w:r>
      <w:r>
        <w:rPr>
          <w:rFonts w:hint="eastAsia" w:ascii="Times New Roman" w:hAnsi="Times New Roman" w:cs="Times New Roman"/>
        </w:rPr>
        <w:t>。</w:t>
      </w:r>
      <w:r>
        <w:rPr>
          <w:rFonts w:ascii="Times New Roman" w:hAnsi="Times New Roman" w:cs="Times New Roman"/>
        </w:rPr>
        <w:t>积极引进国内知名大学、研发机构、500强企业来我区建立分支机构或搭建创新平台。</w:t>
      </w:r>
    </w:p>
    <w:p>
      <w:pPr>
        <w:ind w:firstLine="643"/>
        <w:textAlignment w:val="baseline"/>
        <w:rPr>
          <w:rFonts w:ascii="Times New Roman" w:hAnsi="Times New Roman" w:cs="Times New Roman"/>
          <w:sz w:val="20"/>
        </w:rPr>
      </w:pPr>
      <w:r>
        <w:rPr>
          <w:rFonts w:ascii="Times New Roman" w:hAnsi="Times New Roman" w:cs="Times New Roman"/>
          <w:b/>
        </w:rPr>
        <w:t>加快科技成果转化</w:t>
      </w:r>
      <w:r>
        <w:rPr>
          <w:rFonts w:ascii="Times New Roman" w:hAnsi="Times New Roman" w:cs="Times New Roman"/>
        </w:rPr>
        <w:t>。</w:t>
      </w:r>
      <w:r>
        <w:rPr>
          <w:rFonts w:ascii="Times New Roman" w:hAnsi="Times New Roman" w:cs="Times New Roman"/>
          <w:color w:val="000000"/>
        </w:rPr>
        <w:t>擦亮“山东省技术转移先进区”招牌，</w:t>
      </w:r>
      <w:r>
        <w:rPr>
          <w:rFonts w:ascii="Times New Roman" w:hAnsi="Times New Roman" w:cs="Times New Roman"/>
        </w:rPr>
        <w:t>以项目为载体、资本为纽带，加大创新成果与产业应用、创新项目与市场需求对接力度，打造线上线下结合的交易平台，推进科技成果产业化。坚持引育并举，打造国内知名、区域领先、特色鲜明的“众创空间—孵化器—加速器—科技园区”全链条创新孵化体系。</w:t>
      </w:r>
    </w:p>
    <w:p>
      <w:pPr>
        <w:ind w:firstLine="643"/>
        <w:textAlignment w:val="baseline"/>
        <w:rPr>
          <w:rFonts w:ascii="Times New Roman" w:hAnsi="Times New Roman" w:cs="Times New Roman"/>
          <w:sz w:val="20"/>
        </w:rPr>
      </w:pPr>
      <w:r>
        <w:rPr>
          <w:rFonts w:ascii="Times New Roman" w:hAnsi="Times New Roman" w:cs="Times New Roman"/>
          <w:b/>
        </w:rPr>
        <w:t>培育壮大创新主体。</w:t>
      </w:r>
      <w:r>
        <w:rPr>
          <w:rFonts w:ascii="Times New Roman" w:hAnsi="Times New Roman" w:cs="Times New Roman"/>
        </w:rPr>
        <w:t>提升企业技术创新能力，促进各类创新要素向企业集聚，支持企业牵头组建创新联合体。实施国家高新技术企业和科技型中小企业“双倍增”计划，通过引进一批、众创空间（孵化器）孵化一批、传统企业改造一批、小微企业提升一批等多种渠道，培育更多“单项冠军”“瞪羚”“独角兽”和“专精特新”企业，</w:t>
      </w:r>
      <w:r>
        <w:rPr>
          <w:rFonts w:hint="eastAsia" w:ascii="Times New Roman" w:hAnsi="Times New Roman" w:cs="Times New Roman"/>
        </w:rPr>
        <w:t>“十四五”期间，</w:t>
      </w:r>
      <w:r>
        <w:rPr>
          <w:rFonts w:ascii="Times New Roman" w:hAnsi="Times New Roman" w:cs="Times New Roman"/>
        </w:rPr>
        <w:t>新增“瞪羚”企业15</w:t>
      </w:r>
      <w:r>
        <w:rPr>
          <w:rFonts w:hint="eastAsia" w:ascii="Times New Roman" w:hAnsi="Times New Roman" w:cs="Times New Roman"/>
        </w:rPr>
        <w:t>家，新增上市挂牌企业5家</w:t>
      </w:r>
      <w:r>
        <w:rPr>
          <w:rFonts w:ascii="Times New Roman" w:hAnsi="Times New Roman" w:cs="Times New Roman"/>
        </w:rPr>
        <w:t>。</w:t>
      </w:r>
    </w:p>
    <w:p>
      <w:pPr>
        <w:ind w:firstLine="643"/>
        <w:textAlignment w:val="baseline"/>
        <w:rPr>
          <w:rFonts w:ascii="Times New Roman" w:hAnsi="Times New Roman" w:eastAsia="宋体" w:cs="Times New Roman"/>
          <w:color w:val="333333"/>
          <w:kern w:val="0"/>
          <w:sz w:val="24"/>
          <w:szCs w:val="24"/>
        </w:rPr>
      </w:pPr>
      <w:r>
        <w:rPr>
          <w:rFonts w:ascii="Times New Roman" w:hAnsi="Times New Roman" w:cs="Times New Roman"/>
          <w:b/>
        </w:rPr>
        <w:t>加速人才队伍建设。</w:t>
      </w:r>
      <w:r>
        <w:t>落实鼓励和支持</w:t>
      </w:r>
      <w:r>
        <w:rPr>
          <w:rFonts w:hint="eastAsia"/>
        </w:rPr>
        <w:t>人才建设</w:t>
      </w:r>
      <w:r>
        <w:t>的政策措施</w:t>
      </w:r>
      <w:r>
        <w:rPr>
          <w:rFonts w:hint="eastAsia"/>
        </w:rPr>
        <w:t>，</w:t>
      </w:r>
      <w:r>
        <w:rPr>
          <w:rFonts w:ascii="Times New Roman" w:hAnsi="Times New Roman" w:cs="Times New Roman"/>
          <w:color w:val="333333"/>
        </w:rPr>
        <w:t>坚持在创新创业活动中发现人才、培育人才、引进人才</w:t>
      </w:r>
      <w:r>
        <w:rPr>
          <w:rFonts w:hint="eastAsia" w:ascii="Times New Roman" w:hAnsi="Times New Roman" w:cs="Times New Roman"/>
          <w:color w:val="333333"/>
        </w:rPr>
        <w:t>、</w:t>
      </w:r>
      <w:r>
        <w:rPr>
          <w:rFonts w:ascii="Times New Roman" w:hAnsi="Times New Roman" w:cs="Times New Roman"/>
          <w:color w:val="333333"/>
        </w:rPr>
        <w:t>留住人才。</w:t>
      </w:r>
      <w:r>
        <w:rPr>
          <w:rFonts w:hint="eastAsia" w:ascii="Times New Roman" w:hAnsi="Times New Roman" w:cs="Times New Roman"/>
          <w:color w:val="333333"/>
        </w:rPr>
        <w:t>加强人才工作平台建设，创新人才支撑产业发展的引育机制，加快集聚一批能够推动重点产业提升、带动新兴产业发展的创新创业团队。抢抓黄河战略机遇，实施高端人才引进计划，面向海内外广揽专业技能人才、领军人才和拔尖人才。建立校企结合、产教结合的人才培养新模式，激发人才创新创造活力。不断完善兑现人才服务政策，提升教育、医疗、住房等服务资源配置，吸引各类人才成为重塑产业辉煌的强力支撑。</w:t>
      </w:r>
    </w:p>
    <w:p>
      <w:pPr>
        <w:pStyle w:val="2"/>
        <w:numPr>
          <w:ilvl w:val="0"/>
          <w:numId w:val="1"/>
        </w:numPr>
        <w:spacing w:before="156" w:after="156" w:line="620" w:lineRule="exact"/>
        <w:ind w:left="1474" w:hanging="1117"/>
        <w:textAlignment w:val="baseline"/>
        <w:rPr>
          <w:rFonts w:ascii="Times New Roman" w:hAnsi="Times New Roman" w:cs="Times New Roman"/>
          <w:color w:val="000000"/>
        </w:rPr>
      </w:pPr>
      <w:bookmarkStart w:id="15" w:name="_Toc75764633"/>
      <w:r>
        <w:rPr>
          <w:rFonts w:ascii="Times New Roman" w:hAnsi="Times New Roman" w:cs="Times New Roman"/>
          <w:color w:val="000000"/>
        </w:rPr>
        <w:t>全面提升城市</w:t>
      </w:r>
      <w:r>
        <w:rPr>
          <w:rFonts w:hint="eastAsia" w:ascii="Times New Roman" w:hAnsi="Times New Roman" w:cs="Times New Roman"/>
          <w:color w:val="000000"/>
        </w:rPr>
        <w:t>魅力</w:t>
      </w:r>
      <w:bookmarkEnd w:id="15"/>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坚定不移把城市更新作为打造黄河流域生态保护和高质量发展样板区的重要引擎，做好拆迁改造和保留提升两篇文章，改善人居环境、提升城市能级、做大总量规模，加快推动城市品质化、功能现代化、业态高端化，为黄河流域城市更新趟出路子、作出示范、创出样板。</w:t>
      </w:r>
    </w:p>
    <w:p>
      <w:pPr>
        <w:pStyle w:val="3"/>
        <w:spacing w:before="120" w:after="120"/>
        <w:textAlignment w:val="baseline"/>
        <w:rPr>
          <w:rFonts w:ascii="Times New Roman" w:hAnsi="Times New Roman" w:cs="Times New Roman"/>
          <w:color w:val="000000"/>
        </w:rPr>
      </w:pPr>
      <w:bookmarkStart w:id="16" w:name="_Toc75764634"/>
      <w:r>
        <w:rPr>
          <w:rFonts w:ascii="Times New Roman" w:hAnsi="Times New Roman" w:cs="Times New Roman"/>
          <w:color w:val="000000"/>
        </w:rPr>
        <w:t>第一节</w:t>
      </w:r>
      <w:r>
        <w:rPr>
          <w:rFonts w:hint="eastAsia" w:ascii="Times New Roman" w:hAnsi="Times New Roman" w:cs="Times New Roman"/>
          <w:color w:val="000000"/>
        </w:rPr>
        <w:t xml:space="preserve"> </w:t>
      </w:r>
      <w:r>
        <w:rPr>
          <w:rFonts w:ascii="Times New Roman" w:hAnsi="Times New Roman" w:cs="Times New Roman"/>
          <w:color w:val="000000"/>
        </w:rPr>
        <w:t>实施城市更新行动</w:t>
      </w:r>
      <w:bookmarkEnd w:id="16"/>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坚持以人民为中心与高标准规划设计引领，留改拆并举，全域统筹、分区定策，并充分发挥政府引导作用，吸引多元主体共建共享共治，协同开展存量挖潜，先行先试、全面铺开，“十四五”期间，</w:t>
      </w:r>
      <w:r>
        <w:rPr>
          <w:rFonts w:hint="eastAsia" w:ascii="Times New Roman" w:hAnsi="Times New Roman" w:cs="Times New Roman"/>
          <w:color w:val="000000"/>
          <w:szCs w:val="32"/>
        </w:rPr>
        <w:t>全面</w:t>
      </w:r>
      <w:r>
        <w:rPr>
          <w:rFonts w:ascii="Times New Roman" w:hAnsi="Times New Roman" w:cs="Times New Roman"/>
          <w:color w:val="000000"/>
          <w:szCs w:val="32"/>
        </w:rPr>
        <w:t>启动122个城市更新项目，其中拆迁改造类61个、保留提升类61个</w:t>
      </w:r>
      <w:r>
        <w:rPr>
          <w:rFonts w:hint="eastAsia" w:ascii="Times New Roman" w:hAnsi="Times New Roman" w:cs="Times New Roman"/>
          <w:color w:val="000000"/>
          <w:szCs w:val="32"/>
        </w:rPr>
        <w:t>，</w:t>
      </w:r>
      <w:r>
        <w:rPr>
          <w:rFonts w:hint="eastAsia" w:ascii="Times New Roman" w:hAnsi="Times New Roman" w:cs="Times New Roman"/>
          <w:szCs w:val="32"/>
        </w:rPr>
        <w:t>完成</w:t>
      </w:r>
      <w:r>
        <w:rPr>
          <w:rFonts w:ascii="Times New Roman" w:hAnsi="Times New Roman" w:cs="Times New Roman"/>
          <w:szCs w:val="32"/>
        </w:rPr>
        <w:t>拆迁面积</w:t>
      </w:r>
      <w:r>
        <w:rPr>
          <w:rFonts w:hint="eastAsia" w:ascii="Times New Roman" w:hAnsi="Times New Roman" w:cs="Times New Roman"/>
          <w:szCs w:val="32"/>
        </w:rPr>
        <w:t>1</w:t>
      </w:r>
      <w:r>
        <w:rPr>
          <w:rFonts w:ascii="Times New Roman" w:hAnsi="Times New Roman" w:cs="Times New Roman"/>
          <w:szCs w:val="32"/>
        </w:rPr>
        <w:t>200万平方米、实现新开工建设面积</w:t>
      </w:r>
      <w:r>
        <w:rPr>
          <w:rFonts w:hint="eastAsia" w:ascii="Times New Roman" w:hAnsi="Times New Roman" w:cs="Times New Roman"/>
          <w:szCs w:val="32"/>
        </w:rPr>
        <w:t>1</w:t>
      </w:r>
      <w:r>
        <w:rPr>
          <w:rFonts w:ascii="Times New Roman" w:hAnsi="Times New Roman" w:cs="Times New Roman"/>
          <w:szCs w:val="32"/>
        </w:rPr>
        <w:t>500万平方米</w:t>
      </w:r>
      <w:r>
        <w:rPr>
          <w:rFonts w:hint="eastAsia" w:ascii="Times New Roman" w:hAnsi="Times New Roman" w:cs="Times New Roman"/>
          <w:szCs w:val="32"/>
        </w:rPr>
        <w:t>、完成提升改造房屋面积</w:t>
      </w:r>
      <w:r>
        <w:rPr>
          <w:rFonts w:ascii="Times New Roman" w:hAnsi="Times New Roman" w:cs="Times New Roman"/>
          <w:szCs w:val="32"/>
        </w:rPr>
        <w:t>562万平方米。</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有序高效推进拆迁改造。</w:t>
      </w:r>
      <w:r>
        <w:rPr>
          <w:rFonts w:ascii="Times New Roman" w:hAnsi="Times New Roman" w:cs="Times New Roman"/>
          <w:szCs w:val="32"/>
        </w:rPr>
        <w:t>坚持尊重群众意愿，把征收拆迁作为城市更新的“先手棋”，坚持依法征迁、阳光征迁、和谐征迁，实现城市扩量增容、长高变靓。加强政策创新，在区域统筹、土地供给、融资增信、土地开发一二级联动等方面先行先试，针对棚户区、城中村、旧厂区的特点，</w:t>
      </w:r>
      <w:r>
        <w:rPr>
          <w:rFonts w:hint="eastAsia" w:ascii="Times New Roman" w:hAnsi="Times New Roman" w:cs="Times New Roman"/>
          <w:szCs w:val="32"/>
        </w:rPr>
        <w:t>坚持以人为本、因地制宜、分类施策，创新补偿安置等具体办法</w:t>
      </w:r>
      <w:r>
        <w:rPr>
          <w:rFonts w:ascii="Times New Roman" w:hAnsi="Times New Roman" w:cs="Times New Roman"/>
          <w:szCs w:val="32"/>
        </w:rPr>
        <w:t>。牢固树立“拆迁出效益”的观念，做好预案、细化方案，集中力量、快签快拆。大力推进具有全局性、示范性、标志性的重点片区城市更新，建成黄河流域具有示范性的标志区域。落实济南历史文化名城保护条例，做好历史建筑保护工作。</w:t>
      </w:r>
    </w:p>
    <w:p>
      <w:pPr>
        <w:spacing w:line="590" w:lineRule="exact"/>
        <w:ind w:firstLine="643"/>
        <w:textAlignment w:val="baseline"/>
        <w:rPr>
          <w:rFonts w:ascii="Times New Roman" w:hAnsi="Times New Roman" w:cs="Times New Roman"/>
          <w:sz w:val="20"/>
          <w:szCs w:val="32"/>
        </w:rPr>
      </w:pPr>
      <w:r>
        <w:rPr>
          <w:rFonts w:hint="eastAsia" w:ascii="Times New Roman" w:hAnsi="Times New Roman" w:cs="Times New Roman"/>
          <w:b/>
          <w:szCs w:val="32"/>
        </w:rPr>
        <w:t>促进房地产市场平稳健康发展。</w:t>
      </w:r>
      <w:r>
        <w:rPr>
          <w:rFonts w:hint="eastAsia" w:ascii="Times New Roman" w:hAnsi="Times New Roman" w:cs="Times New Roman"/>
          <w:szCs w:val="32"/>
        </w:rPr>
        <w:t>坚持“房子是用来住的、不是用来炒”的定位，结合城市更新行动，完善多主体供给、多渠道保障、租购并举的住房制度，</w:t>
      </w:r>
      <w:r>
        <w:rPr>
          <w:rFonts w:ascii="Times New Roman" w:hAnsi="Times New Roman" w:cs="Times New Roman"/>
          <w:szCs w:val="32"/>
        </w:rPr>
        <w:t>优先保障高品质规划建设安置房</w:t>
      </w:r>
      <w:r>
        <w:rPr>
          <w:rFonts w:hint="eastAsia" w:ascii="Times New Roman" w:hAnsi="Times New Roman" w:cs="Times New Roman"/>
          <w:szCs w:val="32"/>
        </w:rPr>
        <w:t>。积极落实房地产市场的调控政策，合理引导住房消费需求和消费模式，规范房地产市场秩序，改善居民居住条件，满足多元化市场需求。提高土地产出率和综合利用效益，拉动经济总量和财政税收迅速提高，改善城区环境，增强经济实力。</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着力加快老旧小区改造。</w:t>
      </w:r>
      <w:r>
        <w:rPr>
          <w:rFonts w:ascii="Times New Roman" w:hAnsi="Times New Roman" w:cs="Times New Roman"/>
          <w:szCs w:val="32"/>
        </w:rPr>
        <w:t>按照“因地制宜、规范有序、管理长效”的原则，合理确定改造内容，科学编制改造规划和年度改造计划，按照“地上一张图，地下一张网”，有序组织实施老旧小区改造，到“十四五”末，</w:t>
      </w:r>
      <w:r>
        <w:rPr>
          <w:rFonts w:hint="eastAsia" w:ascii="Times New Roman" w:hAnsi="Times New Roman" w:cs="Times New Roman"/>
          <w:szCs w:val="32"/>
        </w:rPr>
        <w:t>基本完成</w:t>
      </w:r>
      <w:r>
        <w:rPr>
          <w:rFonts w:ascii="Times New Roman" w:hAnsi="Times New Roman" w:cs="Times New Roman"/>
          <w:szCs w:val="32"/>
        </w:rPr>
        <w:t>2000年前建成的符合改造</w:t>
      </w:r>
      <w:r>
        <w:rPr>
          <w:rFonts w:hint="eastAsia" w:ascii="Times New Roman" w:hAnsi="Times New Roman" w:cs="Times New Roman"/>
          <w:szCs w:val="32"/>
        </w:rPr>
        <w:t>条件</w:t>
      </w:r>
      <w:r>
        <w:rPr>
          <w:rFonts w:ascii="Times New Roman" w:hAnsi="Times New Roman" w:cs="Times New Roman"/>
          <w:szCs w:val="32"/>
        </w:rPr>
        <w:t>的老旧小区改造任务。坚持高标准规划、高品质建设、高效率推进，着力推进老旧小区基础设施、环境面貌、小区品质根本性改善，建设宜居整洁、安全绿色、设施完善、服务便民、和谐共享的“美好住区”。坚持综合提升，统筹实施好以拆违拆临、安防、环卫、消防、道路、照明、绿化、水电气暖、光纤、建筑物修缮、管线规整等为重点的基础类改造，以完善社区和物业用房、建筑节能改造、加装电梯、停车场、文化、体育健身、无障碍设施等为重点的完善类改造，以社区养老、托幼、医疗、家政、商业设施以及智慧社区为重点的提升类改造。不断健全统筹协调、资金投入、居民参与、项目推进、长效管理等机制，完善配套政策，确保改造工作顺利进行。建立党委领导、政府组织、业主参与、企业服务的居住社区治理机制，推动城市管理进社区，提高物业管理覆盖率。开展美好环境与幸福生活共同缔造活动，发挥居民主体作用，共建共治共享美好家园。</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优化基础设施建设。</w:t>
      </w:r>
      <w:r>
        <w:rPr>
          <w:rFonts w:ascii="Times New Roman" w:hAnsi="Times New Roman" w:cs="Times New Roman"/>
          <w:szCs w:val="32"/>
        </w:rPr>
        <w:t>加快交通设施建设，全力保障郑济高铁、穿黄桥隧和轨道交通等重大项目建设。完善城市路网布局，新建一批规划路、打通一批断头路、提升一批干支路，构建轨道交通、跨河桥隧、骨干路网支撑的综合交通体系。完善公共服务配套设施，大力加强5G基站、充电桩、充电站、公共停车场等配套服务设施建设，积极配合推进长途汽车站、殡仪馆的搬迁工作。加强城市供水、污水、雨水、燃气、供热、通信等各类地下管网建设，提升综合承载能力。系统布局新型基础设施，加快第五代移动通信、工业互联网等建设</w:t>
      </w:r>
      <w:r>
        <w:rPr>
          <w:rFonts w:hint="eastAsia" w:ascii="Times New Roman" w:hAnsi="Times New Roman" w:cs="Times New Roman"/>
          <w:szCs w:val="32"/>
        </w:rPr>
        <w:t>，</w:t>
      </w:r>
      <w:r>
        <w:rPr>
          <w:rFonts w:ascii="Times New Roman" w:hAnsi="Times New Roman" w:cs="Times New Roman"/>
          <w:szCs w:val="32"/>
        </w:rPr>
        <w:t>人防建设深入开展。</w:t>
      </w:r>
    </w:p>
    <w:p>
      <w:pPr>
        <w:pStyle w:val="7"/>
        <w:snapToGrid w:val="0"/>
        <w:spacing w:before="156" w:after="156" w:line="400" w:lineRule="exact"/>
        <w:ind w:firstLine="0" w:firstLineChars="0"/>
        <w:jc w:val="center"/>
        <w:textAlignment w:val="baseline"/>
        <w:rPr>
          <w:rFonts w:ascii="Times New Roman" w:hAnsi="Times New Roman" w:eastAsia="楷体_GB2312" w:cs="Times New Roman"/>
          <w:sz w:val="30"/>
          <w:szCs w:val="30"/>
        </w:rPr>
      </w:pPr>
      <w:r>
        <w:rPr>
          <w:rFonts w:ascii="Times New Roman" w:hAnsi="Times New Roman" w:eastAsia="楷体_GB2312" w:cs="Times New Roman"/>
          <w:sz w:val="30"/>
          <w:szCs w:val="30"/>
        </w:rPr>
        <w:t xml:space="preserve">专栏4 </w:t>
      </w:r>
      <w:r>
        <w:rPr>
          <w:rFonts w:hint="eastAsia" w:ascii="Times New Roman" w:hAnsi="Times New Roman" w:eastAsia="楷体_GB2312" w:cs="Times New Roman"/>
          <w:sz w:val="30"/>
          <w:szCs w:val="30"/>
        </w:rPr>
        <w:t xml:space="preserve"> </w:t>
      </w:r>
      <w:r>
        <w:rPr>
          <w:rFonts w:ascii="Times New Roman" w:hAnsi="Times New Roman" w:eastAsia="楷体_GB2312" w:cs="Times New Roman"/>
          <w:sz w:val="30"/>
          <w:szCs w:val="30"/>
        </w:rPr>
        <w:t>“十四五”基础设施建设项目</w:t>
      </w:r>
    </w:p>
    <w:tbl>
      <w:tblPr>
        <w:tblStyle w:val="17"/>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noWrap/>
          </w:tcPr>
          <w:p>
            <w:pPr>
              <w:pStyle w:val="7"/>
              <w:snapToGrid w:val="0"/>
              <w:spacing w:after="0" w:line="500" w:lineRule="exact"/>
              <w:ind w:firstLine="600"/>
              <w:textAlignment w:val="baseline"/>
              <w:rPr>
                <w:rFonts w:ascii="Times New Roman" w:hAnsi="Times New Roman" w:eastAsia="楷体_GB2312" w:cs="Times New Roman"/>
                <w:sz w:val="28"/>
                <w:szCs w:val="28"/>
              </w:rPr>
            </w:pPr>
            <w:r>
              <w:rPr>
                <w:rFonts w:hint="eastAsia" w:ascii="Times New Roman" w:hAnsi="Times New Roman" w:cs="Times New Roman"/>
                <w:sz w:val="30"/>
                <w:szCs w:val="30"/>
              </w:rPr>
              <w:t>美里路东延道路建设工程、二环北路（无影山北路至历山北路）道路改造工程、新沙路（西沙社区至清雅居）道路建设工程、北湖片区配套市政道路工程、黄岗路穿黄隧道工程、济泺路穿黄隧道工程、天桥区农村生活污水治理工程、黄岗快速公交系统立体停车场项目、济南市引黄灌区农业节水工程（天桥区部分）、鸿兴路南延长线道路工程、药山西片区市政道路建设工程、天桥区美虹线美洛线高压线路迁改工程、药山西片区市政道路工程（万科地块）、天桥区排水管网提质增效和河道防洪能力提升工程、天桥区排水管线功能改造修复工程、工商河水生态综合改造工程</w:t>
            </w:r>
          </w:p>
        </w:tc>
      </w:tr>
    </w:tbl>
    <w:p>
      <w:pPr>
        <w:pStyle w:val="3"/>
        <w:spacing w:before="120" w:after="120"/>
        <w:textAlignment w:val="baseline"/>
        <w:rPr>
          <w:rFonts w:ascii="Times New Roman" w:hAnsi="Times New Roman" w:cs="Times New Roman"/>
          <w:color w:val="000000"/>
        </w:rPr>
      </w:pPr>
      <w:bookmarkStart w:id="17" w:name="_Toc75764635"/>
      <w:r>
        <w:rPr>
          <w:rFonts w:ascii="Times New Roman" w:hAnsi="Times New Roman" w:cs="Times New Roman"/>
          <w:color w:val="000000"/>
        </w:rPr>
        <w:t>第二节</w:t>
      </w:r>
      <w:r>
        <w:rPr>
          <w:rFonts w:hint="eastAsia" w:ascii="Times New Roman" w:hAnsi="Times New Roman" w:cs="Times New Roman"/>
          <w:color w:val="000000"/>
        </w:rPr>
        <w:t xml:space="preserve"> </w:t>
      </w:r>
      <w:r>
        <w:rPr>
          <w:rFonts w:ascii="Times New Roman" w:hAnsi="Times New Roman" w:cs="Times New Roman"/>
        </w:rPr>
        <w:t>提升城市管理水平</w:t>
      </w:r>
      <w:bookmarkEnd w:id="17"/>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围绕打造现代化中心城区，以绣花功夫持续提升城市管理科学性和精准度，优化城市生活环境、强化城市绿化建设、擦亮天桥城市窗口。</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推进城市管理精细化。</w:t>
      </w:r>
      <w:r>
        <w:rPr>
          <w:rFonts w:ascii="Times New Roman" w:hAnsi="Times New Roman" w:cs="Times New Roman"/>
          <w:szCs w:val="32"/>
        </w:rPr>
        <w:t>着力加强体制机制保障，推动城市管理向城市治理转变，构建权责明晰、服务为先、管理优化、执法规范、安全有序的城市精细化管理体系。注重标准先行，完善城市街巷、道路交通、河道管理、园林绿化、市容环卫、城管执法等领域精细化管理标准规范。</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加强城市管理智慧化。</w:t>
      </w:r>
      <w:r>
        <w:rPr>
          <w:rFonts w:ascii="Times New Roman" w:hAnsi="Times New Roman" w:cs="Times New Roman"/>
          <w:szCs w:val="32"/>
        </w:rPr>
        <w:t>精雕细琢，对照创城“国家检验标准”，用好智慧化移动执法终端和数字化城管“信息技术平台”，利用党建引领网格化治理“有效创新举措”，提升城市管理科学性和精准度，实现城市管理效能进步。</w:t>
      </w:r>
    </w:p>
    <w:p>
      <w:pPr>
        <w:spacing w:line="590" w:lineRule="exact"/>
        <w:ind w:firstLine="643"/>
        <w:textAlignment w:val="baseline"/>
        <w:rPr>
          <w:rFonts w:ascii="Times New Roman" w:hAnsi="Times New Roman" w:cs="Times New Roman"/>
          <w:szCs w:val="32"/>
        </w:rPr>
      </w:pPr>
      <w:r>
        <w:rPr>
          <w:rFonts w:ascii="Times New Roman" w:hAnsi="Times New Roman" w:cs="Times New Roman"/>
          <w:b/>
          <w:szCs w:val="32"/>
        </w:rPr>
        <w:t>优化城市市容环境。</w:t>
      </w:r>
      <w:r>
        <w:rPr>
          <w:rFonts w:ascii="Times New Roman" w:hAnsi="Times New Roman" w:cs="Times New Roman"/>
          <w:szCs w:val="32"/>
        </w:rPr>
        <w:t>加大环卫保洁力度，提升道路机械化作业能力。做好城市环境基础设施规划</w:t>
      </w:r>
      <w:r>
        <w:rPr>
          <w:rFonts w:hint="eastAsia" w:ascii="Times New Roman" w:hAnsi="Times New Roman" w:cs="Times New Roman"/>
          <w:szCs w:val="32"/>
        </w:rPr>
        <w:t>，</w:t>
      </w:r>
      <w:r>
        <w:rPr>
          <w:rFonts w:ascii="Times New Roman" w:hAnsi="Times New Roman" w:cs="Times New Roman"/>
          <w:szCs w:val="32"/>
        </w:rPr>
        <w:t>加强市容景观专业设计，做好城市家具、户外广告、牌匾标识设计，统筹设施布局。持续推进公厕升级改造工程</w:t>
      </w:r>
      <w:r>
        <w:rPr>
          <w:rFonts w:hint="eastAsia" w:ascii="Times New Roman" w:hAnsi="Times New Roman" w:cs="Times New Roman"/>
          <w:szCs w:val="32"/>
        </w:rPr>
        <w:t>，</w:t>
      </w:r>
      <w:r>
        <w:rPr>
          <w:rFonts w:ascii="Times New Roman" w:hAnsi="Times New Roman" w:cs="Times New Roman"/>
          <w:szCs w:val="32"/>
        </w:rPr>
        <w:t>推进垃圾分类处置，实现垃圾全分类、资源全回收、原生垃圾基本零填埋，建设“无废城区”。坚持综合施策，加强系统治理、依法治理、综合治理、源头治理，努力使违建、占道经营、露天烧烤等难题顽症得到根本治理。</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提高城区绿化水平。</w:t>
      </w:r>
      <w:r>
        <w:rPr>
          <w:rFonts w:ascii="Times New Roman" w:hAnsi="Times New Roman" w:cs="Times New Roman"/>
          <w:szCs w:val="32"/>
        </w:rPr>
        <w:t>强化城市园林绿化专业化建设，</w:t>
      </w:r>
      <w:r>
        <w:rPr>
          <w:rFonts w:hint="eastAsia" w:ascii="Times New Roman" w:hAnsi="Times New Roman" w:cs="Times New Roman"/>
          <w:szCs w:val="32"/>
        </w:rPr>
        <w:t>提高</w:t>
      </w:r>
      <w:r>
        <w:rPr>
          <w:rFonts w:ascii="Times New Roman" w:hAnsi="Times New Roman" w:cs="Times New Roman"/>
          <w:szCs w:val="32"/>
        </w:rPr>
        <w:t>城市绿色空间、公园绿道、群众休闲绿地、背街小巷等区域绿化规划设计、建设和管护水平。深入推进背街小巷环境精细化整治，着力打造精品宜居街巷。</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靓化天桥城市窗口。</w:t>
      </w:r>
      <w:r>
        <w:rPr>
          <w:rFonts w:ascii="Times New Roman" w:hAnsi="Times New Roman" w:cs="Times New Roman"/>
          <w:szCs w:val="32"/>
        </w:rPr>
        <w:t>大力实施窗口部位环境综合整治，高标准实施济南火车站南广场综合改造，积极推进济南火车站与北广场互联互通，擦亮主要站点、城市出入口、</w:t>
      </w:r>
      <w:r>
        <w:rPr>
          <w:rFonts w:hint="eastAsia" w:ascii="Times New Roman" w:hAnsi="Times New Roman" w:cs="Times New Roman"/>
          <w:szCs w:val="32"/>
        </w:rPr>
        <w:t>主要干道</w:t>
      </w:r>
      <w:r>
        <w:rPr>
          <w:rFonts w:ascii="Times New Roman" w:hAnsi="Times New Roman" w:cs="Times New Roman"/>
          <w:szCs w:val="32"/>
        </w:rPr>
        <w:t>沿线、景点周边等城市“窗口”。</w:t>
      </w:r>
    </w:p>
    <w:p>
      <w:pPr>
        <w:pStyle w:val="3"/>
        <w:spacing w:before="120" w:after="120"/>
        <w:textAlignment w:val="baseline"/>
        <w:rPr>
          <w:rFonts w:ascii="Times New Roman" w:hAnsi="Times New Roman" w:cs="Times New Roman"/>
          <w:color w:val="000000"/>
        </w:rPr>
      </w:pPr>
      <w:bookmarkStart w:id="18" w:name="_Toc75764636"/>
      <w:r>
        <w:rPr>
          <w:rFonts w:ascii="Times New Roman" w:hAnsi="Times New Roman" w:cs="Times New Roman"/>
          <w:color w:val="000000"/>
        </w:rPr>
        <w:t>第三节</w:t>
      </w:r>
      <w:r>
        <w:rPr>
          <w:rFonts w:hint="eastAsia" w:ascii="Times New Roman" w:hAnsi="Times New Roman" w:cs="Times New Roman"/>
          <w:color w:val="000000"/>
        </w:rPr>
        <w:t xml:space="preserve"> </w:t>
      </w:r>
      <w:r>
        <w:rPr>
          <w:rFonts w:ascii="Times New Roman" w:hAnsi="Times New Roman" w:cs="Times New Roman"/>
          <w:color w:val="000000"/>
        </w:rPr>
        <w:t>加强城乡融合发展</w:t>
      </w:r>
      <w:bookmarkEnd w:id="18"/>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把城乡融合一体化发展作为优先发展农业农村、实施乡村振兴战略的抓手，加快城市化进程，实施乡村建设行动，强化以工补农、以城带乡，推进农业农村现代化。</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推进城市化进程。</w:t>
      </w:r>
      <w:r>
        <w:rPr>
          <w:rFonts w:ascii="Times New Roman" w:hAnsi="Times New Roman" w:cs="Times New Roman"/>
          <w:szCs w:val="32"/>
        </w:rPr>
        <w:t>坚持桑梓组团一体规划，树牢区域协调、产城融合发展理念，对接融入济南新旧动能转换起步区规划，统筹安排生产、生活、生态空间，形成济南新材料产业园区、桑梓店街道驻地片区、现代都市农业区、北展区、北郊林场“五大板块”深度融合、特色凸显、优势互补的一体</w:t>
      </w:r>
      <w:r>
        <w:rPr>
          <w:rFonts w:hint="eastAsia" w:ascii="Times New Roman" w:hAnsi="Times New Roman" w:cs="Times New Roman"/>
          <w:szCs w:val="32"/>
        </w:rPr>
        <w:t>化</w:t>
      </w:r>
      <w:r>
        <w:rPr>
          <w:rFonts w:ascii="Times New Roman" w:hAnsi="Times New Roman" w:cs="Times New Roman"/>
          <w:szCs w:val="32"/>
        </w:rPr>
        <w:t>发展格局。统筹推进村庄规划建设，增强空间合理性、风貌整体性、文脉延续性，着力形成适度集聚、生产便捷、生活舒适的产城融合空间格局。深入推进农村清洁取暖、厕所革命、生活垃圾处理和污水治理，健全农村人居环境整治长效机制。加强基础配套，按照城市标准规划建设水、电、气、暖、通讯、路网等基础配套和公共服务设施，积极推进金融、物流、信息、污水处理等生产服务设施建设，加快推进教育、医疗、文化、体育、保障性住房等生活服务设施建设，加快城市化进程。</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促进农民持续较快增收。</w:t>
      </w:r>
      <w:r>
        <w:rPr>
          <w:rFonts w:ascii="Times New Roman" w:hAnsi="Times New Roman" w:cs="Times New Roman"/>
          <w:szCs w:val="32"/>
        </w:rPr>
        <w:t>拓宽新渠道、挖掘新潜力、培育新动能，促进农民持续较快增收。强化就业创业扶持，加强新型职业农民培育，紧密对接济南新材料产业园区用工需求，引导就地就近就业，拓宽农民增收渠道。深化农村改革，健全城乡融合发展体制机制，促进城乡要素平等交换、双向流动，增强农业农村发展活力。保障进城落户农民土地承包权、宅基地使用权、集体收益分配权，鼓励依法自愿有偿转让。创新集体经济有效组织形式和运行机制，推动资源变资产、资金变股金、农民变股东。巩固拓展脱贫攻坚成果同乡村振兴有效衔接，严格落实“四个不摘”要求，建立“长短结合、标本兼治”的体制机制，确保低收入群体不返贫、稳增收。实施高素质农民培育工程，鼓励大学生、退役军人、外出农民工、退休公职人员返乡就业创业，推动乡村人才振兴。</w:t>
      </w:r>
      <w:r>
        <w:rPr>
          <w:rFonts w:hint="eastAsia" w:ascii="Times New Roman" w:hAnsi="Times New Roman" w:cs="Times New Roman"/>
          <w:szCs w:val="32"/>
        </w:rPr>
        <w:t>加强以党支部为核心的村级组织配套建设，增强农村基层党组织的组织力、凝聚力、战斗力</w:t>
      </w:r>
      <w:r>
        <w:rPr>
          <w:rFonts w:ascii="Times New Roman" w:hAnsi="Times New Roman" w:cs="Times New Roman"/>
          <w:szCs w:val="32"/>
        </w:rPr>
        <w:t>。做好东西部协作和对口支援工作。</w:t>
      </w:r>
    </w:p>
    <w:p>
      <w:pPr>
        <w:pStyle w:val="3"/>
        <w:spacing w:before="120" w:after="120"/>
        <w:textAlignment w:val="baseline"/>
        <w:rPr>
          <w:rFonts w:ascii="Times New Roman" w:hAnsi="Times New Roman" w:cs="Times New Roman"/>
          <w:b/>
          <w:bCs w:val="0"/>
          <w:color w:val="000000"/>
          <w:lang w:val="en-GB"/>
        </w:rPr>
      </w:pPr>
      <w:bookmarkStart w:id="19" w:name="_Toc75764637"/>
      <w:r>
        <w:rPr>
          <w:rFonts w:ascii="Times New Roman" w:hAnsi="Times New Roman" w:cs="Times New Roman"/>
          <w:color w:val="000000"/>
        </w:rPr>
        <w:t>第四节</w:t>
      </w:r>
      <w:r>
        <w:rPr>
          <w:rFonts w:hint="eastAsia" w:ascii="Times New Roman" w:hAnsi="Times New Roman" w:cs="Times New Roman"/>
          <w:color w:val="000000"/>
        </w:rPr>
        <w:t xml:space="preserve"> </w:t>
      </w:r>
      <w:r>
        <w:rPr>
          <w:rFonts w:ascii="Times New Roman" w:hAnsi="Times New Roman" w:cs="Times New Roman"/>
          <w:color w:val="000000"/>
        </w:rPr>
        <w:t>构筑生态文明体系</w:t>
      </w:r>
      <w:bookmarkEnd w:id="19"/>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坚持</w:t>
      </w:r>
      <w:r>
        <w:rPr>
          <w:rFonts w:hint="eastAsia" w:ascii="Times New Roman" w:hAnsi="Times New Roman" w:cs="Times New Roman"/>
          <w:szCs w:val="32"/>
        </w:rPr>
        <w:t>“</w:t>
      </w:r>
      <w:r>
        <w:rPr>
          <w:rFonts w:ascii="Times New Roman" w:hAnsi="Times New Roman" w:cs="Times New Roman"/>
          <w:szCs w:val="32"/>
        </w:rPr>
        <w:t>绿水青山就是金山银山</w:t>
      </w:r>
      <w:r>
        <w:rPr>
          <w:rFonts w:hint="eastAsia" w:ascii="Times New Roman" w:hAnsi="Times New Roman" w:cs="Times New Roman"/>
          <w:szCs w:val="32"/>
        </w:rPr>
        <w:t>”</w:t>
      </w:r>
      <w:r>
        <w:rPr>
          <w:rFonts w:ascii="Times New Roman" w:hAnsi="Times New Roman" w:cs="Times New Roman"/>
          <w:szCs w:val="32"/>
        </w:rPr>
        <w:t>理念，构建生态文明体系，促进经济社会发展全面绿色转型，加快建设人与自然和谐共生的美丽天桥。</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严格国土空间管控。</w:t>
      </w:r>
      <w:r>
        <w:rPr>
          <w:rFonts w:ascii="Times New Roman" w:hAnsi="Times New Roman" w:cs="Times New Roman"/>
          <w:szCs w:val="32"/>
        </w:rPr>
        <w:t>落实好区域国土空间规划，严守生态保护红线、永久基本农田和开发边界三条控制线。统筹山水林田湖草系统治理，提升生态系统质量和稳定性。落实生态保护红线、环境质量底线、资源利用上线，制定生态环境准入清单，实施生态环境分区管控制度体系，守住自然生态安全边界。</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持续改善环境质量。</w:t>
      </w:r>
      <w:r>
        <w:rPr>
          <w:rFonts w:ascii="Times New Roman" w:hAnsi="Times New Roman" w:cs="Times New Roman"/>
          <w:szCs w:val="32"/>
        </w:rPr>
        <w:t>实施精准科学依法治污，纵深推进蓝天、碧水、净土保卫战。加强大气污染防治协同治理和联防联控，科学实施细颗粒物和臭氧协同控制，</w:t>
      </w:r>
      <w:r>
        <w:rPr>
          <w:rFonts w:hint="eastAsia" w:ascii="Times New Roman" w:hAnsi="Times New Roman" w:cs="Times New Roman"/>
          <w:szCs w:val="32"/>
        </w:rPr>
        <w:t>减少</w:t>
      </w:r>
      <w:r>
        <w:rPr>
          <w:rFonts w:ascii="Times New Roman" w:hAnsi="Times New Roman" w:cs="Times New Roman"/>
          <w:szCs w:val="32"/>
        </w:rPr>
        <w:t>重污染天气天数。强化河湖长制，统筹水资源、水环境、水生态，深入开展河道综合治理，积极推进污染减排，打造美丽河湖。深入推进雨污分流改造，全面消除城市黑臭水体，全力实现“水清、岸绿、河畅、景美”。全面实施节水、减肥、控药一体推进、综合治理工程，推进化肥农药减量化和土壤改良修复，有效控制农业面源污染。加强危险废物、医疗废物收集处理。全面实行排污许可制，大力整治“散乱污”企业。加强白色污染、公路污染治理，重视新污染物治理。加强环境保护、节能减排约束性指标管理。健全自然资源和生态环境损害责任追究机制，加强督察和综合执法。完善生态环境公益诉讼制度。</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推动绿色低碳循环发展。</w:t>
      </w:r>
      <w:r>
        <w:rPr>
          <w:rFonts w:ascii="Times New Roman" w:hAnsi="Times New Roman" w:cs="Times New Roman"/>
          <w:szCs w:val="32"/>
        </w:rPr>
        <w:t>坚持用“绿色系数”评价发展成果，强化源头管控，严格落实“四减四增”，推动清洁生产，推进重点行业和领域绿色化改造，建设绿色低碳循环的工业体系，建立健全生态型经济体系。</w:t>
      </w:r>
      <w:r>
        <w:rPr>
          <w:rFonts w:hint="eastAsia" w:ascii="Times New Roman" w:hAnsi="Times New Roman" w:cs="Times New Roman"/>
          <w:szCs w:val="32"/>
        </w:rPr>
        <w:t>落实</w:t>
      </w:r>
      <w:r>
        <w:rPr>
          <w:rFonts w:ascii="Times New Roman" w:hAnsi="Times New Roman" w:cs="Times New Roman"/>
          <w:szCs w:val="32"/>
        </w:rPr>
        <w:t>高耗能行业差别化政策，推进清洁能源倍增行动，减少煤炭消费，推动能源生产和消费革命。开展绿色生活创建活动，倡导简约适度、绿色低碳的生活方式。</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全面提高资源利用效率。</w:t>
      </w:r>
      <w:r>
        <w:rPr>
          <w:rFonts w:ascii="Times New Roman" w:hAnsi="Times New Roman" w:cs="Times New Roman"/>
          <w:szCs w:val="32"/>
        </w:rPr>
        <w:t>完善资源节约集约循环利用政策体系，提升重点行业、重点产品资源产出率和能效水平，推进资源总量管理、科学配置、全面节约、循环利用。深化自然资源资产产权制度改革，</w:t>
      </w:r>
      <w:r>
        <w:rPr>
          <w:rFonts w:hint="eastAsia" w:ascii="Times New Roman" w:hAnsi="Times New Roman" w:cs="Times New Roman"/>
          <w:szCs w:val="32"/>
        </w:rPr>
        <w:t>落实</w:t>
      </w:r>
      <w:r>
        <w:rPr>
          <w:rFonts w:ascii="Times New Roman" w:hAnsi="Times New Roman" w:cs="Times New Roman"/>
          <w:szCs w:val="32"/>
        </w:rPr>
        <w:t>自然资源统一调查监</w:t>
      </w:r>
      <w:r>
        <w:rPr>
          <w:rFonts w:hint="eastAsia" w:ascii="Times New Roman" w:hAnsi="Times New Roman" w:cs="Times New Roman"/>
          <w:szCs w:val="32"/>
        </w:rPr>
        <w:t>测</w:t>
      </w:r>
      <w:r>
        <w:rPr>
          <w:rFonts w:ascii="Times New Roman" w:hAnsi="Times New Roman" w:cs="Times New Roman"/>
          <w:szCs w:val="32"/>
        </w:rPr>
        <w:t>评价制度，基本完成重点区域内自然资源统一确权登记。强化新增建设用地指标调控，加快盘活闲置低效土地。推行工业用地“亩产效益”评价，推动不同产业用地类型合理转换。推进固体废物源头减量和资源化利用，加快构建废旧物资循环利用体系。加强能耗总量和强度“双控”，开展重点用能单位节能降耗行动，坚决淘汰落后产能，严禁新上“两高一低”工业项目。落实国家节水行动，严格用水总量控制和定额管理，</w:t>
      </w:r>
      <w:r>
        <w:rPr>
          <w:rFonts w:hint="eastAsia" w:hAnsi="仿宋_GB2312" w:cs="仿宋_GB2312"/>
          <w:szCs w:val="32"/>
        </w:rPr>
        <w:t>推广节水技术应用，加强水资源节约集约利用，提升再生水利用水平，持续推进海绵城市建设。</w:t>
      </w:r>
    </w:p>
    <w:p>
      <w:pPr>
        <w:pStyle w:val="2"/>
        <w:numPr>
          <w:ilvl w:val="0"/>
          <w:numId w:val="1"/>
        </w:numPr>
        <w:spacing w:before="156" w:after="156" w:line="620" w:lineRule="exact"/>
        <w:ind w:left="1474" w:hanging="1117"/>
        <w:textAlignment w:val="baseline"/>
        <w:rPr>
          <w:rFonts w:ascii="Times New Roman" w:hAnsi="Times New Roman" w:cs="Times New Roman"/>
          <w:color w:val="000000"/>
        </w:rPr>
      </w:pPr>
      <w:bookmarkStart w:id="20" w:name="_Toc75764638"/>
      <w:r>
        <w:rPr>
          <w:rFonts w:ascii="Times New Roman" w:hAnsi="Times New Roman" w:cs="Times New Roman"/>
          <w:color w:val="000000"/>
        </w:rPr>
        <w:t>建成改革开放高地</w:t>
      </w:r>
      <w:bookmarkEnd w:id="20"/>
    </w:p>
    <w:p>
      <w:pPr>
        <w:spacing w:line="590" w:lineRule="exact"/>
        <w:ind w:firstLine="640"/>
        <w:textAlignment w:val="baseline"/>
        <w:rPr>
          <w:rFonts w:ascii="Times New Roman" w:hAnsi="Times New Roman" w:cs="Times New Roman"/>
          <w:color w:val="000000"/>
          <w:sz w:val="20"/>
          <w:szCs w:val="32"/>
        </w:rPr>
      </w:pPr>
      <w:r>
        <w:rPr>
          <w:rFonts w:ascii="Times New Roman" w:hAnsi="Times New Roman" w:cs="Times New Roman"/>
          <w:color w:val="000000"/>
          <w:szCs w:val="32"/>
        </w:rPr>
        <w:t>积极融入以国内大循环为主体、国内国际双循环相互促进的新发展格局，聚焦重点领域和关键环节改革，服务新一轮对外开放战略，支持“强省会”战略协同实施，全面塑造国际化营商环境，打造省会具有重要影响力的改革开放新高地。</w:t>
      </w:r>
    </w:p>
    <w:p>
      <w:pPr>
        <w:pStyle w:val="3"/>
        <w:textAlignment w:val="baseline"/>
      </w:pPr>
      <w:bookmarkStart w:id="21" w:name="_Toc75764639"/>
      <w:r>
        <w:rPr>
          <w:rFonts w:hint="eastAsia"/>
        </w:rPr>
        <w:t xml:space="preserve">第一节 </w:t>
      </w:r>
      <w:r>
        <w:t>积极融入新发展格局</w:t>
      </w:r>
      <w:bookmarkEnd w:id="21"/>
    </w:p>
    <w:p>
      <w:pPr>
        <w:ind w:firstLine="640"/>
        <w:textAlignment w:val="baseline"/>
        <w:rPr>
          <w:rFonts w:ascii="Times New Roman" w:hAnsi="Times New Roman" w:cs="Times New Roman"/>
          <w:sz w:val="20"/>
        </w:rPr>
      </w:pPr>
      <w:r>
        <w:rPr>
          <w:rFonts w:ascii="Times New Roman" w:hAnsi="Times New Roman" w:cs="Times New Roman"/>
        </w:rPr>
        <w:t>把实施扩大内需战略同深化供给侧结构性改革有机结合起来，以创新驱动、高质量供给引领和创造新需求，促进消费与投资协调互动、供给与需求动态平衡、国内市场与国际市场相互贯通。</w:t>
      </w:r>
    </w:p>
    <w:p>
      <w:pPr>
        <w:ind w:firstLine="643"/>
        <w:textAlignment w:val="baseline"/>
        <w:rPr>
          <w:rFonts w:ascii="Times New Roman" w:hAnsi="Times New Roman" w:cs="Times New Roman"/>
          <w:sz w:val="20"/>
        </w:rPr>
      </w:pPr>
      <w:r>
        <w:rPr>
          <w:rFonts w:ascii="Times New Roman" w:hAnsi="Times New Roman" w:cs="Times New Roman"/>
          <w:b/>
          <w:szCs w:val="32"/>
        </w:rPr>
        <w:t>加强双循环驱动。</w:t>
      </w:r>
      <w:r>
        <w:rPr>
          <w:rFonts w:ascii="Times New Roman" w:hAnsi="Times New Roman" w:cs="Times New Roman"/>
        </w:rPr>
        <w:t>推动消费扩容提质，提升传统消费，培育新型消费，适当增加公共消费，促进消费向绿色、健康、安全发展；推动线上线下消费有机融合、双向提速，鼓励发展新业态新模式。扩大精准有效投资，优化投资结构，集中实施一批强基础、管长远、蓄后劲的重大项目，保持投资适度较快增长。加快构建全链条现代流通体系，促进生产、分配、流通、消费各环节有效衔接，降低各类交易成本</w:t>
      </w:r>
      <w:r>
        <w:rPr>
          <w:rFonts w:hint="eastAsia" w:ascii="Times New Roman" w:hAnsi="Times New Roman" w:cs="Times New Roman"/>
        </w:rPr>
        <w:t>。</w:t>
      </w:r>
      <w:r>
        <w:rPr>
          <w:rFonts w:ascii="Times New Roman" w:hAnsi="Times New Roman" w:cs="Times New Roman"/>
        </w:rPr>
        <w:t>主动融入省会经济圈一体化发展、京津雄济协同合作发展，打造对接合作平台。</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打造一流营商环境。</w:t>
      </w:r>
      <w:r>
        <w:rPr>
          <w:rFonts w:ascii="Times New Roman" w:hAnsi="Times New Roman" w:cs="Times New Roman"/>
          <w:szCs w:val="32"/>
        </w:rPr>
        <w:t>以环境最优、成本最低、效率最高、服务最好为目标，加快打造现代化、便利化、法治化、国际化一流营商环境。严格规范市场准入管理，推动“非禁即入”落实落地。深入推进“放管服”改革，深化“一网通办”“一次办好”和“就近办”“当日办”改革，强力推动审批服务流程革命性再造。加强社会信用体系建设</w:t>
      </w:r>
      <w:r>
        <w:rPr>
          <w:rFonts w:hint="eastAsia" w:ascii="Times New Roman" w:hAnsi="Times New Roman" w:cs="Times New Roman"/>
          <w:szCs w:val="32"/>
        </w:rPr>
        <w:t>，</w:t>
      </w:r>
      <w:r>
        <w:rPr>
          <w:rFonts w:ascii="Times New Roman" w:hAnsi="Times New Roman" w:cs="Times New Roman"/>
          <w:szCs w:val="32"/>
        </w:rPr>
        <w:t>完善信用制度设计</w:t>
      </w:r>
      <w:r>
        <w:rPr>
          <w:rFonts w:hint="eastAsia" w:ascii="Times New Roman" w:hAnsi="Times New Roman" w:cs="Times New Roman"/>
          <w:szCs w:val="32"/>
        </w:rPr>
        <w:t>，</w:t>
      </w:r>
      <w:r>
        <w:rPr>
          <w:rFonts w:ascii="Times New Roman" w:hAnsi="Times New Roman" w:cs="Times New Roman"/>
          <w:szCs w:val="32"/>
        </w:rPr>
        <w:t>积极推广信用应用</w:t>
      </w:r>
      <w:r>
        <w:rPr>
          <w:rFonts w:hint="eastAsia" w:ascii="Times New Roman" w:hAnsi="Times New Roman" w:cs="Times New Roman"/>
          <w:szCs w:val="32"/>
        </w:rPr>
        <w:t>，</w:t>
      </w:r>
      <w:r>
        <w:rPr>
          <w:rFonts w:ascii="Times New Roman" w:hAnsi="Times New Roman" w:cs="Times New Roman"/>
          <w:szCs w:val="32"/>
        </w:rPr>
        <w:t>构建以信用为基础的分级分类市场监管机制，加强事中事后监管，对新产业新业态实行包容审慎监管，实施“互联网+信用监管”，扩大“双随机、一公开”监管。推进政务服务标准化、规范化、便利化，深化政务公开，构建企业、市民诉求快速响应机制，不断提高政务服务效能。深化行业协会、商会和中介机构改革。</w:t>
      </w:r>
    </w:p>
    <w:p>
      <w:pPr>
        <w:pStyle w:val="3"/>
        <w:spacing w:before="120" w:after="120"/>
        <w:textAlignment w:val="baseline"/>
        <w:rPr>
          <w:rFonts w:ascii="Times New Roman" w:hAnsi="Times New Roman" w:cs="Times New Roman"/>
          <w:color w:val="000000"/>
        </w:rPr>
      </w:pPr>
      <w:bookmarkStart w:id="22" w:name="_Toc58508121"/>
      <w:bookmarkStart w:id="23" w:name="_Toc75764640"/>
      <w:r>
        <w:rPr>
          <w:rFonts w:ascii="Times New Roman" w:hAnsi="Times New Roman" w:cs="Times New Roman"/>
          <w:color w:val="000000"/>
        </w:rPr>
        <w:t>第二节</w:t>
      </w:r>
      <w:r>
        <w:rPr>
          <w:rFonts w:hint="eastAsia" w:ascii="Times New Roman" w:hAnsi="Times New Roman" w:cs="Times New Roman"/>
          <w:color w:val="000000"/>
        </w:rPr>
        <w:t xml:space="preserve"> </w:t>
      </w:r>
      <w:r>
        <w:rPr>
          <w:rFonts w:ascii="Times New Roman" w:hAnsi="Times New Roman" w:cs="Times New Roman"/>
          <w:color w:val="000000"/>
        </w:rPr>
        <w:t>全面深化改革</w:t>
      </w:r>
      <w:bookmarkEnd w:id="22"/>
      <w:r>
        <w:rPr>
          <w:rFonts w:ascii="Times New Roman" w:hAnsi="Times New Roman" w:cs="Times New Roman"/>
          <w:color w:val="000000"/>
        </w:rPr>
        <w:t>开放</w:t>
      </w:r>
      <w:bookmarkEnd w:id="23"/>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szCs w:val="32"/>
        </w:rPr>
        <w:t>大力推进各领域改革。</w:t>
      </w:r>
      <w:r>
        <w:rPr>
          <w:rFonts w:ascii="Times New Roman" w:hAnsi="Times New Roman" w:cs="Times New Roman"/>
          <w:szCs w:val="32"/>
        </w:rPr>
        <w:t>聚焦重点领域和关键环节，</w:t>
      </w:r>
      <w:r>
        <w:rPr>
          <w:rFonts w:hint="eastAsia" w:ascii="Times New Roman" w:hAnsi="Times New Roman" w:cs="Times New Roman"/>
          <w:szCs w:val="32"/>
        </w:rPr>
        <w:t>推动</w:t>
      </w:r>
      <w:r>
        <w:rPr>
          <w:rFonts w:ascii="Times New Roman" w:hAnsi="Times New Roman" w:cs="Times New Roman"/>
          <w:szCs w:val="32"/>
        </w:rPr>
        <w:t>改革系统更加集成协同高效</w:t>
      </w:r>
      <w:r>
        <w:rPr>
          <w:rFonts w:hint="eastAsia" w:ascii="Times New Roman" w:hAnsi="Times New Roman" w:cs="Times New Roman"/>
          <w:szCs w:val="32"/>
        </w:rPr>
        <w:t>、</w:t>
      </w:r>
      <w:r>
        <w:rPr>
          <w:rFonts w:ascii="Times New Roman" w:hAnsi="Times New Roman" w:cs="Times New Roman"/>
          <w:szCs w:val="32"/>
        </w:rPr>
        <w:t>各方面制度更加成熟定型。加强激发各类市场主体活力的改革，毫不动摇巩固和发展公有制经济，毫不动摇鼓励、支持、引导非公有制经济发展，深化园区体制机制改革，加强国资国企改革，做大做强天桥控股集团、天桥城发集团等平台，支持民营经济发展壮大，构建亲清政商关系。深化财税金融改革，加强财政资源统筹，构建以绩效为中心的集中财力办大事财政政策体系和资金管理机制；优化区、街财政事权与支出责任，构建财权与事权相匹配的管理机制，增强基层公共服务保障能力；深化预算管理制度改革，加快多层次资本市场建设，</w:t>
      </w:r>
      <w:r>
        <w:rPr>
          <w:rFonts w:hint="eastAsia" w:hAnsi="Times New Roman" w:cs="Courier New"/>
          <w:szCs w:val="32"/>
        </w:rPr>
        <w:t>推进财政支出规范化、强化预算约束和绩效管理，</w:t>
      </w:r>
      <w:r>
        <w:rPr>
          <w:rFonts w:ascii="Times New Roman" w:hAnsi="Times New Roman" w:cs="Times New Roman"/>
          <w:szCs w:val="32"/>
        </w:rPr>
        <w:t>完善政府资金配置多渠道投融资模式，</w:t>
      </w:r>
      <w:r>
        <w:rPr>
          <w:rFonts w:hint="eastAsia" w:hAnsi="Times New Roman" w:cs="Courier New"/>
          <w:szCs w:val="32"/>
        </w:rPr>
        <w:t>健全政府债务管理制度，全面提高预算管理水平，</w:t>
      </w:r>
      <w:r>
        <w:rPr>
          <w:rFonts w:ascii="Times New Roman" w:hAnsi="Times New Roman" w:cs="Times New Roman"/>
          <w:szCs w:val="32"/>
        </w:rPr>
        <w:t>完善现代金融监管体系。推进要素市场化配置改革，大力推进土地、劳动力、资本、技术、数据等要素自主有序流动，提高配置效率。完善高质量发展政策体系，健全科学民主依法决策机制，全面落实、积极创新稳定和扩大就业、完善产业链供应链、居民消费升级、基础设施和公共服务补短板等领域的引导性政策。</w:t>
      </w:r>
    </w:p>
    <w:p>
      <w:pPr>
        <w:ind w:firstLine="643"/>
        <w:textAlignment w:val="baseline"/>
        <w:rPr>
          <w:rFonts w:ascii="Times New Roman" w:hAnsi="Times New Roman" w:cs="Times New Roman"/>
          <w:sz w:val="20"/>
          <w:szCs w:val="32"/>
        </w:rPr>
      </w:pPr>
      <w:r>
        <w:rPr>
          <w:rFonts w:ascii="Times New Roman" w:hAnsi="Times New Roman" w:cs="Times New Roman"/>
          <w:b/>
          <w:szCs w:val="32"/>
        </w:rPr>
        <w:t>全面扩大高水平开放。</w:t>
      </w:r>
      <w:r>
        <w:rPr>
          <w:rFonts w:ascii="Times New Roman" w:hAnsi="Times New Roman" w:cs="Times New Roman"/>
          <w:szCs w:val="32"/>
        </w:rPr>
        <w:t>主动融入和服务国家开放大局，实施更大范围、更宽领域、更深层次对外开放。加大引进外资力度，大力引进全球性跨国公司、世界500强、外资行业龙头企业和国外高端人才，积极吸引跨国公司在我区设立地区总部、采购中心、结算中心、分支机构等功能性机构。建设高能级开放平台，高质量建设产业能级高、科研实力强、外资利用实、合作渠道广的现代化新型国际合作园区。提升国际经贸合作水平，全面对接国际高标准市场标准体系，不断扩大利用外资规模，优化利用外资结构。支持企业走出去，开展外贸企业培育行动，培育壮大本土外贸企业</w:t>
      </w:r>
      <w:r>
        <w:rPr>
          <w:rFonts w:hint="eastAsia" w:ascii="Times New Roman" w:hAnsi="Times New Roman" w:cs="Times New Roman"/>
          <w:szCs w:val="32"/>
        </w:rPr>
        <w:t>，</w:t>
      </w:r>
      <w:r>
        <w:rPr>
          <w:rFonts w:ascii="Times New Roman" w:hAnsi="Times New Roman" w:cs="Times New Roman"/>
          <w:szCs w:val="32"/>
        </w:rPr>
        <w:t>提升天桥开放度和影响力。</w:t>
      </w:r>
    </w:p>
    <w:p>
      <w:pPr>
        <w:pStyle w:val="2"/>
        <w:numPr>
          <w:ilvl w:val="0"/>
          <w:numId w:val="1"/>
        </w:numPr>
        <w:spacing w:before="156" w:after="156" w:line="620" w:lineRule="exact"/>
        <w:ind w:left="1474" w:hanging="1117"/>
        <w:textAlignment w:val="baseline"/>
        <w:rPr>
          <w:rFonts w:ascii="Times New Roman" w:hAnsi="Times New Roman" w:cs="Times New Roman"/>
          <w:color w:val="000000"/>
        </w:rPr>
      </w:pPr>
      <w:bookmarkStart w:id="24" w:name="_Toc75764641"/>
      <w:r>
        <w:rPr>
          <w:rFonts w:ascii="Times New Roman" w:hAnsi="Times New Roman" w:cs="Times New Roman"/>
          <w:color w:val="000000"/>
        </w:rPr>
        <w:t>建设品质幸福之区</w:t>
      </w:r>
      <w:bookmarkEnd w:id="24"/>
    </w:p>
    <w:p>
      <w:pPr>
        <w:ind w:firstLine="640"/>
        <w:textAlignment w:val="baseline"/>
        <w:rPr>
          <w:rFonts w:ascii="Times New Roman" w:hAnsi="Times New Roman" w:cs="Times New Roman"/>
          <w:sz w:val="20"/>
        </w:rPr>
      </w:pPr>
      <w:r>
        <w:rPr>
          <w:rFonts w:ascii="Times New Roman" w:hAnsi="Times New Roman" w:cs="Times New Roman"/>
        </w:rPr>
        <w:t>坚持把实现好、维护好、发展好最广大人民根本利益作为发展的出发点和落脚点，尽力而为、量力而行，健全基本公共服务体系，有效扩大多领域、多层次公共服务供给，完善共建共治共享的社会治理制度，扎实办好民生实事，使改革发展成果更多更公平惠及广大人民群众，建成品质幸福之区。</w:t>
      </w:r>
    </w:p>
    <w:p>
      <w:pPr>
        <w:pStyle w:val="3"/>
        <w:spacing w:before="120" w:after="120"/>
        <w:textAlignment w:val="baseline"/>
        <w:rPr>
          <w:rFonts w:ascii="Times New Roman" w:hAnsi="Times New Roman" w:cs="Times New Roman"/>
          <w:color w:val="000000"/>
        </w:rPr>
      </w:pPr>
      <w:bookmarkStart w:id="25" w:name="_Toc60937337"/>
      <w:bookmarkStart w:id="26" w:name="_Toc62070213"/>
      <w:bookmarkStart w:id="27" w:name="_Toc75764642"/>
      <w:r>
        <w:rPr>
          <w:rFonts w:ascii="Times New Roman" w:hAnsi="Times New Roman" w:cs="Times New Roman"/>
          <w:color w:val="000000"/>
        </w:rPr>
        <w:t>第一节</w:t>
      </w:r>
      <w:r>
        <w:rPr>
          <w:rFonts w:hint="eastAsia" w:ascii="Times New Roman" w:hAnsi="Times New Roman" w:cs="Times New Roman"/>
          <w:color w:val="000000"/>
        </w:rPr>
        <w:t xml:space="preserve"> </w:t>
      </w:r>
      <w:r>
        <w:rPr>
          <w:rFonts w:ascii="Times New Roman" w:hAnsi="Times New Roman" w:cs="Times New Roman"/>
          <w:color w:val="000000"/>
        </w:rPr>
        <w:t>打造优质教育强区</w:t>
      </w:r>
      <w:bookmarkEnd w:id="25"/>
      <w:bookmarkEnd w:id="26"/>
      <w:bookmarkEnd w:id="27"/>
    </w:p>
    <w:p>
      <w:pPr>
        <w:widowControl/>
        <w:ind w:firstLine="640"/>
        <w:textAlignment w:val="baseline"/>
        <w:rPr>
          <w:rFonts w:ascii="Times New Roman" w:hAnsi="Times New Roman" w:cs="Times New Roman"/>
          <w:color w:val="000000"/>
          <w:sz w:val="20"/>
        </w:rPr>
      </w:pPr>
      <w:r>
        <w:rPr>
          <w:rFonts w:ascii="Times New Roman" w:hAnsi="Times New Roman" w:cs="Times New Roman"/>
        </w:rPr>
        <w:t>唱响唱盛天桥教育品牌</w:t>
      </w:r>
      <w:r>
        <w:rPr>
          <w:rFonts w:hint="eastAsia" w:ascii="Times New Roman" w:hAnsi="Times New Roman" w:cs="Times New Roman"/>
        </w:rPr>
        <w:t>，</w:t>
      </w:r>
      <w:r>
        <w:rPr>
          <w:rFonts w:ascii="Times New Roman" w:hAnsi="Times New Roman" w:cs="Times New Roman"/>
        </w:rPr>
        <w:t>以“深化改革、重点突破，办现代化中心城区人民满意的优质教育”为目标，积极</w:t>
      </w:r>
      <w:r>
        <w:rPr>
          <w:rFonts w:hint="eastAsia" w:ascii="Times New Roman" w:hAnsi="Times New Roman" w:cs="Times New Roman"/>
        </w:rPr>
        <w:t>打造</w:t>
      </w:r>
      <w:r>
        <w:rPr>
          <w:rFonts w:ascii="Times New Roman" w:hAnsi="Times New Roman" w:cs="Times New Roman"/>
        </w:rPr>
        <w:t>省内一流现代化教育强区，</w:t>
      </w:r>
      <w:r>
        <w:rPr>
          <w:rFonts w:ascii="Times New Roman" w:hAnsi="Times New Roman" w:cs="Times New Roman"/>
          <w:color w:val="000000"/>
        </w:rPr>
        <w:t>建成在全市具有较高影响力的教育品牌核心区。</w:t>
      </w:r>
    </w:p>
    <w:p>
      <w:pPr>
        <w:widowControl/>
        <w:ind w:firstLine="643"/>
        <w:textAlignment w:val="baseline"/>
        <w:rPr>
          <w:rFonts w:ascii="Times New Roman" w:hAnsi="Times New Roman" w:cs="Times New Roman"/>
          <w:color w:val="000000"/>
          <w:sz w:val="20"/>
        </w:rPr>
      </w:pPr>
      <w:r>
        <w:rPr>
          <w:rFonts w:hint="eastAsia" w:ascii="Times New Roman" w:hAnsi="Times New Roman" w:cs="Times New Roman"/>
          <w:b/>
          <w:color w:val="000000"/>
        </w:rPr>
        <w:t>全面打造品牌名校。</w:t>
      </w:r>
      <w:r>
        <w:rPr>
          <w:rFonts w:ascii="Times New Roman" w:hAnsi="Times New Roman" w:cs="Times New Roman"/>
          <w:color w:val="000000"/>
        </w:rPr>
        <w:t>做大教育集团化品牌，以学区化集团化办学为引领，扩大</w:t>
      </w:r>
      <w:r>
        <w:rPr>
          <w:rFonts w:hint="eastAsia" w:ascii="Times New Roman" w:hAnsi="Times New Roman" w:cs="Times New Roman"/>
          <w:color w:val="000000"/>
        </w:rPr>
        <w:t>优</w:t>
      </w:r>
      <w:r>
        <w:rPr>
          <w:rFonts w:ascii="Times New Roman" w:hAnsi="Times New Roman" w:cs="Times New Roman"/>
          <w:color w:val="000000"/>
        </w:rPr>
        <w:t>质资源供给，精心构建</w:t>
      </w:r>
      <w:r>
        <w:rPr>
          <w:rFonts w:hint="eastAsia" w:ascii="Times New Roman" w:hAnsi="Times New Roman" w:cs="Times New Roman"/>
          <w:color w:val="000000"/>
        </w:rPr>
        <w:t>“</w:t>
      </w:r>
      <w:r>
        <w:rPr>
          <w:rFonts w:ascii="Times New Roman" w:hAnsi="Times New Roman" w:cs="Times New Roman"/>
          <w:color w:val="000000"/>
        </w:rPr>
        <w:t>均衡优质、开放融合、特色创新</w:t>
      </w:r>
      <w:r>
        <w:rPr>
          <w:rFonts w:hint="eastAsia" w:ascii="Times New Roman" w:hAnsi="Times New Roman" w:cs="Times New Roman"/>
          <w:color w:val="000000"/>
        </w:rPr>
        <w:t>”</w:t>
      </w:r>
      <w:r>
        <w:rPr>
          <w:rFonts w:ascii="Times New Roman" w:hAnsi="Times New Roman" w:cs="Times New Roman"/>
          <w:color w:val="000000"/>
        </w:rPr>
        <w:t>的新时代天桥教育品牌。深化城乡紧密型教育共同体建设，实施</w:t>
      </w:r>
      <w:r>
        <w:rPr>
          <w:rFonts w:hint="eastAsia" w:ascii="Times New Roman" w:hAnsi="Times New Roman" w:cs="Times New Roman"/>
          <w:color w:val="000000"/>
        </w:rPr>
        <w:t>“</w:t>
      </w:r>
      <w:r>
        <w:rPr>
          <w:rFonts w:ascii="Times New Roman" w:hAnsi="Times New Roman" w:cs="Times New Roman"/>
          <w:color w:val="000000"/>
        </w:rPr>
        <w:t>581</w:t>
      </w:r>
      <w:r>
        <w:rPr>
          <w:rFonts w:hint="eastAsia" w:ascii="Times New Roman" w:hAnsi="Times New Roman" w:cs="Times New Roman"/>
          <w:color w:val="000000"/>
        </w:rPr>
        <w:t>”</w:t>
      </w:r>
      <w:r>
        <w:rPr>
          <w:rFonts w:ascii="Times New Roman" w:hAnsi="Times New Roman" w:cs="Times New Roman"/>
          <w:color w:val="000000"/>
        </w:rPr>
        <w:t>名校建设工程</w:t>
      </w:r>
      <w:r>
        <w:rPr>
          <w:rFonts w:hint="eastAsia" w:ascii="Times New Roman" w:hAnsi="Times New Roman" w:cs="Times New Roman"/>
          <w:color w:val="000000"/>
        </w:rPr>
        <w:t>，</w:t>
      </w:r>
      <w:r>
        <w:rPr>
          <w:rFonts w:ascii="Times New Roman" w:hAnsi="Times New Roman" w:cs="Times New Roman"/>
          <w:color w:val="000000"/>
        </w:rPr>
        <w:t>深化</w:t>
      </w:r>
      <w:r>
        <w:rPr>
          <w:rFonts w:hint="eastAsia" w:ascii="Times New Roman" w:hAnsi="Times New Roman" w:cs="Times New Roman"/>
          <w:color w:val="000000"/>
        </w:rPr>
        <w:t>“</w:t>
      </w:r>
      <w:r>
        <w:rPr>
          <w:rFonts w:ascii="Times New Roman" w:hAnsi="Times New Roman" w:cs="Times New Roman"/>
          <w:color w:val="000000"/>
        </w:rPr>
        <w:t>一校一特</w:t>
      </w:r>
      <w:r>
        <w:rPr>
          <w:rFonts w:hint="eastAsia" w:ascii="Times New Roman" w:hAnsi="Times New Roman" w:cs="Times New Roman"/>
          <w:color w:val="000000"/>
        </w:rPr>
        <w:t>”“</w:t>
      </w:r>
      <w:r>
        <w:rPr>
          <w:rFonts w:ascii="Times New Roman" w:hAnsi="Times New Roman" w:cs="Times New Roman"/>
          <w:color w:val="000000"/>
        </w:rPr>
        <w:t>一校一品</w:t>
      </w:r>
      <w:r>
        <w:rPr>
          <w:rFonts w:hint="eastAsia" w:ascii="Times New Roman" w:hAnsi="Times New Roman" w:cs="Times New Roman"/>
          <w:color w:val="000000"/>
        </w:rPr>
        <w:t>”</w:t>
      </w:r>
      <w:r>
        <w:rPr>
          <w:rFonts w:ascii="Times New Roman" w:hAnsi="Times New Roman" w:cs="Times New Roman"/>
          <w:color w:val="000000"/>
        </w:rPr>
        <w:t>创建工程。</w:t>
      </w:r>
      <w:r>
        <w:rPr>
          <w:rFonts w:hint="eastAsia" w:ascii="Times New Roman" w:hAnsi="Times New Roman" w:cs="Times New Roman"/>
          <w:color w:val="000000"/>
        </w:rPr>
        <w:t>深化山大基础教育集团和宝华学区、济南外国语教育集团和云世界片区合作办学</w:t>
      </w:r>
      <w:r>
        <w:rPr>
          <w:rFonts w:ascii="Times New Roman" w:hAnsi="Times New Roman" w:cs="Times New Roman"/>
          <w:color w:val="000000"/>
        </w:rPr>
        <w:t>，做优新建片区教育品牌，形成区域内 1</w:t>
      </w:r>
      <w:r>
        <w:rPr>
          <w:rFonts w:hint="eastAsia" w:ascii="Times New Roman" w:hAnsi="Times New Roman" w:cs="Times New Roman"/>
          <w:color w:val="000000"/>
        </w:rPr>
        <w:t>5年</w:t>
      </w:r>
      <w:r>
        <w:rPr>
          <w:rFonts w:ascii="Times New Roman" w:hAnsi="Times New Roman" w:cs="Times New Roman"/>
          <w:color w:val="000000"/>
        </w:rPr>
        <w:t>制全链条、系统完备的教育体系。深化办学体制改革，做活优质民办教育品牌。</w:t>
      </w:r>
    </w:p>
    <w:p>
      <w:pPr>
        <w:widowControl/>
        <w:ind w:firstLine="643"/>
        <w:textAlignment w:val="baseline"/>
        <w:rPr>
          <w:rFonts w:ascii="Times New Roman" w:hAnsi="Times New Roman" w:cs="Times New Roman"/>
          <w:color w:val="000000"/>
          <w:sz w:val="20"/>
        </w:rPr>
      </w:pPr>
      <w:r>
        <w:rPr>
          <w:rFonts w:hint="eastAsia" w:ascii="Times New Roman" w:hAnsi="Times New Roman" w:cs="Times New Roman"/>
          <w:b/>
          <w:color w:val="000000"/>
        </w:rPr>
        <w:t>全面加强师资队伍建设。</w:t>
      </w:r>
      <w:r>
        <w:rPr>
          <w:rFonts w:ascii="Times New Roman" w:hAnsi="Times New Roman" w:cs="Times New Roman"/>
          <w:color w:val="000000"/>
        </w:rPr>
        <w:t>深化校长职级制改革，加强校长后备人才培养，大力实施</w:t>
      </w:r>
      <w:r>
        <w:rPr>
          <w:rFonts w:hint="eastAsia" w:ascii="Times New Roman" w:hAnsi="Times New Roman" w:cs="Times New Roman"/>
          <w:color w:val="000000"/>
        </w:rPr>
        <w:t>“</w:t>
      </w:r>
      <w:r>
        <w:rPr>
          <w:rFonts w:ascii="Times New Roman" w:hAnsi="Times New Roman" w:cs="Times New Roman"/>
          <w:color w:val="000000"/>
        </w:rPr>
        <w:t>名校长带名校、名校培养名校长</w:t>
      </w:r>
      <w:r>
        <w:rPr>
          <w:rFonts w:hint="eastAsia" w:ascii="Times New Roman" w:hAnsi="Times New Roman" w:cs="Times New Roman"/>
          <w:color w:val="000000"/>
        </w:rPr>
        <w:t>”</w:t>
      </w:r>
      <w:r>
        <w:rPr>
          <w:rFonts w:ascii="Times New Roman" w:hAnsi="Times New Roman" w:cs="Times New Roman"/>
          <w:color w:val="000000"/>
        </w:rPr>
        <w:t>工程，到2025年，育引20名以上懂教育、有思想、敢改革、善管理、有影响的名校长。</w:t>
      </w:r>
      <w:r>
        <w:rPr>
          <w:rFonts w:hint="eastAsia" w:ascii="Times New Roman" w:hAnsi="Times New Roman" w:cs="Times New Roman"/>
          <w:color w:val="000000"/>
        </w:rPr>
        <w:t>全面激发教师队伍活力，</w:t>
      </w:r>
      <w:r>
        <w:rPr>
          <w:rFonts w:ascii="Times New Roman" w:hAnsi="Times New Roman" w:cs="Times New Roman"/>
          <w:color w:val="000000"/>
        </w:rPr>
        <w:t>加强教师梯队建设，</w:t>
      </w:r>
      <w:r>
        <w:rPr>
          <w:rFonts w:hint="eastAsia" w:ascii="Times New Roman" w:hAnsi="Times New Roman" w:cs="Times New Roman"/>
          <w:color w:val="000000"/>
        </w:rPr>
        <w:t>深入推进“天桥卓越教师进阶式”培养计划，全面提升教师队伍素质和</w:t>
      </w:r>
      <w:r>
        <w:rPr>
          <w:rFonts w:ascii="Times New Roman" w:hAnsi="Times New Roman" w:cs="Times New Roman"/>
          <w:color w:val="000000"/>
        </w:rPr>
        <w:t>专业化水平</w:t>
      </w:r>
      <w:r>
        <w:rPr>
          <w:rFonts w:hint="eastAsia" w:ascii="Times New Roman" w:hAnsi="Times New Roman" w:cs="Times New Roman"/>
          <w:color w:val="000000"/>
        </w:rPr>
        <w:t>；</w:t>
      </w:r>
      <w:r>
        <w:rPr>
          <w:rFonts w:ascii="Times New Roman" w:hAnsi="Times New Roman" w:cs="Times New Roman"/>
          <w:color w:val="000000"/>
        </w:rPr>
        <w:t>实施“成长中的教育家”工程，建立</w:t>
      </w:r>
      <w:r>
        <w:rPr>
          <w:rFonts w:hint="eastAsia" w:ascii="Times New Roman" w:hAnsi="Times New Roman" w:cs="Times New Roman"/>
          <w:color w:val="000000"/>
        </w:rPr>
        <w:t>20</w:t>
      </w:r>
      <w:r>
        <w:rPr>
          <w:rFonts w:ascii="Times New Roman" w:hAnsi="Times New Roman" w:cs="Times New Roman"/>
          <w:color w:val="000000"/>
        </w:rPr>
        <w:t>个名师工作室、</w:t>
      </w:r>
      <w:r>
        <w:rPr>
          <w:rFonts w:hint="eastAsia" w:ascii="Times New Roman" w:hAnsi="Times New Roman" w:cs="Times New Roman"/>
          <w:color w:val="000000"/>
        </w:rPr>
        <w:t>10</w:t>
      </w:r>
      <w:r>
        <w:rPr>
          <w:rFonts w:ascii="Times New Roman" w:hAnsi="Times New Roman" w:cs="Times New Roman"/>
          <w:color w:val="000000"/>
        </w:rPr>
        <w:t>个特级教师工作站，发挥名师引领作用</w:t>
      </w:r>
      <w:r>
        <w:rPr>
          <w:rFonts w:hint="eastAsia" w:ascii="Times New Roman" w:hAnsi="Times New Roman" w:cs="Times New Roman"/>
          <w:color w:val="000000"/>
        </w:rPr>
        <w:t>；</w:t>
      </w:r>
      <w:r>
        <w:rPr>
          <w:rFonts w:ascii="Times New Roman" w:hAnsi="Times New Roman" w:cs="Times New Roman"/>
          <w:color w:val="000000"/>
        </w:rPr>
        <w:t>深化“区管校聘”机制改革，多渠道畅通人员交流途径，盘活师资队伍。</w:t>
      </w:r>
    </w:p>
    <w:p>
      <w:pPr>
        <w:widowControl/>
        <w:ind w:firstLine="643"/>
        <w:textAlignment w:val="baseline"/>
        <w:rPr>
          <w:rFonts w:ascii="Times New Roman" w:hAnsi="Times New Roman" w:cs="Times New Roman"/>
          <w:color w:val="000000"/>
          <w:sz w:val="20"/>
        </w:rPr>
      </w:pPr>
      <w:r>
        <w:rPr>
          <w:rFonts w:hint="eastAsia" w:ascii="Times New Roman" w:hAnsi="Times New Roman" w:cs="Times New Roman"/>
          <w:b/>
          <w:color w:val="000000"/>
        </w:rPr>
        <w:t>全面加强学生素质教育培养。</w:t>
      </w:r>
      <w:r>
        <w:rPr>
          <w:rFonts w:ascii="Times New Roman" w:hAnsi="Times New Roman" w:cs="Times New Roman"/>
          <w:color w:val="000000"/>
        </w:rPr>
        <w:t>深入开展爱国主义教育，建立区域少年党史馆，打造更多的天桥德育品牌。巩固济南市学生体质健康监测</w:t>
      </w:r>
      <w:r>
        <w:rPr>
          <w:rFonts w:hint="eastAsia" w:ascii="Times New Roman" w:hAnsi="Times New Roman" w:cs="Times New Roman"/>
          <w:color w:val="000000"/>
        </w:rPr>
        <w:t>“</w:t>
      </w:r>
      <w:r>
        <w:rPr>
          <w:rFonts w:ascii="Times New Roman" w:hAnsi="Times New Roman" w:cs="Times New Roman"/>
          <w:color w:val="000000"/>
        </w:rPr>
        <w:t>四率一分</w:t>
      </w:r>
      <w:r>
        <w:rPr>
          <w:rFonts w:hint="eastAsia" w:ascii="Times New Roman" w:hAnsi="Times New Roman" w:cs="Times New Roman"/>
          <w:color w:val="000000"/>
        </w:rPr>
        <w:t>”</w:t>
      </w:r>
      <w:r>
        <w:rPr>
          <w:rFonts w:ascii="Times New Roman" w:hAnsi="Times New Roman" w:cs="Times New Roman"/>
          <w:color w:val="000000"/>
        </w:rPr>
        <w:t>成果，依托</w:t>
      </w:r>
      <w:r>
        <w:rPr>
          <w:rFonts w:hint="eastAsia" w:ascii="Times New Roman" w:hAnsi="Times New Roman" w:cs="Times New Roman"/>
          <w:color w:val="000000"/>
        </w:rPr>
        <w:t>“</w:t>
      </w:r>
      <w:r>
        <w:rPr>
          <w:rFonts w:ascii="Times New Roman" w:hAnsi="Times New Roman" w:cs="Times New Roman"/>
          <w:color w:val="000000"/>
        </w:rPr>
        <w:t>全国体育联盟</w:t>
      </w:r>
      <w:r>
        <w:rPr>
          <w:rFonts w:hint="eastAsia" w:ascii="Times New Roman" w:hAnsi="Times New Roman" w:cs="Times New Roman"/>
          <w:color w:val="000000"/>
        </w:rPr>
        <w:t>”</w:t>
      </w:r>
      <w:r>
        <w:rPr>
          <w:rFonts w:ascii="Times New Roman" w:hAnsi="Times New Roman" w:cs="Times New Roman"/>
          <w:color w:val="000000"/>
        </w:rPr>
        <w:t>，深入推进体育教学改革。到2025 年，实现艺术、传统文化项目学校全覆盖，全国体育特色学校达到 30所。做实天桥e家家长学校，打造全国领先的区域优质家长学校样板，让家长、学校在学生成长中同频共振。</w:t>
      </w:r>
    </w:p>
    <w:p>
      <w:pPr>
        <w:widowControl/>
        <w:ind w:firstLine="643"/>
        <w:textAlignment w:val="baseline"/>
        <w:rPr>
          <w:rFonts w:ascii="Times New Roman" w:hAnsi="Times New Roman" w:cs="Times New Roman"/>
          <w:color w:val="000000"/>
          <w:sz w:val="20"/>
        </w:rPr>
      </w:pPr>
      <w:r>
        <w:rPr>
          <w:rFonts w:hint="eastAsia" w:ascii="Times New Roman" w:hAnsi="Times New Roman" w:cs="Times New Roman"/>
          <w:b/>
          <w:color w:val="000000"/>
        </w:rPr>
        <w:t>全面推进学校配套建设。</w:t>
      </w:r>
      <w:r>
        <w:rPr>
          <w:rFonts w:ascii="Times New Roman" w:hAnsi="Times New Roman" w:cs="Times New Roman"/>
          <w:color w:val="000000"/>
        </w:rPr>
        <w:t>结合城市更新超前谋划、同步规划，高起点、高标准、高品质规划布局新建改建学校。全力保障既有学校配套建设，教育资源全面满足区域学位需求，到 2025 年，实现学校布局合理，学位充足，区域教育优质均衡发展。结合老旧小区提升改造，分地域、分批次优化老校教育资源，到2025年，实现老校区全面提升。</w:t>
      </w:r>
    </w:p>
    <w:p>
      <w:pPr>
        <w:widowControl/>
        <w:ind w:firstLine="643"/>
        <w:textAlignment w:val="baseline"/>
        <w:rPr>
          <w:rFonts w:ascii="Times New Roman" w:hAnsi="Times New Roman" w:cs="Times New Roman"/>
          <w:color w:val="000000"/>
          <w:sz w:val="20"/>
        </w:rPr>
      </w:pPr>
      <w:r>
        <w:rPr>
          <w:rFonts w:ascii="Times New Roman" w:hAnsi="Times New Roman" w:cs="Times New Roman"/>
          <w:b/>
          <w:color w:val="000000"/>
        </w:rPr>
        <w:t>推动各类教育特色发展。</w:t>
      </w:r>
      <w:r>
        <w:rPr>
          <w:rFonts w:ascii="Times New Roman" w:hAnsi="Times New Roman" w:cs="Times New Roman"/>
          <w:color w:val="000000"/>
        </w:rPr>
        <w:t>推进学前教育优质普惠发展、义务教育优质均衡发展，统筹推进民办教育、职业教育、高等教育、继续教育、特殊教育</w:t>
      </w:r>
      <w:r>
        <w:rPr>
          <w:rFonts w:hint="eastAsia" w:ascii="Times New Roman" w:hAnsi="Times New Roman" w:cs="Times New Roman"/>
          <w:color w:val="000000"/>
        </w:rPr>
        <w:t>、民族教育</w:t>
      </w:r>
      <w:r>
        <w:rPr>
          <w:rFonts w:ascii="Times New Roman" w:hAnsi="Times New Roman" w:cs="Times New Roman"/>
          <w:color w:val="000000"/>
        </w:rPr>
        <w:t>，全面提高教育发展水平。高标准普及15 年基础教育，到 2025年，学前三年毛入园率达到100%，义务教育巩固率达到 100%，积极引进优质高中，加快形成各级各类教育纵向衔接、横向沟通，学校、家庭与社会相互联系的格局。</w:t>
      </w:r>
    </w:p>
    <w:p>
      <w:pPr>
        <w:pStyle w:val="3"/>
        <w:spacing w:before="156" w:after="156"/>
        <w:textAlignment w:val="baseline"/>
        <w:rPr>
          <w:rFonts w:ascii="Times New Roman" w:hAnsi="Times New Roman" w:cs="Times New Roman"/>
        </w:rPr>
      </w:pPr>
      <w:bookmarkStart w:id="28" w:name="_Toc75764643"/>
      <w:r>
        <w:rPr>
          <w:rFonts w:ascii="Times New Roman" w:hAnsi="Times New Roman" w:cs="Times New Roman"/>
        </w:rPr>
        <w:t>第二节</w:t>
      </w:r>
      <w:r>
        <w:rPr>
          <w:rFonts w:hint="eastAsia" w:ascii="Times New Roman" w:hAnsi="Times New Roman" w:cs="Times New Roman"/>
        </w:rPr>
        <w:t xml:space="preserve"> </w:t>
      </w:r>
      <w:r>
        <w:rPr>
          <w:rFonts w:ascii="Times New Roman" w:hAnsi="Times New Roman" w:cs="Times New Roman"/>
        </w:rPr>
        <w:t>推动文化繁荣兴盛</w:t>
      </w:r>
      <w:bookmarkEnd w:id="28"/>
    </w:p>
    <w:p>
      <w:pPr>
        <w:widowControl/>
        <w:ind w:firstLine="640"/>
        <w:textAlignment w:val="baseline"/>
        <w:rPr>
          <w:rFonts w:ascii="Times New Roman" w:hAnsi="Times New Roman" w:cs="Times New Roman"/>
          <w:color w:val="000000"/>
          <w:sz w:val="20"/>
        </w:rPr>
      </w:pPr>
      <w:r>
        <w:rPr>
          <w:rFonts w:ascii="Times New Roman" w:hAnsi="Times New Roman" w:cs="Times New Roman"/>
          <w:color w:val="000000"/>
        </w:rPr>
        <w:t>坚持马克思主义在意识形态领域的指导地位，以社会主义核心价值观引领文化建设，加强社会主义精神文明建设</w:t>
      </w:r>
      <w:r>
        <w:rPr>
          <w:rFonts w:hint="eastAsia" w:ascii="Times New Roman" w:hAnsi="Times New Roman" w:cs="Times New Roman"/>
          <w:color w:val="000000"/>
        </w:rPr>
        <w:t>，</w:t>
      </w:r>
      <w:r>
        <w:rPr>
          <w:rFonts w:ascii="Times New Roman" w:hAnsi="Times New Roman" w:cs="Times New Roman"/>
          <w:color w:val="000000"/>
        </w:rPr>
        <w:t>加快推动优秀传统文化创造性转化、创新性发展，凝聚加快建设现代化中心城区的强大精神力量。</w:t>
      </w:r>
    </w:p>
    <w:p>
      <w:pPr>
        <w:widowControl/>
        <w:ind w:firstLine="643"/>
        <w:textAlignment w:val="baseline"/>
        <w:rPr>
          <w:rFonts w:ascii="Times New Roman" w:hAnsi="Times New Roman" w:cs="Times New Roman"/>
          <w:color w:val="000000"/>
          <w:sz w:val="20"/>
        </w:rPr>
      </w:pPr>
      <w:r>
        <w:rPr>
          <w:rFonts w:ascii="Times New Roman" w:hAnsi="Times New Roman" w:cs="Times New Roman"/>
          <w:b/>
          <w:color w:val="000000"/>
        </w:rPr>
        <w:t>强化先进文化引领。</w:t>
      </w:r>
      <w:r>
        <w:rPr>
          <w:rFonts w:ascii="Times New Roman" w:hAnsi="Times New Roman" w:cs="Times New Roman"/>
          <w:color w:val="000000"/>
        </w:rPr>
        <w:t>深入开展习近平新时代中国特色社会主义思想学习教育，推动党的创新理论进企业、进农村、进机关、进校园、进社区、进军营，实现理想信念教育常态化制度化。加强党史、新中国史、改革开放史、社会主义发展史教育和爱国主义、集体主义、社会主义教育。加快推进区委党校阵地建设</w:t>
      </w:r>
      <w:r>
        <w:rPr>
          <w:rFonts w:hint="eastAsia" w:ascii="Times New Roman" w:hAnsi="Times New Roman" w:cs="Times New Roman"/>
          <w:color w:val="000000"/>
        </w:rPr>
        <w:t>，</w:t>
      </w:r>
      <w:r>
        <w:rPr>
          <w:rFonts w:ascii="Times New Roman" w:hAnsi="Times New Roman" w:cs="Times New Roman"/>
          <w:color w:val="000000"/>
        </w:rPr>
        <w:t>发挥党校、党史研究中心等思想理论工作平台作用，深化拓展马克思主义理论研究和宣传教育。繁荣发展哲学社会科学，深化新时代社科普及工作。强化舆论宣传引导，适应互联网传播趋势，坚持网上网下一齐发力、理论舆论双轮驱动，用好用活学习强国、灯塔在线、泉城党建、活力天桥等各类媒体舆论平台，打造形成各有优势、互相策应的学习传播实践重要阵地。</w:t>
      </w:r>
    </w:p>
    <w:p>
      <w:pPr>
        <w:widowControl/>
        <w:ind w:firstLine="643"/>
        <w:textAlignment w:val="baseline"/>
        <w:rPr>
          <w:rFonts w:ascii="Times New Roman" w:hAnsi="Times New Roman" w:cs="Times New Roman"/>
          <w:color w:val="000000"/>
          <w:sz w:val="20"/>
        </w:rPr>
      </w:pPr>
      <w:r>
        <w:rPr>
          <w:rFonts w:ascii="Times New Roman" w:hAnsi="Times New Roman" w:cs="Times New Roman"/>
          <w:b/>
          <w:color w:val="000000"/>
        </w:rPr>
        <w:t>健全现代文化产业体系。</w:t>
      </w:r>
      <w:r>
        <w:rPr>
          <w:rFonts w:ascii="Times New Roman" w:hAnsi="Times New Roman" w:cs="Times New Roman"/>
          <w:color w:val="000000"/>
        </w:rPr>
        <w:t>坚持把社会效益放在首位、社会效益和经济效益相统一，深化文化体制改革，加强文化市场体系建设，做大做强文化会展、演艺娱乐等产业，扩大优质文化产品供给。实施文化产业数字化战略，培育发展新型文化企业、文化业态、文化消费模式，抢占数字文化产业制高点。规范发展文化产业园区，提升产业平台载体能级。推动文化和旅游融合发展，打造更多高品质休闲旅游街区。开展线上线下多形式文旅推广活动，提升天桥文旅品牌形象。营造充满活力的产业创新发展生态，加快重点文化项目建设，加大文化产业招商引资力度，积极策划、宣传、推介一批重点文化产业项目，引进培育一批有竞争力的创新性文创企业。</w:t>
      </w:r>
    </w:p>
    <w:p>
      <w:pPr>
        <w:widowControl/>
        <w:ind w:firstLine="643"/>
        <w:textAlignment w:val="baseline"/>
        <w:rPr>
          <w:rFonts w:ascii="Times New Roman" w:hAnsi="Times New Roman" w:cs="Times New Roman"/>
          <w:color w:val="000000"/>
          <w:sz w:val="20"/>
        </w:rPr>
      </w:pPr>
      <w:r>
        <w:rPr>
          <w:rFonts w:ascii="Times New Roman" w:hAnsi="Times New Roman" w:cs="Times New Roman"/>
          <w:b/>
          <w:color w:val="000000"/>
        </w:rPr>
        <w:t>提升公共文化服务水平。</w:t>
      </w:r>
      <w:r>
        <w:rPr>
          <w:rFonts w:ascii="Times New Roman" w:hAnsi="Times New Roman" w:cs="Times New Roman"/>
          <w:color w:val="000000"/>
        </w:rPr>
        <w:t>实施文艺作品质量提升工程，创作更多优秀文艺作品。加快媒体深度融合，实施全媒体传播工程，建强用好区融媒体中心。推进城乡公共文化服务一体建设，创新实施文化惠民工程，广泛开展群众性文化活动，推动公共文化基础设施向薄弱地区倾斜，提升公共文化服务均衡化、优质化水平。推动更多城市公共空间建设融入文化元素、增添体育功能，打造更多群众家门口的“文化客厅”“健康驿站”，让市民拥有更多文化体育休闲好去处。加强公共文化设施建设，区文化馆、体育馆、档案馆、图书馆全面投入使用，成为全区文化新地标。推动公共文化上云，提升公共文化服务数字化水平。档案</w:t>
      </w:r>
      <w:r>
        <w:rPr>
          <w:rFonts w:hint="eastAsia" w:ascii="Times New Roman" w:hAnsi="Times New Roman" w:cs="Times New Roman"/>
          <w:color w:val="000000"/>
        </w:rPr>
        <w:t>、</w:t>
      </w:r>
      <w:r>
        <w:rPr>
          <w:rFonts w:ascii="Times New Roman" w:hAnsi="Times New Roman" w:cs="Times New Roman"/>
          <w:color w:val="000000"/>
        </w:rPr>
        <w:t>史志</w:t>
      </w:r>
      <w:r>
        <w:rPr>
          <w:rFonts w:hint="eastAsia" w:ascii="Times New Roman" w:hAnsi="Times New Roman" w:cs="Times New Roman"/>
          <w:color w:val="000000"/>
        </w:rPr>
        <w:t>、保密</w:t>
      </w:r>
      <w:r>
        <w:rPr>
          <w:rFonts w:ascii="Times New Roman" w:hAnsi="Times New Roman" w:cs="Times New Roman"/>
          <w:color w:val="000000"/>
        </w:rPr>
        <w:t>等各项事业全面</w:t>
      </w:r>
      <w:r>
        <w:rPr>
          <w:rFonts w:hint="eastAsia" w:ascii="Times New Roman" w:hAnsi="Times New Roman" w:cs="Times New Roman"/>
          <w:color w:val="000000"/>
        </w:rPr>
        <w:t>推进</w:t>
      </w:r>
      <w:r>
        <w:rPr>
          <w:rFonts w:ascii="Times New Roman" w:hAnsi="Times New Roman" w:cs="Times New Roman"/>
          <w:color w:val="000000"/>
        </w:rPr>
        <w:t>。</w:t>
      </w:r>
    </w:p>
    <w:p>
      <w:pPr>
        <w:widowControl/>
        <w:ind w:firstLine="643"/>
        <w:textAlignment w:val="baseline"/>
        <w:rPr>
          <w:rFonts w:ascii="Times New Roman" w:hAnsi="Times New Roman" w:cs="Times New Roman"/>
          <w:color w:val="000000"/>
          <w:sz w:val="20"/>
        </w:rPr>
      </w:pPr>
      <w:r>
        <w:rPr>
          <w:rFonts w:ascii="Times New Roman" w:hAnsi="Times New Roman" w:cs="Times New Roman"/>
          <w:b/>
          <w:color w:val="000000"/>
        </w:rPr>
        <w:t>传承弘扬优秀文化。</w:t>
      </w:r>
      <w:r>
        <w:rPr>
          <w:rFonts w:ascii="Times New Roman" w:hAnsi="Times New Roman" w:cs="Times New Roman"/>
          <w:color w:val="000000"/>
        </w:rPr>
        <w:t>坚持促进满足人民文化需求和增强人民精神力量相统一，深入挖掘天桥历史文化深厚底蕴，加强历史文化遗产活化利用，更好延续城市文脉。加强对文保单位、非遗项目保护传承。规划建设张养浩纪念馆。加强红色文化保护与传承，全力配合、高标准打造中共山东省委领导机关旧址红色文化片区，加大中共济南市委重建地、济南乡师支部诞生地等红色文化遗存修缮保护力度。总结好、利用好、展示好天桥传统文化、红色文化、河运文化、开埠文化、工商文化、山水文化等各类优秀文化中的人文精神。加强天桥城市品牌的设计与推广。引导激励高质量精神文化产品创作生产传播，推出更多叫座叫好的原创文化精品。</w:t>
      </w:r>
    </w:p>
    <w:p>
      <w:pPr>
        <w:widowControl/>
        <w:ind w:firstLine="643"/>
        <w:textAlignment w:val="baseline"/>
        <w:rPr>
          <w:rFonts w:ascii="Times New Roman" w:hAnsi="Times New Roman" w:cs="Times New Roman"/>
          <w:color w:val="000000"/>
          <w:sz w:val="20"/>
        </w:rPr>
      </w:pPr>
      <w:r>
        <w:rPr>
          <w:rFonts w:ascii="Times New Roman" w:hAnsi="Times New Roman" w:cs="Times New Roman"/>
          <w:b/>
          <w:color w:val="000000"/>
        </w:rPr>
        <w:t>大力弘扬天桥精神。</w:t>
      </w:r>
      <w:r>
        <w:rPr>
          <w:rFonts w:ascii="Times New Roman" w:hAnsi="Times New Roman" w:cs="Times New Roman"/>
          <w:color w:val="000000"/>
        </w:rPr>
        <w:t>坚持外宣造势、内宣聚力，深入阐释天桥开放的鲜明特征、包容的人文特质、诚信的厚重基因、图强的奋斗姿态，广泛宣传、大力弘扬“开放、包容、诚信、图强”的天桥精神，用天桥精神凝聚人心、凝聚力量、凝聚共识，让天桥精神成为激励天桥党员干部群众自强不息、顽强奋斗的力量源泉，成为推动加快建设现代化中心城区、打造黄河流域生态保护和高质量发展样板区的不竭动力。</w:t>
      </w:r>
    </w:p>
    <w:p>
      <w:pPr>
        <w:widowControl/>
        <w:ind w:firstLine="643"/>
        <w:textAlignment w:val="baseline"/>
        <w:rPr>
          <w:rFonts w:ascii="Times New Roman" w:hAnsi="Times New Roman" w:cs="Times New Roman"/>
          <w:color w:val="000000"/>
          <w:sz w:val="20"/>
        </w:rPr>
      </w:pPr>
      <w:r>
        <w:rPr>
          <w:rFonts w:ascii="Times New Roman" w:hAnsi="Times New Roman" w:cs="Times New Roman"/>
          <w:b/>
          <w:color w:val="000000"/>
        </w:rPr>
        <w:t>提高社会文明程度。</w:t>
      </w:r>
      <w:r>
        <w:rPr>
          <w:rFonts w:ascii="Times New Roman" w:hAnsi="Times New Roman" w:cs="Times New Roman"/>
          <w:color w:val="000000"/>
        </w:rPr>
        <w:t>以更高标准深化群众性精神文明创建，健全巩固全国文明城市创建成果的长效机制。建好用好新时代文明实践中心、分中心，擦亮“枫叶大篷车”等志愿服务品牌，广泛开展志愿服务行动，凝聚向上、向善、向美力量。</w:t>
      </w:r>
      <w:r>
        <w:rPr>
          <w:rFonts w:hint="eastAsia" w:ascii="Times New Roman" w:hAnsi="Times New Roman" w:cs="Times New Roman"/>
          <w:color w:val="000000"/>
        </w:rPr>
        <w:t>高标准建设综合性科普活动场所或专业科普场馆等科普阵地，创新开展群众性科普活动，提升公民科学素质，争创“全国科普示范区”</w:t>
      </w:r>
      <w:r>
        <w:rPr>
          <w:rFonts w:ascii="Times New Roman" w:hAnsi="Times New Roman" w:cs="Times New Roman"/>
          <w:color w:val="000000"/>
        </w:rPr>
        <w:t>。坚决制止餐饮浪费，在全社会营造浪费可耻、厉行节约的社会风尚。加强社会公德、职业道德、家庭美德、个人品德建设，完善青少年理想信念教育齐抓共管机制。弘扬诚信文化，推进诚信建设。深入开展“感动天桥人物”“道德模范”“文明家庭”“最美家庭”“星级文明户”“出彩人家”等选树活动，持续深化文明单位、文明社区、文明校园创建活动，培育文明乡风、良好家风、淳朴民风。加强网络文明建设，发展积极健康的网络文化。</w:t>
      </w:r>
    </w:p>
    <w:p>
      <w:pPr>
        <w:pStyle w:val="3"/>
        <w:spacing w:before="120" w:after="120"/>
        <w:textAlignment w:val="baseline"/>
        <w:rPr>
          <w:rFonts w:ascii="Times New Roman" w:hAnsi="Times New Roman" w:cs="Times New Roman"/>
          <w:color w:val="000000"/>
        </w:rPr>
      </w:pPr>
      <w:bookmarkStart w:id="29" w:name="_Toc60937335"/>
      <w:bookmarkStart w:id="30" w:name="_Toc62070214"/>
      <w:bookmarkStart w:id="31" w:name="_Toc75764644"/>
      <w:r>
        <w:rPr>
          <w:rFonts w:ascii="Times New Roman" w:hAnsi="Times New Roman" w:cs="Times New Roman"/>
          <w:color w:val="000000"/>
        </w:rPr>
        <w:t>第三节</w:t>
      </w:r>
      <w:r>
        <w:rPr>
          <w:rFonts w:hint="eastAsia" w:ascii="Times New Roman" w:hAnsi="Times New Roman" w:cs="Times New Roman"/>
          <w:color w:val="000000"/>
        </w:rPr>
        <w:t xml:space="preserve"> </w:t>
      </w:r>
      <w:r>
        <w:rPr>
          <w:rFonts w:ascii="Times New Roman" w:hAnsi="Times New Roman" w:cs="Times New Roman"/>
          <w:color w:val="000000"/>
        </w:rPr>
        <w:t>提高居民健康水平</w:t>
      </w:r>
      <w:bookmarkEnd w:id="29"/>
      <w:bookmarkEnd w:id="30"/>
      <w:bookmarkEnd w:id="31"/>
    </w:p>
    <w:p>
      <w:pPr>
        <w:tabs>
          <w:tab w:val="left" w:pos="2460"/>
        </w:tabs>
        <w:ind w:firstLine="640"/>
        <w:textAlignment w:val="baseline"/>
        <w:rPr>
          <w:rFonts w:ascii="Times New Roman" w:hAnsi="Times New Roman" w:cs="Times New Roman"/>
          <w:color w:val="000000"/>
          <w:sz w:val="20"/>
        </w:rPr>
      </w:pPr>
      <w:r>
        <w:rPr>
          <w:rFonts w:ascii="Times New Roman" w:hAnsi="Times New Roman" w:cs="Times New Roman"/>
          <w:color w:val="000000"/>
        </w:rPr>
        <w:t>以普惠性、多样性、智慧化为发展方向，实施健康天桥行动，推动以治病为中心向以人民健康为中心转变，打造覆盖全生命周期、满足多层次需求的卫生健康服务体系。</w:t>
      </w:r>
    </w:p>
    <w:p>
      <w:pPr>
        <w:tabs>
          <w:tab w:val="left" w:pos="2460"/>
        </w:tabs>
        <w:ind w:firstLine="643"/>
        <w:textAlignment w:val="baseline"/>
        <w:rPr>
          <w:rFonts w:ascii="Times New Roman" w:hAnsi="Times New Roman" w:cs="Times New Roman"/>
          <w:b/>
          <w:color w:val="000000"/>
          <w:sz w:val="20"/>
        </w:rPr>
      </w:pPr>
      <w:r>
        <w:rPr>
          <w:rFonts w:ascii="Times New Roman" w:hAnsi="Times New Roman" w:cs="Times New Roman"/>
          <w:b/>
          <w:color w:val="000000"/>
        </w:rPr>
        <w:t>促进卫生事业发展。</w:t>
      </w:r>
      <w:r>
        <w:rPr>
          <w:rFonts w:ascii="Times New Roman" w:hAnsi="Times New Roman" w:cs="Times New Roman"/>
          <w:color w:val="000000"/>
        </w:rPr>
        <w:t>加大政府投入力度，加强基层公共卫生服务体系建设，强化基层医疗机构服务能力。深化医药卫生体制改革，积极落实分级诊疗制度，更好发挥社区卫生服务中心和家庭医生“健康守门人”功能，推进医联体、医共体建设，引导社会办医规范发展。坚持中西医并重，落实“黄河名医”中医药发展计划，充分发挥扁鹊中医药历史文化特色优势和影响力，加快中医药传承创新。提升健康教育、慢病管理和残疾人康复服务质量，重视精神卫生和心理健康。倡导健康生活方式，大力开展爱国卫生运动。</w:t>
      </w:r>
    </w:p>
    <w:p>
      <w:pPr>
        <w:tabs>
          <w:tab w:val="left" w:pos="2460"/>
        </w:tabs>
        <w:ind w:firstLine="710" w:firstLineChars="221"/>
        <w:jc w:val="left"/>
        <w:textAlignment w:val="baseline"/>
        <w:rPr>
          <w:rFonts w:ascii="Times New Roman" w:hAnsi="Times New Roman" w:cs="Times New Roman"/>
          <w:b/>
          <w:color w:val="000000"/>
          <w:sz w:val="20"/>
        </w:rPr>
      </w:pPr>
      <w:r>
        <w:rPr>
          <w:rFonts w:ascii="Times New Roman" w:hAnsi="Times New Roman" w:cs="Times New Roman"/>
          <w:b/>
          <w:color w:val="000000"/>
        </w:rPr>
        <w:t>做好疾病预防控制工作。</w:t>
      </w:r>
      <w:r>
        <w:rPr>
          <w:rFonts w:ascii="Times New Roman" w:hAnsi="Times New Roman" w:cs="Times New Roman"/>
          <w:color w:val="000000"/>
        </w:rPr>
        <w:t>建</w:t>
      </w:r>
      <w:r>
        <w:rPr>
          <w:rFonts w:hint="eastAsia" w:ascii="Times New Roman" w:hAnsi="Times New Roman" w:cs="Times New Roman"/>
          <w:color w:val="000000"/>
        </w:rPr>
        <w:t>立</w:t>
      </w:r>
      <w:r>
        <w:rPr>
          <w:rFonts w:ascii="Times New Roman" w:hAnsi="Times New Roman" w:cs="Times New Roman"/>
          <w:color w:val="000000"/>
        </w:rPr>
        <w:t>医防融合、</w:t>
      </w:r>
      <w:r>
        <w:rPr>
          <w:rFonts w:hint="eastAsia" w:ascii="Times New Roman" w:hAnsi="Times New Roman" w:cs="Times New Roman"/>
          <w:color w:val="000000"/>
        </w:rPr>
        <w:t>顺畅</w:t>
      </w:r>
      <w:r>
        <w:rPr>
          <w:rFonts w:ascii="Times New Roman" w:hAnsi="Times New Roman" w:cs="Times New Roman"/>
          <w:color w:val="000000"/>
        </w:rPr>
        <w:t>高效的专业化、现代化疾病预防控制网络，完善突发公共卫生事件监测预警处置机制，提高医疗救治、科学支撑、物资保障能力。高标准完成区疾控中心建设，并不断完善服务功能。弘扬伟大抗疫精神，营造尊医重卫良好风尚。</w:t>
      </w:r>
    </w:p>
    <w:p>
      <w:pPr>
        <w:tabs>
          <w:tab w:val="left" w:pos="2460"/>
        </w:tabs>
        <w:ind w:firstLine="643"/>
        <w:textAlignment w:val="baseline"/>
        <w:rPr>
          <w:rFonts w:ascii="Times New Roman" w:hAnsi="Times New Roman" w:cs="Times New Roman"/>
          <w:color w:val="000000"/>
          <w:sz w:val="20"/>
        </w:rPr>
      </w:pPr>
      <w:r>
        <w:rPr>
          <w:rFonts w:ascii="Times New Roman" w:hAnsi="Times New Roman" w:cs="Times New Roman"/>
          <w:b/>
          <w:color w:val="000000"/>
        </w:rPr>
        <w:t>推进全民健身计划。</w:t>
      </w:r>
      <w:r>
        <w:rPr>
          <w:rFonts w:hint="eastAsia" w:ascii="Times New Roman" w:hAnsi="Times New Roman" w:cs="Times New Roman"/>
          <w:color w:val="000000"/>
        </w:rPr>
        <w:t>推动体育事业</w:t>
      </w:r>
      <w:r>
        <w:rPr>
          <w:rFonts w:ascii="Times New Roman" w:hAnsi="Times New Roman" w:cs="Times New Roman"/>
          <w:color w:val="000000"/>
        </w:rPr>
        <w:t>多元化发展</w:t>
      </w:r>
      <w:r>
        <w:rPr>
          <w:rFonts w:hint="eastAsia" w:ascii="Times New Roman" w:hAnsi="Times New Roman" w:cs="Times New Roman"/>
          <w:color w:val="000000"/>
        </w:rPr>
        <w:t>，建立更加健全的全民健身服务体系，</w:t>
      </w:r>
      <w:r>
        <w:rPr>
          <w:rFonts w:ascii="Times New Roman" w:hAnsi="Times New Roman" w:cs="Times New Roman"/>
          <w:color w:val="000000"/>
        </w:rPr>
        <w:t>建立部门协同、全社会参与的运动促进健康模式</w:t>
      </w:r>
      <w:r>
        <w:rPr>
          <w:rFonts w:hint="eastAsia" w:ascii="Times New Roman" w:hAnsi="Times New Roman" w:cs="Times New Roman"/>
          <w:color w:val="000000"/>
        </w:rPr>
        <w:t>，开展丰富多彩的体育竞技活动</w:t>
      </w:r>
      <w:r>
        <w:rPr>
          <w:rFonts w:ascii="Times New Roman" w:hAnsi="Times New Roman" w:cs="Times New Roman"/>
          <w:color w:val="000000"/>
        </w:rPr>
        <w:t>。完善体育健身设施，</w:t>
      </w:r>
      <w:r>
        <w:rPr>
          <w:rFonts w:ascii="Times New Roman" w:hAnsi="Times New Roman" w:cs="Times New Roman"/>
          <w:lang w:val="en-GB"/>
        </w:rPr>
        <w:t>实现社区体育健身设施与多功能健身场地功能互补、全民健身中心与体育公园协同发展。</w:t>
      </w:r>
      <w:r>
        <w:rPr>
          <w:rFonts w:ascii="Times New Roman" w:hAnsi="Times New Roman" w:cs="Times New Roman"/>
          <w:color w:val="000000"/>
        </w:rPr>
        <w:t xml:space="preserve"> </w:t>
      </w:r>
    </w:p>
    <w:p>
      <w:pPr>
        <w:pStyle w:val="3"/>
        <w:spacing w:before="120" w:after="120"/>
        <w:ind w:left="1125"/>
        <w:textAlignment w:val="baseline"/>
        <w:rPr>
          <w:rFonts w:ascii="Times New Roman" w:hAnsi="Times New Roman" w:cs="Times New Roman"/>
          <w:color w:val="000000"/>
        </w:rPr>
      </w:pPr>
      <w:bookmarkStart w:id="32" w:name="_Toc60937336"/>
      <w:bookmarkStart w:id="33" w:name="_Toc62070215"/>
      <w:bookmarkStart w:id="34" w:name="_Toc75764645"/>
      <w:r>
        <w:rPr>
          <w:rFonts w:ascii="Times New Roman" w:hAnsi="Times New Roman" w:cs="Times New Roman"/>
          <w:color w:val="000000"/>
        </w:rPr>
        <w:t>第四节</w:t>
      </w:r>
      <w:r>
        <w:rPr>
          <w:rFonts w:hint="eastAsia" w:ascii="Times New Roman" w:hAnsi="Times New Roman" w:cs="Times New Roman"/>
          <w:color w:val="000000"/>
        </w:rPr>
        <w:t xml:space="preserve"> 优化</w:t>
      </w:r>
      <w:r>
        <w:rPr>
          <w:rFonts w:ascii="Times New Roman" w:hAnsi="Times New Roman" w:cs="Times New Roman"/>
          <w:color w:val="000000"/>
        </w:rPr>
        <w:t>社会保障</w:t>
      </w:r>
      <w:bookmarkEnd w:id="32"/>
      <w:bookmarkEnd w:id="33"/>
      <w:r>
        <w:rPr>
          <w:rFonts w:hint="eastAsia" w:ascii="Times New Roman" w:hAnsi="Times New Roman" w:cs="Times New Roman"/>
          <w:color w:val="000000"/>
        </w:rPr>
        <w:t>体系</w:t>
      </w:r>
      <w:bookmarkEnd w:id="34"/>
    </w:p>
    <w:p>
      <w:pPr>
        <w:ind w:firstLine="640"/>
        <w:textAlignment w:val="baseline"/>
        <w:rPr>
          <w:rFonts w:ascii="Times New Roman" w:hAnsi="Times New Roman" w:cs="Times New Roman"/>
          <w:sz w:val="20"/>
        </w:rPr>
      </w:pPr>
      <w:r>
        <w:rPr>
          <w:rFonts w:ascii="Times New Roman" w:hAnsi="Times New Roman" w:cs="Times New Roman"/>
        </w:rPr>
        <w:t>社会保障是民生安全网、社会稳定器，要完善多层次社会保障体系、稳定扩大就业、积极应对人口老龄化、创新基层社会治理，助力实现和谐、稳定的发展。</w:t>
      </w:r>
    </w:p>
    <w:p>
      <w:pPr>
        <w:ind w:firstLine="643"/>
        <w:textAlignment w:val="baseline"/>
        <w:rPr>
          <w:rFonts w:ascii="Times New Roman" w:hAnsi="Times New Roman" w:cs="Times New Roman"/>
          <w:sz w:val="20"/>
        </w:rPr>
      </w:pPr>
      <w:r>
        <w:rPr>
          <w:rFonts w:ascii="Times New Roman" w:hAnsi="Times New Roman" w:cs="Times New Roman"/>
          <w:b/>
        </w:rPr>
        <w:t>完善社会保障体系。</w:t>
      </w:r>
      <w:r>
        <w:rPr>
          <w:rFonts w:ascii="Times New Roman" w:hAnsi="Times New Roman" w:cs="Times New Roman"/>
        </w:rPr>
        <w:t>落实全民参保计划，提高社会保险覆盖面，</w:t>
      </w:r>
      <w:r>
        <w:rPr>
          <w:rFonts w:hint="eastAsia" w:ascii="Times New Roman" w:hAnsi="Times New Roman" w:cs="Times New Roman"/>
        </w:rPr>
        <w:t>协同推进基本医疗保险、大病保险、补充医疗保险、商业健康保险发展，</w:t>
      </w:r>
      <w:r>
        <w:rPr>
          <w:rFonts w:ascii="Times New Roman" w:hAnsi="Times New Roman" w:cs="Times New Roman"/>
        </w:rPr>
        <w:t>鼓励发展多种类型的商业健康保险</w:t>
      </w:r>
      <w:r>
        <w:rPr>
          <w:rFonts w:hint="eastAsia" w:ascii="Times New Roman" w:hAnsi="Times New Roman" w:cs="Times New Roman"/>
        </w:rPr>
        <w:t>，满足居民多样化多层次的保障需求。</w:t>
      </w:r>
      <w:r>
        <w:rPr>
          <w:rFonts w:ascii="Times New Roman" w:hAnsi="Times New Roman" w:cs="Times New Roman"/>
        </w:rPr>
        <w:t>推进医保服务城乡全覆盖，落实异地就医结算。健全和完善灵活就业人员社保制度。深入贯彻落实《中华人民共和国退役军人保障法》，完善退役军人服务保障体系，维护军人军属合法权益。保障妇女、儿童合法权益。健全老年人、残疾人关爱服务体系和设施，完善帮扶残疾人、孤儿等特殊群体社会福利制度。积极推进实施慈善“幸福家园”项目。健全分层分类的社会救助体系。</w:t>
      </w:r>
    </w:p>
    <w:p>
      <w:pPr>
        <w:ind w:firstLine="643"/>
        <w:textAlignment w:val="baseline"/>
        <w:rPr>
          <w:rFonts w:ascii="Times New Roman" w:hAnsi="Times New Roman" w:cs="Times New Roman"/>
          <w:sz w:val="20"/>
        </w:rPr>
      </w:pPr>
      <w:r>
        <w:rPr>
          <w:rFonts w:ascii="Times New Roman" w:hAnsi="Times New Roman" w:cs="Times New Roman"/>
          <w:b/>
        </w:rPr>
        <w:t>稳定和扩大就业。</w:t>
      </w:r>
      <w:r>
        <w:rPr>
          <w:rFonts w:ascii="Times New Roman" w:hAnsi="Times New Roman" w:cs="Times New Roman"/>
        </w:rPr>
        <w:t>落实就业政策，扩大就业总量，改善就业结构，提升就业质量。健全多渠道灵活就业保障制度，推动产业、企业、创业、就业联动，支持和规范新就业形态发展，促进创业带动就业。完善重点群体就业支持体系，搭建精准就业供需对接平台，深入开展“春风行动”等就业促进活动，促进高校毕业生等青年群体多渠道就业创业，扩大公益性岗位，帮扶残疾人就业，实施零就业家庭动态清零。完善终身职业技能培训制度。着力防范化解规模性失业风险。维护劳动者和用人单位合法权益，构建和谐劳动关系。</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rPr>
        <w:t>积极应对人口老龄化。</w:t>
      </w:r>
      <w:r>
        <w:rPr>
          <w:rFonts w:ascii="Times New Roman" w:hAnsi="Times New Roman" w:cs="Times New Roman"/>
          <w:szCs w:val="32"/>
        </w:rPr>
        <w:t>落实国家生育政策，促进人口长期均衡发展，提高人口素质。开发老龄人力资源，扩大人口老龄化背景下劳动力有效供给。大力发展银发经济，推动养老事业和养老产业协同发展。多渠道增加养老服务供给，发展互助性养老，支持家庭承担养老功能，加快建设居家社区机构相协调、医养康养相结合的养老服务体系，满足老年人多样化、多层次需求。大力发展老年教育，办好老年大学。落实老年人优待政策，营造尊老敬老养老爱老的社会氛围。</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rPr>
        <w:t>创新基层社会治理。</w:t>
      </w:r>
      <w:r>
        <w:rPr>
          <w:rFonts w:ascii="Times New Roman" w:hAnsi="Times New Roman" w:cs="Times New Roman"/>
          <w:szCs w:val="32"/>
        </w:rPr>
        <w:t>坚持共建共治共享社会治理制度，坚持党的基层组织建设与社会治理一体化推进，健全党组织领导的自治、法治、德治相结合的城乡基层治理体系，推进市域社会治理现代化。深入推进党建引领基层网格化治理和泉城红色物业建设，推进基层党建网、城市管理网、综治维稳网、治安巡控网、社区服务网多网合一，提高条块协同治理能力。提升社会治理科技支撑能力。发挥群团组织和社会组织作用，完善基层民主协商制度，实现政府治理同社会调节、居民自治良性互动，建设人人有责、人人尽责、人人享有的社会治理共同体。</w:t>
      </w:r>
    </w:p>
    <w:p>
      <w:pPr>
        <w:pStyle w:val="3"/>
        <w:spacing w:before="120" w:after="120"/>
        <w:textAlignment w:val="baseline"/>
        <w:rPr>
          <w:rFonts w:ascii="Times New Roman" w:hAnsi="Times New Roman" w:cs="Times New Roman"/>
          <w:color w:val="000000"/>
        </w:rPr>
      </w:pPr>
      <w:bookmarkStart w:id="35" w:name="_Toc75764646"/>
      <w:r>
        <w:rPr>
          <w:rFonts w:ascii="Times New Roman" w:hAnsi="Times New Roman" w:cs="Times New Roman"/>
          <w:color w:val="000000"/>
        </w:rPr>
        <w:t>第五节</w:t>
      </w:r>
      <w:r>
        <w:rPr>
          <w:rFonts w:hint="eastAsia" w:ascii="Times New Roman" w:hAnsi="Times New Roman" w:cs="Times New Roman"/>
          <w:color w:val="000000"/>
        </w:rPr>
        <w:t xml:space="preserve"> </w:t>
      </w:r>
      <w:r>
        <w:rPr>
          <w:rFonts w:ascii="Times New Roman" w:hAnsi="Times New Roman" w:cs="Times New Roman"/>
          <w:color w:val="000000"/>
        </w:rPr>
        <w:t>建设平安和谐天桥</w:t>
      </w:r>
      <w:bookmarkEnd w:id="35"/>
    </w:p>
    <w:p>
      <w:pPr>
        <w:spacing w:line="590" w:lineRule="exact"/>
        <w:ind w:firstLine="640"/>
        <w:textAlignment w:val="baseline"/>
        <w:rPr>
          <w:rFonts w:ascii="Times New Roman" w:hAnsi="Times New Roman" w:cs="Times New Roman"/>
          <w:sz w:val="20"/>
          <w:szCs w:val="32"/>
        </w:rPr>
      </w:pPr>
      <w:r>
        <w:rPr>
          <w:rFonts w:ascii="Times New Roman" w:hAnsi="Times New Roman" w:cs="Times New Roman"/>
          <w:szCs w:val="32"/>
        </w:rPr>
        <w:t>全面贯彻落实总体国家安全观，把安全发展贯穿经济社会发展各领域和全过程，强化底线思维，加强系统治理，把安全隐患消除在萌芽之时，把安全风险化解在成灾之前，把安全防线筑得更实更牢。</w:t>
      </w:r>
    </w:p>
    <w:p>
      <w:pPr>
        <w:ind w:right="-149" w:firstLine="643"/>
        <w:textAlignment w:val="baseline"/>
        <w:rPr>
          <w:rFonts w:ascii="Times New Roman" w:hAnsi="Times New Roman" w:cs="Times New Roman"/>
          <w:sz w:val="20"/>
        </w:rPr>
      </w:pPr>
      <w:r>
        <w:rPr>
          <w:rFonts w:ascii="Times New Roman" w:hAnsi="Times New Roman" w:cs="Times New Roman"/>
          <w:b/>
        </w:rPr>
        <w:t>扎实推进全面依法治区</w:t>
      </w:r>
      <w:r>
        <w:rPr>
          <w:rFonts w:ascii="Times New Roman" w:hAnsi="Times New Roman" w:cs="Times New Roman"/>
        </w:rPr>
        <w:t>。深入学习贯彻习近平法治思想，坚持依法治区、依法执政、依法行政共同推进，法治天桥、法治政府、法治社会一体建设，全面推进严格执法、公正司法、全民守法，有效发挥法治固根本、稳预期、利长远的保障作用。深化法治政府建设，推进机构、职能、权限、程序、责任法定化，深化行政执法体制改革，加大政务公开力度，完善行政问责制度。深化司法体制综合配套改革，不断提高执法司法公信力，确保司法公正高效权威，切实维护社会公平正义。深化法治社会建设，全面实施“八五”普法，增强全民法治观念，弘扬社会主义法治精神。加强对民法典的宣传、推进工作，确保民法典得到全面有效执行。</w:t>
      </w:r>
    </w:p>
    <w:p>
      <w:pPr>
        <w:ind w:right="-149" w:firstLine="643"/>
        <w:textAlignment w:val="baseline"/>
        <w:rPr>
          <w:rFonts w:ascii="Times New Roman" w:hAnsi="Times New Roman" w:cs="Times New Roman"/>
          <w:sz w:val="20"/>
        </w:rPr>
      </w:pPr>
      <w:r>
        <w:rPr>
          <w:rFonts w:ascii="Times New Roman" w:hAnsi="Times New Roman" w:cs="Times New Roman"/>
          <w:b/>
        </w:rPr>
        <w:t>维护社会安全稳定。</w:t>
      </w:r>
      <w:r>
        <w:rPr>
          <w:rFonts w:ascii="Times New Roman" w:hAnsi="Times New Roman" w:cs="Times New Roman"/>
        </w:rPr>
        <w:t>深化“枫桥经验”天桥实践，畅通和规范群众诉求表达、利益协调、权益保障通道。落实重大决策社会稳定评估机制，有效防范和妥善处置群体性事件，加强重大舆情和突发事件舆论引导。持续开展十大领域信访突出问题专项治理，突出事要解决，建立信访积案常态化化解机制。坚持人民调解、行政调解、司法调解联动，推动社会矛盾纠纷多元化化解。健全社会心理服务体系和危机干预机制。完善现代化社会治安防控体系，依法打击各类违法犯罪活动，推进扫黑除恶常态化，保持社会和谐稳定。全面落实城市安全运行主体责任、领导责任、监管责任和属地责任，完善城市安全常态化管控和应急管理体系，提高应急处置能力。健全完善和落实安全生产责任制，加强安全生产监管执法。</w:t>
      </w:r>
    </w:p>
    <w:p>
      <w:pPr>
        <w:spacing w:line="590" w:lineRule="exact"/>
        <w:ind w:firstLine="643"/>
        <w:textAlignment w:val="baseline"/>
        <w:rPr>
          <w:rFonts w:ascii="Times New Roman" w:hAnsi="Times New Roman" w:cs="Times New Roman"/>
          <w:sz w:val="20"/>
          <w:szCs w:val="32"/>
        </w:rPr>
      </w:pPr>
      <w:r>
        <w:rPr>
          <w:rFonts w:ascii="Times New Roman" w:hAnsi="Times New Roman" w:cs="Times New Roman"/>
          <w:b/>
        </w:rPr>
        <w:t>防范化解重大风险。</w:t>
      </w:r>
      <w:r>
        <w:rPr>
          <w:rFonts w:ascii="Times New Roman" w:hAnsi="Times New Roman" w:cs="Times New Roman"/>
          <w:szCs w:val="32"/>
        </w:rPr>
        <w:t>坚持底线思维，增强忧患意识，健全风险防控机制，提高风险化解能力，严密防范和化解政治、意识形态、经济、科技、社会、对外工作、党的自身建设等领域的各类风险。加强经济安全风险预警、防控机制和能力建设，做好密码工作，实现重要产业、基础设施、战略资源、重大科技等关键领域安全可控。增强产业体系抗冲击能力，确保产业链供应链安全。维护粮食、能源、资源安全，维护水利、电力、供水、油气、交通、通信、消防、网络、金融等重要基础设施安全，提高水资源集约安全利用水平。建立健全地方金融监管和风险防控体系，持续做好互联网金融风险整治。</w:t>
      </w:r>
    </w:p>
    <w:p>
      <w:pPr>
        <w:spacing w:line="590" w:lineRule="exact"/>
        <w:ind w:firstLine="400"/>
        <w:textAlignment w:val="baseline"/>
        <w:rPr>
          <w:rFonts w:ascii="Times New Roman" w:hAnsi="Times New Roman" w:cs="Times New Roman"/>
          <w:sz w:val="20"/>
          <w:szCs w:val="32"/>
        </w:rPr>
      </w:pPr>
    </w:p>
    <w:p>
      <w:pPr>
        <w:pStyle w:val="2"/>
        <w:numPr>
          <w:ilvl w:val="0"/>
          <w:numId w:val="1"/>
        </w:numPr>
        <w:spacing w:before="156" w:after="156" w:line="620" w:lineRule="exact"/>
        <w:ind w:left="1474" w:hanging="1117"/>
        <w:textAlignment w:val="baseline"/>
        <w:rPr>
          <w:rFonts w:ascii="Times New Roman" w:hAnsi="Times New Roman" w:cs="Times New Roman"/>
          <w:color w:val="000000"/>
        </w:rPr>
      </w:pPr>
      <w:bookmarkStart w:id="36" w:name="_Toc75764647"/>
      <w:r>
        <w:rPr>
          <w:rFonts w:ascii="Times New Roman" w:hAnsi="Times New Roman" w:cs="Times New Roman"/>
          <w:color w:val="000000"/>
        </w:rPr>
        <w:t>保障措施</w:t>
      </w:r>
      <w:bookmarkEnd w:id="36"/>
    </w:p>
    <w:p>
      <w:pPr>
        <w:ind w:firstLine="640"/>
        <w:textAlignment w:val="baseline"/>
        <w:rPr>
          <w:rFonts w:ascii="Times New Roman" w:hAnsi="Times New Roman" w:cs="Times New Roman"/>
          <w:sz w:val="20"/>
          <w:lang w:val="en-GB"/>
        </w:rPr>
      </w:pPr>
      <w:r>
        <w:rPr>
          <w:rFonts w:ascii="Times New Roman" w:hAnsi="Times New Roman" w:cs="Times New Roman"/>
          <w:szCs w:val="32"/>
        </w:rPr>
        <w:t>实现“十四五”规划和二</w:t>
      </w:r>
      <w:r>
        <w:rPr>
          <w:rFonts w:hint="eastAsia" w:ascii="微软雅黑" w:hAnsi="微软雅黑" w:eastAsia="微软雅黑" w:cs="微软雅黑"/>
          <w:szCs w:val="32"/>
        </w:rPr>
        <w:t>〇</w:t>
      </w:r>
      <w:r>
        <w:rPr>
          <w:rFonts w:hint="eastAsia" w:hAnsi="仿宋_GB2312" w:cs="仿宋_GB2312"/>
          <w:szCs w:val="32"/>
        </w:rPr>
        <w:t>三五年远景目标，必须认真落实新时代党的建设总要求，坚持和完善党领导经济社会发展的体制机制，充分调动一切积极因素，广泛团结一切可以团结的力量，形成推动发展的强大合力，切实把战略要求转化为战略行动、战略成果。</w:t>
      </w:r>
    </w:p>
    <w:p>
      <w:pPr>
        <w:pStyle w:val="3"/>
        <w:textAlignment w:val="baseline"/>
        <w:rPr>
          <w:rFonts w:ascii="Times New Roman" w:hAnsi="Times New Roman" w:cs="Times New Roman"/>
        </w:rPr>
      </w:pPr>
      <w:bookmarkStart w:id="37" w:name="_Toc75764648"/>
      <w:r>
        <w:rPr>
          <w:rFonts w:ascii="Times New Roman" w:hAnsi="Times New Roman" w:cs="Times New Roman"/>
        </w:rPr>
        <w:t>第一节</w:t>
      </w:r>
      <w:r>
        <w:rPr>
          <w:rFonts w:hint="eastAsia" w:ascii="Times New Roman" w:hAnsi="Times New Roman" w:cs="Times New Roman"/>
        </w:rPr>
        <w:t xml:space="preserve"> </w:t>
      </w:r>
      <w:r>
        <w:rPr>
          <w:rFonts w:ascii="Times New Roman" w:hAnsi="Times New Roman" w:cs="Times New Roman"/>
        </w:rPr>
        <w:t>全面加强党的领导</w:t>
      </w:r>
      <w:bookmarkEnd w:id="37"/>
    </w:p>
    <w:p>
      <w:pPr>
        <w:spacing w:before="156"/>
        <w:ind w:firstLine="640"/>
        <w:textAlignment w:val="baseline"/>
        <w:rPr>
          <w:rFonts w:ascii="Times New Roman" w:hAnsi="Times New Roman" w:cs="Times New Roman"/>
          <w:sz w:val="20"/>
          <w:lang w:val="en-GB"/>
        </w:rPr>
      </w:pPr>
      <w:r>
        <w:rPr>
          <w:rFonts w:ascii="Times New Roman" w:hAnsi="Times New Roman" w:cs="Times New Roman"/>
          <w:szCs w:val="32"/>
        </w:rPr>
        <w:t>深入学习贯彻习近平新时代中国特色社会主义思想，持续强化党的创新理论武装，不忘初心、牢记使命，增强“四个意识”、坚定“四个自信”、做到“两个维护”，完善上下贯通、执行有力的组织体系，确保习近平总书记对山东、对济南工作的重要指示要求和党中央决策部署落地落实。贯彻党把方向、谋大局、定政策、促改革的要求，正确处理保证党中央政令畅通和立足实际创造性开展工作的关系，切实把习近平总书记重要指示要求转化为具体实践，不断取得新成效。压紧压实全面从严治党主体责任、监督责任，推动全面从严治党向纵深发展，</w:t>
      </w:r>
      <w:r>
        <w:rPr>
          <w:rFonts w:hint="eastAsia" w:ascii="Times New Roman" w:hAnsi="Times New Roman" w:cs="Times New Roman"/>
          <w:szCs w:val="32"/>
        </w:rPr>
        <w:t>以高质量</w:t>
      </w:r>
      <w:r>
        <w:rPr>
          <w:rFonts w:ascii="Times New Roman" w:hAnsi="Times New Roman" w:cs="Times New Roman"/>
          <w:szCs w:val="32"/>
        </w:rPr>
        <w:t>党建引领高质量发展。全面贯彻新时代党的组织路线，坚持大抓基层的鲜明导向，实施党建工作提质三年行动计划，推动基层党组织全面进步全面过硬。落实好干部标准，坚持正确用人导向，重视干部选育和梯次配备，提高领导班子和干部队伍建设质量。深化人才发展体制机制改革，打造人才聚集新高地。坚持严管与厚爱相结合、激励与约束并重，积极为敢担当、善作为的干部容错纠错、澄清正名，形成鼓励改革、支持创新、宽容失败的浓厚氛围。锲而不舍落实中央八项规定及其实施细则精神，持续纠治形式主义、官僚主义，切实为基层减负。完善监督体系，加强政治监督，强化对公权力运行的制约和监督。坚持无禁区、全覆盖、零容忍，一体推进</w:t>
      </w:r>
      <w:r>
        <w:rPr>
          <w:rFonts w:hint="eastAsia" w:ascii="Times New Roman" w:hAnsi="Times New Roman" w:cs="Times New Roman"/>
          <w:szCs w:val="32"/>
          <w:lang w:eastAsia="zh-CN"/>
        </w:rPr>
        <w:t>不敢腐、不能腐、不想腐</w:t>
      </w:r>
      <w:r>
        <w:rPr>
          <w:rFonts w:ascii="Times New Roman" w:hAnsi="Times New Roman" w:cs="Times New Roman"/>
          <w:szCs w:val="32"/>
        </w:rPr>
        <w:t>、不想腐，营造风清气正的良好政治生态。</w:t>
      </w:r>
    </w:p>
    <w:p>
      <w:pPr>
        <w:pStyle w:val="3"/>
        <w:spacing w:before="120" w:after="120"/>
        <w:textAlignment w:val="baseline"/>
        <w:rPr>
          <w:rFonts w:ascii="Times New Roman" w:hAnsi="Times New Roman" w:cs="Times New Roman"/>
          <w:bCs w:val="0"/>
        </w:rPr>
      </w:pPr>
      <w:bookmarkStart w:id="38" w:name="_Toc75764649"/>
      <w:r>
        <w:rPr>
          <w:rFonts w:ascii="Times New Roman" w:hAnsi="Times New Roman" w:cs="Times New Roman"/>
          <w:color w:val="000000"/>
        </w:rPr>
        <w:t>第二节</w:t>
      </w:r>
      <w:r>
        <w:rPr>
          <w:rFonts w:hint="eastAsia" w:ascii="Times New Roman" w:hAnsi="Times New Roman" w:cs="Times New Roman"/>
          <w:color w:val="000000"/>
        </w:rPr>
        <w:t xml:space="preserve"> </w:t>
      </w:r>
      <w:r>
        <w:rPr>
          <w:rFonts w:ascii="Times New Roman" w:hAnsi="Times New Roman" w:cs="Times New Roman"/>
          <w:bCs w:val="0"/>
        </w:rPr>
        <w:t>广泛凝聚工作合力</w:t>
      </w:r>
      <w:bookmarkEnd w:id="38"/>
    </w:p>
    <w:p>
      <w:pPr>
        <w:ind w:firstLine="640"/>
        <w:textAlignment w:val="baseline"/>
        <w:rPr>
          <w:rFonts w:ascii="Times New Roman" w:hAnsi="Times New Roman" w:cs="Times New Roman"/>
          <w:sz w:val="20"/>
          <w:lang w:val="en-GB"/>
        </w:rPr>
      </w:pPr>
      <w:r>
        <w:rPr>
          <w:rFonts w:ascii="Times New Roman" w:hAnsi="Times New Roman" w:cs="Times New Roman"/>
          <w:szCs w:val="32"/>
        </w:rPr>
        <w:t>坚持人民主体地位，尊重群众意愿，尊重基层首创精神，充分激发广大人民群众的积极性、主动性、创造性。坚持和完善人民代表大会制度，坚持和完善中国共产党领导的多党合作和政治协商制度，充分发挥人大“代表面对面”、政协“商量”品牌优势，把民主贯穿到改革发展稳定的各领域各方面。发挥工会、共青团、妇联等人民团体作用，把各自联系的群众紧紧凝聚在党的周围。完善大统战工作格局，</w:t>
      </w:r>
      <w:r>
        <w:rPr>
          <w:rFonts w:hint="eastAsia" w:ascii="Times New Roman" w:hAnsi="Times New Roman" w:cs="Times New Roman"/>
          <w:szCs w:val="32"/>
        </w:rPr>
        <w:t>全力打造“统战会客厅”品牌建设，</w:t>
      </w:r>
      <w:r>
        <w:rPr>
          <w:rFonts w:ascii="Times New Roman" w:hAnsi="Times New Roman" w:cs="Times New Roman"/>
          <w:szCs w:val="32"/>
        </w:rPr>
        <w:t>发挥民主党派、工商联和无党派人士作用，深入做好民族宗教工作，加强民营经济和新的社会阶层人士统战工作，广泛团结港澳同胞、台湾同胞和海外侨胞等爱国友好力量。深化双拥共建，</w:t>
      </w:r>
      <w:r>
        <w:rPr>
          <w:rFonts w:ascii="Times New Roman" w:hAnsi="Times New Roman" w:cs="Times New Roman"/>
          <w:color w:val="000000"/>
        </w:rPr>
        <w:t>国防</w:t>
      </w:r>
      <w:r>
        <w:rPr>
          <w:rFonts w:hint="eastAsia" w:ascii="Times New Roman" w:hAnsi="Times New Roman" w:cs="Times New Roman"/>
          <w:color w:val="000000"/>
        </w:rPr>
        <w:t>动员、</w:t>
      </w:r>
      <w:r>
        <w:rPr>
          <w:rFonts w:ascii="Times New Roman" w:hAnsi="Times New Roman" w:cs="Times New Roman"/>
          <w:szCs w:val="32"/>
        </w:rPr>
        <w:t>军民融合</w:t>
      </w:r>
      <w:r>
        <w:rPr>
          <w:rFonts w:ascii="Times New Roman" w:hAnsi="Times New Roman" w:cs="Times New Roman"/>
          <w:color w:val="000000"/>
        </w:rPr>
        <w:t>深入开展</w:t>
      </w:r>
      <w:r>
        <w:rPr>
          <w:rFonts w:hint="eastAsia" w:ascii="Times New Roman" w:hAnsi="Times New Roman" w:cs="Times New Roman"/>
          <w:color w:val="000000"/>
        </w:rPr>
        <w:t>，</w:t>
      </w:r>
      <w:r>
        <w:rPr>
          <w:rFonts w:ascii="Times New Roman" w:hAnsi="Times New Roman" w:cs="Times New Roman"/>
          <w:szCs w:val="32"/>
        </w:rPr>
        <w:t>巩固军政军民团结。坚持和发扬天桥党员干部群众讲政治、识大体、顾大局、实在实干、作风顽强、团结包容的优秀品质，大力弘扬“开放、包容、诚信、图强”的天桥精神，向着加快建设现代化中心城区、打造黄河流域生态保护和高质量发展样板区的宏伟目标阔步前进。</w:t>
      </w:r>
    </w:p>
    <w:p>
      <w:pPr>
        <w:pStyle w:val="3"/>
        <w:spacing w:before="120" w:after="120"/>
        <w:textAlignment w:val="baseline"/>
        <w:rPr>
          <w:rFonts w:ascii="Times New Roman" w:hAnsi="Times New Roman" w:cs="Times New Roman"/>
          <w:color w:val="000000"/>
        </w:rPr>
      </w:pPr>
      <w:bookmarkStart w:id="39" w:name="_Toc75764650"/>
      <w:r>
        <w:rPr>
          <w:rFonts w:ascii="Times New Roman" w:hAnsi="Times New Roman" w:cs="Times New Roman"/>
          <w:color w:val="000000"/>
        </w:rPr>
        <w:t>第三节</w:t>
      </w:r>
      <w:r>
        <w:rPr>
          <w:rFonts w:hint="eastAsia" w:ascii="Times New Roman" w:hAnsi="Times New Roman" w:cs="Times New Roman"/>
          <w:color w:val="000000"/>
        </w:rPr>
        <w:t xml:space="preserve"> </w:t>
      </w:r>
      <w:r>
        <w:rPr>
          <w:rFonts w:ascii="Times New Roman" w:hAnsi="Times New Roman" w:cs="Times New Roman"/>
          <w:color w:val="000000"/>
        </w:rPr>
        <w:t>强化各类要素保障</w:t>
      </w:r>
      <w:bookmarkEnd w:id="39"/>
    </w:p>
    <w:p>
      <w:pPr>
        <w:ind w:firstLine="640"/>
        <w:textAlignment w:val="baseline"/>
        <w:rPr>
          <w:rFonts w:ascii="Times New Roman" w:hAnsi="Times New Roman" w:cs="Times New Roman"/>
          <w:sz w:val="20"/>
          <w:lang w:val="en-GB"/>
        </w:rPr>
      </w:pPr>
      <w:r>
        <w:rPr>
          <w:rFonts w:ascii="Times New Roman" w:hAnsi="Times New Roman" w:cs="Times New Roman"/>
          <w:lang w:val="en-GB"/>
        </w:rPr>
        <w:t>围绕规划目标任务，强化资本、土地等要素的供给能力，促进要素自主有序流动，进一步激发全社会创造力和市场活力。统筹优化财政支出结构和政府投资结构，优先安排涉及基础设施、民生保障、生态环保、新兴产业等领域的投入。努力拓宽融资渠道，通过设立政府引导基金等方式，撬动更多社会资本投向规划重点领域，为规划实施提供资金保障。创新土地利用机制，通过严控增量、盘活存量、优化结构，促进土地集约利用。加强对能源、水资源利用的科学管理，建立生态补偿机制，加强环境容量控制。</w:t>
      </w:r>
    </w:p>
    <w:p>
      <w:pPr>
        <w:pStyle w:val="3"/>
        <w:spacing w:before="120" w:after="120"/>
        <w:textAlignment w:val="baseline"/>
        <w:rPr>
          <w:rFonts w:ascii="Times New Roman" w:hAnsi="Times New Roman" w:cs="Times New Roman"/>
          <w:color w:val="000000"/>
        </w:rPr>
      </w:pPr>
      <w:bookmarkStart w:id="40" w:name="_Toc75764651"/>
      <w:r>
        <w:rPr>
          <w:rFonts w:ascii="Times New Roman" w:hAnsi="Times New Roman" w:cs="Times New Roman"/>
          <w:color w:val="000000"/>
        </w:rPr>
        <w:t>第</w:t>
      </w:r>
      <w:r>
        <w:rPr>
          <w:rFonts w:hint="eastAsia" w:ascii="Times New Roman" w:hAnsi="Times New Roman" w:cs="Times New Roman"/>
          <w:color w:val="000000"/>
        </w:rPr>
        <w:t>四</w:t>
      </w:r>
      <w:r>
        <w:rPr>
          <w:rFonts w:ascii="Times New Roman" w:hAnsi="Times New Roman" w:cs="Times New Roman"/>
          <w:color w:val="000000"/>
        </w:rPr>
        <w:t>节</w:t>
      </w:r>
      <w:r>
        <w:rPr>
          <w:rFonts w:hint="eastAsia" w:ascii="Times New Roman" w:hAnsi="Times New Roman" w:cs="Times New Roman"/>
          <w:color w:val="000000"/>
        </w:rPr>
        <w:t xml:space="preserve"> </w:t>
      </w:r>
      <w:r>
        <w:rPr>
          <w:rFonts w:ascii="Times New Roman" w:hAnsi="Times New Roman" w:cs="Times New Roman"/>
          <w:color w:val="000000"/>
        </w:rPr>
        <w:t>切实抓好</w:t>
      </w:r>
      <w:r>
        <w:rPr>
          <w:rFonts w:hint="eastAsia" w:ascii="Times New Roman" w:hAnsi="Times New Roman" w:cs="Times New Roman"/>
          <w:color w:val="000000"/>
        </w:rPr>
        <w:t>高效</w:t>
      </w:r>
      <w:r>
        <w:rPr>
          <w:rFonts w:ascii="Times New Roman" w:hAnsi="Times New Roman" w:cs="Times New Roman"/>
          <w:color w:val="000000"/>
        </w:rPr>
        <w:t>落实</w:t>
      </w:r>
      <w:bookmarkEnd w:id="40"/>
    </w:p>
    <w:p>
      <w:pPr>
        <w:spacing w:line="560" w:lineRule="exact"/>
        <w:ind w:firstLine="640"/>
        <w:textAlignment w:val="baseline"/>
        <w:rPr>
          <w:rFonts w:ascii="Times New Roman" w:hAnsi="Times New Roman" w:cs="Times New Roman"/>
          <w:szCs w:val="32"/>
        </w:rPr>
      </w:pPr>
      <w:r>
        <w:rPr>
          <w:rFonts w:ascii="Times New Roman" w:hAnsi="Times New Roman" w:cs="Times New Roman"/>
          <w:szCs w:val="32"/>
        </w:rPr>
        <w:t>坚持以本纲要为基础</w:t>
      </w:r>
      <w:r>
        <w:rPr>
          <w:rFonts w:hint="eastAsia" w:ascii="Times New Roman" w:hAnsi="Times New Roman" w:cs="Times New Roman"/>
          <w:szCs w:val="32"/>
        </w:rPr>
        <w:t>，制定</w:t>
      </w:r>
      <w:r>
        <w:rPr>
          <w:rFonts w:ascii="Times New Roman" w:hAnsi="Times New Roman" w:cs="Times New Roman"/>
          <w:szCs w:val="32"/>
        </w:rPr>
        <w:t>空间规划</w:t>
      </w:r>
      <w:r>
        <w:rPr>
          <w:rFonts w:hint="eastAsia" w:ascii="Times New Roman" w:hAnsi="Times New Roman" w:cs="Times New Roman"/>
          <w:szCs w:val="32"/>
        </w:rPr>
        <w:t>、</w:t>
      </w:r>
      <w:r>
        <w:rPr>
          <w:rFonts w:ascii="Times New Roman" w:hAnsi="Times New Roman" w:cs="Times New Roman"/>
          <w:szCs w:val="32"/>
        </w:rPr>
        <w:t>专项规划和区域规划，加快形成定位准确、边界清晰、功能互补、统一衔接的规划体系，构建高质量发展指标体系。及时制定分解落实方案，明确时间表、路线图和任务书，以钉钉子精神推进规划纲要机制化、政策化、项目化、事项化落实。健全政策协调和工作协同机制，实施清单台账管理，坚持谁主管谁负责、谁牵头谁协调，一级对一级负责、一级帮一级解决问题，不达目标不罢休。完善规划实施监测评估机制、调整修订机制、监督考核机制，确保“十四五”发展各项目标任务落到实处、圆满完成。</w:t>
      </w: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sectPr>
          <w:footerReference r:id="rId11" w:type="default"/>
          <w:pgSz w:w="11906" w:h="16838"/>
          <w:pgMar w:top="1440" w:right="1588" w:bottom="1440" w:left="1588" w:header="851" w:footer="992" w:gutter="0"/>
          <w:pgNumType w:fmt="numberInDash" w:start="1"/>
          <w:cols w:space="425" w:num="1"/>
          <w:docGrid w:type="lines" w:linePitch="312" w:charSpace="0"/>
        </w:sect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firstLine="640"/>
        <w:textAlignment w:val="baseline"/>
        <w:rPr>
          <w:rFonts w:ascii="Times New Roman" w:hAnsi="Times New Roman" w:cs="Times New Roman"/>
          <w:szCs w:val="32"/>
        </w:rPr>
      </w:pPr>
    </w:p>
    <w:p>
      <w:pPr>
        <w:spacing w:line="560" w:lineRule="exact"/>
        <w:ind w:left="0" w:leftChars="0" w:firstLine="0" w:firstLineChars="0"/>
        <w:textAlignment w:val="baseline"/>
        <w:rPr>
          <w:rFonts w:ascii="Times New Roman" w:hAnsi="Times New Roman" w:cs="Times New Roman"/>
          <w:szCs w:val="32"/>
        </w:rPr>
      </w:pPr>
    </w:p>
    <w:p>
      <w:pPr>
        <w:spacing w:line="560" w:lineRule="exact"/>
        <w:ind w:left="0" w:leftChars="0" w:firstLine="0" w:firstLineChars="0"/>
        <w:textAlignment w:val="baseline"/>
        <w:rPr>
          <w:rFonts w:ascii="Times New Roman" w:hAnsi="Times New Roman" w:cs="Times New Roman"/>
          <w:szCs w:val="32"/>
        </w:rPr>
      </w:pPr>
    </w:p>
    <w:p>
      <w:pPr>
        <w:spacing w:line="560" w:lineRule="exact"/>
        <w:ind w:left="0" w:leftChars="0" w:firstLine="0" w:firstLineChars="0"/>
        <w:textAlignment w:val="baseline"/>
        <w:rPr>
          <w:rFonts w:ascii="Times New Roman" w:hAnsi="Times New Roman" w:cs="Times New Roman"/>
          <w:szCs w:val="32"/>
        </w:rPr>
      </w:pPr>
    </w:p>
    <w:p>
      <w:pPr>
        <w:spacing w:line="620" w:lineRule="exact"/>
        <w:ind w:left="960" w:leftChars="100" w:hanging="640" w:hangingChars="200"/>
        <w:rPr>
          <w:rFonts w:eastAsia="仿宋_GB2312"/>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pt;height:0pt;width:441pt;z-index:251660288;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cTY40QAAAAQBAAAPAAAAAAAAAAEAIAAAACIAAABkcnMvZG93bnJldi54bWxQSwECFAAUAAAA&#10;CACHTuJAxbOwk/UBAADkAwAADgAAAAAAAAABACAAAAAgAQAAZHJzL2Uyb0RvYy54bWxQSwUGAAAA&#10;AAYABgBZAQAAhwUAAAAA&#10;">
                <v:fill on="f" focussize="0,0"/>
                <v:stroke color="#000000" joinstyle="round"/>
                <v:imagedata o:title=""/>
                <o:lock v:ext="edit" aspectratio="f"/>
              </v:line>
            </w:pict>
          </mc:Fallback>
        </mc:AlternateContent>
      </w:r>
      <w:r>
        <w:rPr>
          <w:rFonts w:eastAsia="仿宋_GB2312"/>
          <w:sz w:val="32"/>
          <w:szCs w:val="32"/>
        </w:rPr>
        <w:t>抄送：区委</w:t>
      </w:r>
      <w:r>
        <w:rPr>
          <w:rFonts w:hint="eastAsia"/>
          <w:sz w:val="32"/>
          <w:szCs w:val="32"/>
          <w:lang w:eastAsia="zh-CN"/>
        </w:rPr>
        <w:t>各部门</w:t>
      </w:r>
      <w:r>
        <w:rPr>
          <w:rFonts w:eastAsia="仿宋_GB2312"/>
          <w:sz w:val="32"/>
          <w:szCs w:val="32"/>
        </w:rPr>
        <w:t>，区人大</w:t>
      </w:r>
      <w:r>
        <w:rPr>
          <w:rFonts w:hint="eastAsia"/>
          <w:sz w:val="32"/>
          <w:szCs w:val="32"/>
          <w:lang w:eastAsia="zh-CN"/>
        </w:rPr>
        <w:t>办</w:t>
      </w:r>
      <w:r>
        <w:rPr>
          <w:rFonts w:eastAsia="仿宋_GB2312"/>
          <w:sz w:val="32"/>
          <w:szCs w:val="32"/>
        </w:rPr>
        <w:t>，区政协</w:t>
      </w:r>
      <w:r>
        <w:rPr>
          <w:rFonts w:hint="eastAsia"/>
          <w:sz w:val="32"/>
          <w:szCs w:val="32"/>
          <w:lang w:eastAsia="zh-CN"/>
        </w:rPr>
        <w:t>办</w:t>
      </w:r>
      <w:r>
        <w:rPr>
          <w:rFonts w:eastAsia="仿宋_GB2312"/>
          <w:sz w:val="32"/>
          <w:szCs w:val="32"/>
        </w:rPr>
        <w:t>，区</w:t>
      </w:r>
      <w:r>
        <w:rPr>
          <w:rFonts w:hint="eastAsia"/>
          <w:sz w:val="32"/>
          <w:szCs w:val="32"/>
          <w:lang w:eastAsia="zh-CN"/>
        </w:rPr>
        <w:t>监委</w:t>
      </w:r>
      <w:r>
        <w:rPr>
          <w:rFonts w:eastAsia="仿宋_GB2312"/>
          <w:sz w:val="32"/>
          <w:szCs w:val="32"/>
        </w:rPr>
        <w:t>，</w:t>
      </w:r>
    </w:p>
    <w:p>
      <w:pPr>
        <w:spacing w:line="620" w:lineRule="exact"/>
        <w:ind w:left="960" w:leftChars="300" w:firstLine="320" w:firstLineChars="100"/>
        <w:rPr>
          <w:rFonts w:eastAsia="仿宋_GB2312"/>
          <w:sz w:val="32"/>
          <w:szCs w:val="32"/>
        </w:rPr>
      </w:pPr>
      <w:r>
        <w:rPr>
          <w:rFonts w:eastAsia="仿宋_GB2312"/>
          <w:sz w:val="32"/>
          <w:szCs w:val="32"/>
        </w:rPr>
        <w:t>区人武部，区法院，区检察院。</w:t>
      </w:r>
    </w:p>
    <w:p>
      <w:pPr>
        <w:spacing w:line="620" w:lineRule="exact"/>
        <w:ind w:firstLine="160" w:firstLineChars="50"/>
        <w:rPr>
          <w:rFonts w:hint="eastAsia" w:eastAsia="仿宋_GB2312"/>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41pt;z-index:251661312;mso-width-relative:page;mso-height-relative:page;" filled="f" stroked="t" coordsize="21600,21600"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zZ0otIAAAAEAQAADwAAAAAAAAABACAAAAAiAAAAZHJzL2Rvd25yZXYueG1sUEsBAhQAFAAA&#10;AAgAh07iQPOk/Er1AQAA5AMAAA4AAAAAAAAAAQAgAAAAIQEAAGRycy9lMm9Eb2MueG1sUEsFBgAA&#10;AAAGAAYAWQEAAIgFAAAAAA==&#10;">
                <v:fill on="f" focussize="0,0"/>
                <v:stroke color="#000000" joinstyle="round"/>
                <v:imagedata o:title=""/>
                <o:lock v:ext="edit" aspectratio="f"/>
              </v:line>
            </w:pict>
          </mc:Fallback>
        </mc:AlternateContent>
      </w:r>
      <w:r>
        <w:rPr>
          <w:rFonts w:eastAsia="仿宋_GB2312"/>
          <w:sz w:val="32"/>
          <w:szCs w:val="32"/>
        </w:rPr>
        <w:t>济南市天桥区人民政府办公室        20</w:t>
      </w:r>
      <w:r>
        <w:rPr>
          <w:rFonts w:hint="eastAsia"/>
          <w:sz w:val="32"/>
          <w:szCs w:val="32"/>
          <w:lang w:val="en-US" w:eastAsia="zh-CN"/>
        </w:rPr>
        <w:t>21</w:t>
      </w:r>
      <w:r>
        <w:rPr>
          <w:rFonts w:eastAsia="仿宋_GB2312"/>
          <w:sz w:val="32"/>
          <w:szCs w:val="32"/>
        </w:rPr>
        <w:t>年</w:t>
      </w:r>
      <w:r>
        <w:rPr>
          <w:rFonts w:hint="eastAsia"/>
          <w:sz w:val="32"/>
          <w:szCs w:val="32"/>
          <w:lang w:val="en-US" w:eastAsia="zh-CN"/>
        </w:rPr>
        <w:t>6</w:t>
      </w:r>
      <w:r>
        <w:rPr>
          <w:rFonts w:eastAsia="仿宋_GB2312"/>
          <w:sz w:val="32"/>
          <w:szCs w:val="32"/>
        </w:rPr>
        <w:t>月</w:t>
      </w:r>
      <w:r>
        <w:rPr>
          <w:rFonts w:hint="eastAsia"/>
          <w:sz w:val="32"/>
          <w:szCs w:val="32"/>
          <w:lang w:val="en-US" w:eastAsia="zh-CN"/>
        </w:rPr>
        <w:t>30</w:t>
      </w:r>
      <w:r>
        <w:rPr>
          <w:rFonts w:eastAsia="仿宋_GB2312"/>
          <w:sz w:val="32"/>
          <w:szCs w:val="32"/>
        </w:rPr>
        <w:t>日印</w:t>
      </w:r>
      <w:r>
        <w:rPr>
          <w:rFonts w:hint="eastAsia" w:eastAsia="仿宋_GB2312"/>
          <w:sz w:val="32"/>
          <w:szCs w:val="32"/>
        </w:rPr>
        <w:t>发</w:t>
      </w:r>
    </w:p>
    <w:p>
      <w:pPr>
        <w:spacing w:line="620" w:lineRule="exact"/>
        <w:ind w:firstLine="660"/>
        <w:rPr>
          <w:rFonts w:ascii="Times New Roman" w:hAnsi="Times New Roman" w:cs="Times New Roman"/>
          <w:szCs w:val="32"/>
          <w:lang w:val="en-GB"/>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116840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2pt;height:0pt;width:441pt;z-index:251662336;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Vf1OdIAAAAGAQAADwAAAAAAAAABACAAAAAiAAAAZHJzL2Rvd25yZXYueG1sUEsBAhQAFAAA&#10;AAgAh07iQOLPmCf1AQAA5AMAAA4AAAAAAAAAAQAgAAAAIQEAAGRycy9lMm9Eb2MueG1sUEsFBgAA&#10;AAAGAAYAWQEAAIgFAAAAAA==&#10;">
                <v:fill on="f" focussize="0,0"/>
                <v:stroke color="#000000" joinstyle="round"/>
                <v:imagedata o:title=""/>
                <o:lock v:ext="edit" aspectratio="f"/>
              </v:line>
            </w:pict>
          </mc:Fallback>
        </mc:AlternateContent>
      </w:r>
    </w:p>
    <w:sectPr>
      <w:footerReference r:id="rId12" w:type="default"/>
      <w:pgSz w:w="11906" w:h="16838"/>
      <w:pgMar w:top="1440" w:right="1588" w:bottom="1440" w:left="1588"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文星标宋">
    <w:altName w:val="宋体"/>
    <w:panose1 w:val="00000000000000000000"/>
    <w:charset w:val="00"/>
    <w:family w:val="auto"/>
    <w:pitch w:val="default"/>
    <w:sig w:usb0="00000000" w:usb1="00000000" w:usb2="00000010"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740200"/>
      <w:showingPlcHdr/>
    </w:sdtPr>
    <w:sdtContent>
      <w:p>
        <w:pPr>
          <w:pStyle w:val="10"/>
          <w:ind w:firstLine="360"/>
          <w:jc w:val="center"/>
        </w:pPr>
        <w:r>
          <w:t xml:space="preserve">     </w:t>
        </w:r>
      </w:p>
    </w:sdtContent>
  </w:sdt>
  <w:p>
    <w:pPr>
      <w:pStyle w:val="10"/>
      <w:ind w:firstLine="48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31 -</w:t>
    </w:r>
    <w:r>
      <w:rPr>
        <w:rFonts w:ascii="Times New Roman" w:hAnsi="Times New Roman" w:cs="Times New Roman"/>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0" w:firstLineChars="0"/>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2677F"/>
    <w:multiLevelType w:val="multilevel"/>
    <w:tmpl w:val="0B52677F"/>
    <w:lvl w:ilvl="0" w:tentative="0">
      <w:start w:val="1"/>
      <w:numFmt w:val="japaneseCounting"/>
      <w:lvlText w:val="第%1章"/>
      <w:lvlJc w:val="left"/>
      <w:pPr>
        <w:ind w:left="4236" w:hanging="1116"/>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ZmZkZDQ2YjJhMTkwMzEzYmUzM2FkNTdmZTFiMTEifQ=="/>
  </w:docVars>
  <w:rsids>
    <w:rsidRoot w:val="003D6571"/>
    <w:rsid w:val="00001909"/>
    <w:rsid w:val="00002C09"/>
    <w:rsid w:val="00003014"/>
    <w:rsid w:val="000037AB"/>
    <w:rsid w:val="00004962"/>
    <w:rsid w:val="00005761"/>
    <w:rsid w:val="0000690F"/>
    <w:rsid w:val="00006C87"/>
    <w:rsid w:val="00006E30"/>
    <w:rsid w:val="0001010D"/>
    <w:rsid w:val="000101F0"/>
    <w:rsid w:val="00010F64"/>
    <w:rsid w:val="00011AB6"/>
    <w:rsid w:val="00011BD7"/>
    <w:rsid w:val="00012D83"/>
    <w:rsid w:val="00012F80"/>
    <w:rsid w:val="000144F1"/>
    <w:rsid w:val="00014BBE"/>
    <w:rsid w:val="00015613"/>
    <w:rsid w:val="00015F93"/>
    <w:rsid w:val="000164E8"/>
    <w:rsid w:val="0001688B"/>
    <w:rsid w:val="000168DF"/>
    <w:rsid w:val="00017B9F"/>
    <w:rsid w:val="00017D92"/>
    <w:rsid w:val="00017FEC"/>
    <w:rsid w:val="00020036"/>
    <w:rsid w:val="00021383"/>
    <w:rsid w:val="000251FB"/>
    <w:rsid w:val="000263BC"/>
    <w:rsid w:val="00030441"/>
    <w:rsid w:val="00030B72"/>
    <w:rsid w:val="00031614"/>
    <w:rsid w:val="00031FE2"/>
    <w:rsid w:val="00033696"/>
    <w:rsid w:val="0003426D"/>
    <w:rsid w:val="00034DAD"/>
    <w:rsid w:val="00034E1D"/>
    <w:rsid w:val="00035332"/>
    <w:rsid w:val="00036D21"/>
    <w:rsid w:val="00037011"/>
    <w:rsid w:val="000375F0"/>
    <w:rsid w:val="0004066A"/>
    <w:rsid w:val="0004131D"/>
    <w:rsid w:val="00042D96"/>
    <w:rsid w:val="000431C0"/>
    <w:rsid w:val="0004340B"/>
    <w:rsid w:val="00043CED"/>
    <w:rsid w:val="00044603"/>
    <w:rsid w:val="00045F22"/>
    <w:rsid w:val="00047260"/>
    <w:rsid w:val="00047919"/>
    <w:rsid w:val="00050DA8"/>
    <w:rsid w:val="00051223"/>
    <w:rsid w:val="000514CF"/>
    <w:rsid w:val="00052E9B"/>
    <w:rsid w:val="00053ED0"/>
    <w:rsid w:val="000553DB"/>
    <w:rsid w:val="000561BE"/>
    <w:rsid w:val="000564E2"/>
    <w:rsid w:val="000565A3"/>
    <w:rsid w:val="00060B70"/>
    <w:rsid w:val="00060EFD"/>
    <w:rsid w:val="00061F4A"/>
    <w:rsid w:val="00063424"/>
    <w:rsid w:val="00063BF8"/>
    <w:rsid w:val="00064B12"/>
    <w:rsid w:val="00066296"/>
    <w:rsid w:val="00067973"/>
    <w:rsid w:val="000701F8"/>
    <w:rsid w:val="0007048E"/>
    <w:rsid w:val="00070BE2"/>
    <w:rsid w:val="0007160B"/>
    <w:rsid w:val="000717A1"/>
    <w:rsid w:val="00072192"/>
    <w:rsid w:val="00072320"/>
    <w:rsid w:val="00072D69"/>
    <w:rsid w:val="0007314B"/>
    <w:rsid w:val="00073584"/>
    <w:rsid w:val="00073E3D"/>
    <w:rsid w:val="00074F15"/>
    <w:rsid w:val="00075704"/>
    <w:rsid w:val="0007638A"/>
    <w:rsid w:val="000769E4"/>
    <w:rsid w:val="000770BA"/>
    <w:rsid w:val="0007786D"/>
    <w:rsid w:val="000804C4"/>
    <w:rsid w:val="000805FB"/>
    <w:rsid w:val="00080E44"/>
    <w:rsid w:val="000814A3"/>
    <w:rsid w:val="000817CF"/>
    <w:rsid w:val="00082F17"/>
    <w:rsid w:val="00083A77"/>
    <w:rsid w:val="00083B18"/>
    <w:rsid w:val="00083E90"/>
    <w:rsid w:val="00083F54"/>
    <w:rsid w:val="00084BF3"/>
    <w:rsid w:val="00084E48"/>
    <w:rsid w:val="00084FD1"/>
    <w:rsid w:val="0008507C"/>
    <w:rsid w:val="000857AB"/>
    <w:rsid w:val="00086AE5"/>
    <w:rsid w:val="00086E2A"/>
    <w:rsid w:val="0008769B"/>
    <w:rsid w:val="00090633"/>
    <w:rsid w:val="00093229"/>
    <w:rsid w:val="00094028"/>
    <w:rsid w:val="00094384"/>
    <w:rsid w:val="00094E84"/>
    <w:rsid w:val="00095C56"/>
    <w:rsid w:val="00095D97"/>
    <w:rsid w:val="00095E4C"/>
    <w:rsid w:val="0009753E"/>
    <w:rsid w:val="000975B7"/>
    <w:rsid w:val="000A182A"/>
    <w:rsid w:val="000A29F0"/>
    <w:rsid w:val="000A2BD0"/>
    <w:rsid w:val="000A30A1"/>
    <w:rsid w:val="000A3B29"/>
    <w:rsid w:val="000A4A1E"/>
    <w:rsid w:val="000A6C00"/>
    <w:rsid w:val="000A75CA"/>
    <w:rsid w:val="000B0528"/>
    <w:rsid w:val="000B172E"/>
    <w:rsid w:val="000B18E4"/>
    <w:rsid w:val="000B3455"/>
    <w:rsid w:val="000B37CA"/>
    <w:rsid w:val="000B3A1C"/>
    <w:rsid w:val="000B5E3A"/>
    <w:rsid w:val="000B637A"/>
    <w:rsid w:val="000B639C"/>
    <w:rsid w:val="000B676C"/>
    <w:rsid w:val="000B734C"/>
    <w:rsid w:val="000B796D"/>
    <w:rsid w:val="000B7FCA"/>
    <w:rsid w:val="000C1443"/>
    <w:rsid w:val="000C1472"/>
    <w:rsid w:val="000C156A"/>
    <w:rsid w:val="000C1AE9"/>
    <w:rsid w:val="000C20F8"/>
    <w:rsid w:val="000C2E62"/>
    <w:rsid w:val="000C4A9D"/>
    <w:rsid w:val="000C4B98"/>
    <w:rsid w:val="000C519B"/>
    <w:rsid w:val="000C52BA"/>
    <w:rsid w:val="000C5BD4"/>
    <w:rsid w:val="000C5F85"/>
    <w:rsid w:val="000C6A4F"/>
    <w:rsid w:val="000D0371"/>
    <w:rsid w:val="000D0CA6"/>
    <w:rsid w:val="000D0F3C"/>
    <w:rsid w:val="000D1C1C"/>
    <w:rsid w:val="000D25F8"/>
    <w:rsid w:val="000D2922"/>
    <w:rsid w:val="000D2BC4"/>
    <w:rsid w:val="000D43FD"/>
    <w:rsid w:val="000D4733"/>
    <w:rsid w:val="000D526A"/>
    <w:rsid w:val="000D53CA"/>
    <w:rsid w:val="000D5E19"/>
    <w:rsid w:val="000D70B8"/>
    <w:rsid w:val="000D725C"/>
    <w:rsid w:val="000E05A6"/>
    <w:rsid w:val="000E0A10"/>
    <w:rsid w:val="000E0D61"/>
    <w:rsid w:val="000E0D85"/>
    <w:rsid w:val="000E126B"/>
    <w:rsid w:val="000E2128"/>
    <w:rsid w:val="000E2BE3"/>
    <w:rsid w:val="000E3577"/>
    <w:rsid w:val="000E49D8"/>
    <w:rsid w:val="000E4A64"/>
    <w:rsid w:val="000E5E45"/>
    <w:rsid w:val="000F13B2"/>
    <w:rsid w:val="000F1D41"/>
    <w:rsid w:val="000F407C"/>
    <w:rsid w:val="000F484E"/>
    <w:rsid w:val="000F4A67"/>
    <w:rsid w:val="000F4FBF"/>
    <w:rsid w:val="000F54EE"/>
    <w:rsid w:val="000F5658"/>
    <w:rsid w:val="000F60B7"/>
    <w:rsid w:val="000F6E5A"/>
    <w:rsid w:val="000F73B6"/>
    <w:rsid w:val="000F78FA"/>
    <w:rsid w:val="0010115C"/>
    <w:rsid w:val="00101281"/>
    <w:rsid w:val="0010280D"/>
    <w:rsid w:val="00102C18"/>
    <w:rsid w:val="00102E0E"/>
    <w:rsid w:val="0010307F"/>
    <w:rsid w:val="001034C3"/>
    <w:rsid w:val="00103863"/>
    <w:rsid w:val="00103F2B"/>
    <w:rsid w:val="001044E2"/>
    <w:rsid w:val="0010474C"/>
    <w:rsid w:val="00104B69"/>
    <w:rsid w:val="0010519B"/>
    <w:rsid w:val="00106A44"/>
    <w:rsid w:val="0010723A"/>
    <w:rsid w:val="00107305"/>
    <w:rsid w:val="00107310"/>
    <w:rsid w:val="00110DA5"/>
    <w:rsid w:val="0011131C"/>
    <w:rsid w:val="00111584"/>
    <w:rsid w:val="00111823"/>
    <w:rsid w:val="00112225"/>
    <w:rsid w:val="00112B65"/>
    <w:rsid w:val="00112C17"/>
    <w:rsid w:val="00112F5A"/>
    <w:rsid w:val="00114030"/>
    <w:rsid w:val="001147B2"/>
    <w:rsid w:val="00115CC4"/>
    <w:rsid w:val="00116CFE"/>
    <w:rsid w:val="00116EFC"/>
    <w:rsid w:val="00120BD9"/>
    <w:rsid w:val="001229BE"/>
    <w:rsid w:val="00123452"/>
    <w:rsid w:val="00123F85"/>
    <w:rsid w:val="00126D4D"/>
    <w:rsid w:val="0013053F"/>
    <w:rsid w:val="00130951"/>
    <w:rsid w:val="001338D4"/>
    <w:rsid w:val="00134D36"/>
    <w:rsid w:val="00135A28"/>
    <w:rsid w:val="00135A34"/>
    <w:rsid w:val="001370F4"/>
    <w:rsid w:val="00137149"/>
    <w:rsid w:val="0014024A"/>
    <w:rsid w:val="00140FA6"/>
    <w:rsid w:val="00143947"/>
    <w:rsid w:val="0014435B"/>
    <w:rsid w:val="001444EC"/>
    <w:rsid w:val="00145A68"/>
    <w:rsid w:val="00146297"/>
    <w:rsid w:val="001462B5"/>
    <w:rsid w:val="00146661"/>
    <w:rsid w:val="001468D2"/>
    <w:rsid w:val="00146908"/>
    <w:rsid w:val="00146B8C"/>
    <w:rsid w:val="00146C2A"/>
    <w:rsid w:val="0014716D"/>
    <w:rsid w:val="00147339"/>
    <w:rsid w:val="001478FF"/>
    <w:rsid w:val="00147C28"/>
    <w:rsid w:val="00150EBA"/>
    <w:rsid w:val="0015122A"/>
    <w:rsid w:val="00151C7A"/>
    <w:rsid w:val="001520D3"/>
    <w:rsid w:val="001522F6"/>
    <w:rsid w:val="00154039"/>
    <w:rsid w:val="00154134"/>
    <w:rsid w:val="00154246"/>
    <w:rsid w:val="001544F6"/>
    <w:rsid w:val="00154BE9"/>
    <w:rsid w:val="001565C7"/>
    <w:rsid w:val="00160202"/>
    <w:rsid w:val="00164228"/>
    <w:rsid w:val="0016425F"/>
    <w:rsid w:val="0016478E"/>
    <w:rsid w:val="001649B4"/>
    <w:rsid w:val="00164F0B"/>
    <w:rsid w:val="001656D9"/>
    <w:rsid w:val="00165D3D"/>
    <w:rsid w:val="00165DAF"/>
    <w:rsid w:val="0016669F"/>
    <w:rsid w:val="00166CD8"/>
    <w:rsid w:val="00170332"/>
    <w:rsid w:val="00171D39"/>
    <w:rsid w:val="001725F4"/>
    <w:rsid w:val="00172A45"/>
    <w:rsid w:val="00172F89"/>
    <w:rsid w:val="00173BC9"/>
    <w:rsid w:val="00173C2F"/>
    <w:rsid w:val="00173FDE"/>
    <w:rsid w:val="00174D79"/>
    <w:rsid w:val="00175DC2"/>
    <w:rsid w:val="00176D69"/>
    <w:rsid w:val="00177997"/>
    <w:rsid w:val="001779B7"/>
    <w:rsid w:val="001806A6"/>
    <w:rsid w:val="00180D28"/>
    <w:rsid w:val="00180D59"/>
    <w:rsid w:val="00181EA4"/>
    <w:rsid w:val="00182AAA"/>
    <w:rsid w:val="00182B7F"/>
    <w:rsid w:val="00183057"/>
    <w:rsid w:val="00183F6B"/>
    <w:rsid w:val="00184A8D"/>
    <w:rsid w:val="00186B58"/>
    <w:rsid w:val="00190F7A"/>
    <w:rsid w:val="0019105F"/>
    <w:rsid w:val="00191BAF"/>
    <w:rsid w:val="00192A40"/>
    <w:rsid w:val="001931B1"/>
    <w:rsid w:val="00193619"/>
    <w:rsid w:val="00194644"/>
    <w:rsid w:val="001948ED"/>
    <w:rsid w:val="0019699E"/>
    <w:rsid w:val="00196BCE"/>
    <w:rsid w:val="00196E4E"/>
    <w:rsid w:val="00196F36"/>
    <w:rsid w:val="00197EB4"/>
    <w:rsid w:val="001A0F52"/>
    <w:rsid w:val="001A0F8E"/>
    <w:rsid w:val="001A109F"/>
    <w:rsid w:val="001A12A7"/>
    <w:rsid w:val="001A23F0"/>
    <w:rsid w:val="001A26B7"/>
    <w:rsid w:val="001A31C6"/>
    <w:rsid w:val="001A3589"/>
    <w:rsid w:val="001A53FF"/>
    <w:rsid w:val="001A613D"/>
    <w:rsid w:val="001A7548"/>
    <w:rsid w:val="001B042B"/>
    <w:rsid w:val="001B1D92"/>
    <w:rsid w:val="001B28FB"/>
    <w:rsid w:val="001B36E7"/>
    <w:rsid w:val="001B4155"/>
    <w:rsid w:val="001B5F66"/>
    <w:rsid w:val="001B6680"/>
    <w:rsid w:val="001B675D"/>
    <w:rsid w:val="001B7609"/>
    <w:rsid w:val="001B79A2"/>
    <w:rsid w:val="001C09C1"/>
    <w:rsid w:val="001C0A96"/>
    <w:rsid w:val="001C0C64"/>
    <w:rsid w:val="001C0CED"/>
    <w:rsid w:val="001C1EC5"/>
    <w:rsid w:val="001C1FFB"/>
    <w:rsid w:val="001C33DF"/>
    <w:rsid w:val="001C59AF"/>
    <w:rsid w:val="001C69D6"/>
    <w:rsid w:val="001C6C36"/>
    <w:rsid w:val="001C6ECB"/>
    <w:rsid w:val="001C6F97"/>
    <w:rsid w:val="001C7E8B"/>
    <w:rsid w:val="001D086B"/>
    <w:rsid w:val="001D0B68"/>
    <w:rsid w:val="001D0E3D"/>
    <w:rsid w:val="001D11E9"/>
    <w:rsid w:val="001D2038"/>
    <w:rsid w:val="001D38CA"/>
    <w:rsid w:val="001D3F70"/>
    <w:rsid w:val="001D407E"/>
    <w:rsid w:val="001D4447"/>
    <w:rsid w:val="001D52B3"/>
    <w:rsid w:val="001D555B"/>
    <w:rsid w:val="001D5C8F"/>
    <w:rsid w:val="001D5C96"/>
    <w:rsid w:val="001D6125"/>
    <w:rsid w:val="001D63CF"/>
    <w:rsid w:val="001D7CC5"/>
    <w:rsid w:val="001E0B57"/>
    <w:rsid w:val="001E1194"/>
    <w:rsid w:val="001E13C6"/>
    <w:rsid w:val="001E218F"/>
    <w:rsid w:val="001E237A"/>
    <w:rsid w:val="001E26BF"/>
    <w:rsid w:val="001E3953"/>
    <w:rsid w:val="001E4E77"/>
    <w:rsid w:val="001E503F"/>
    <w:rsid w:val="001E69BE"/>
    <w:rsid w:val="001F0539"/>
    <w:rsid w:val="001F0D4B"/>
    <w:rsid w:val="001F0F8C"/>
    <w:rsid w:val="001F1E49"/>
    <w:rsid w:val="001F21AA"/>
    <w:rsid w:val="001F21EB"/>
    <w:rsid w:val="001F2356"/>
    <w:rsid w:val="001F3364"/>
    <w:rsid w:val="001F3D69"/>
    <w:rsid w:val="001F47CF"/>
    <w:rsid w:val="001F4F08"/>
    <w:rsid w:val="001F5B1C"/>
    <w:rsid w:val="001F6465"/>
    <w:rsid w:val="001F71D2"/>
    <w:rsid w:val="001F7212"/>
    <w:rsid w:val="0020066C"/>
    <w:rsid w:val="00200719"/>
    <w:rsid w:val="002011A8"/>
    <w:rsid w:val="0020187E"/>
    <w:rsid w:val="002023DE"/>
    <w:rsid w:val="00202C43"/>
    <w:rsid w:val="00203693"/>
    <w:rsid w:val="0020427F"/>
    <w:rsid w:val="00204475"/>
    <w:rsid w:val="002045FE"/>
    <w:rsid w:val="002047DF"/>
    <w:rsid w:val="00205192"/>
    <w:rsid w:val="002054BC"/>
    <w:rsid w:val="00205512"/>
    <w:rsid w:val="00205F49"/>
    <w:rsid w:val="00205F66"/>
    <w:rsid w:val="0020631E"/>
    <w:rsid w:val="00206738"/>
    <w:rsid w:val="00206E11"/>
    <w:rsid w:val="00206EC5"/>
    <w:rsid w:val="00206ED1"/>
    <w:rsid w:val="00207011"/>
    <w:rsid w:val="00207221"/>
    <w:rsid w:val="0020723A"/>
    <w:rsid w:val="00211111"/>
    <w:rsid w:val="00211FCD"/>
    <w:rsid w:val="002128DF"/>
    <w:rsid w:val="00212A99"/>
    <w:rsid w:val="002137FD"/>
    <w:rsid w:val="0021392C"/>
    <w:rsid w:val="00215472"/>
    <w:rsid w:val="00215C36"/>
    <w:rsid w:val="00216D6A"/>
    <w:rsid w:val="002178AC"/>
    <w:rsid w:val="00217EBF"/>
    <w:rsid w:val="0022045B"/>
    <w:rsid w:val="002212DD"/>
    <w:rsid w:val="00221F33"/>
    <w:rsid w:val="00225E7B"/>
    <w:rsid w:val="0022609D"/>
    <w:rsid w:val="00226AEE"/>
    <w:rsid w:val="002273A2"/>
    <w:rsid w:val="00231F7C"/>
    <w:rsid w:val="00232751"/>
    <w:rsid w:val="002332AB"/>
    <w:rsid w:val="002335ED"/>
    <w:rsid w:val="00233BF0"/>
    <w:rsid w:val="00234347"/>
    <w:rsid w:val="00234464"/>
    <w:rsid w:val="0023459D"/>
    <w:rsid w:val="00236547"/>
    <w:rsid w:val="00236ACB"/>
    <w:rsid w:val="00237B18"/>
    <w:rsid w:val="00237CC6"/>
    <w:rsid w:val="00241F63"/>
    <w:rsid w:val="002423AE"/>
    <w:rsid w:val="00242AA8"/>
    <w:rsid w:val="00243741"/>
    <w:rsid w:val="00243C8A"/>
    <w:rsid w:val="00243DE2"/>
    <w:rsid w:val="00243E61"/>
    <w:rsid w:val="00244391"/>
    <w:rsid w:val="0024541F"/>
    <w:rsid w:val="002463C6"/>
    <w:rsid w:val="0025171C"/>
    <w:rsid w:val="00251B63"/>
    <w:rsid w:val="00252B82"/>
    <w:rsid w:val="00252ED3"/>
    <w:rsid w:val="00253B6C"/>
    <w:rsid w:val="00253CE8"/>
    <w:rsid w:val="0025454E"/>
    <w:rsid w:val="0025458F"/>
    <w:rsid w:val="0025459E"/>
    <w:rsid w:val="00256263"/>
    <w:rsid w:val="002579DF"/>
    <w:rsid w:val="00260B41"/>
    <w:rsid w:val="00261C97"/>
    <w:rsid w:val="00262766"/>
    <w:rsid w:val="00262C29"/>
    <w:rsid w:val="00263357"/>
    <w:rsid w:val="00263B72"/>
    <w:rsid w:val="00264071"/>
    <w:rsid w:val="002643A1"/>
    <w:rsid w:val="0026505D"/>
    <w:rsid w:val="002666BF"/>
    <w:rsid w:val="00267031"/>
    <w:rsid w:val="002670C7"/>
    <w:rsid w:val="002671B8"/>
    <w:rsid w:val="00267620"/>
    <w:rsid w:val="00267B1A"/>
    <w:rsid w:val="00267B23"/>
    <w:rsid w:val="00270DD2"/>
    <w:rsid w:val="00270E61"/>
    <w:rsid w:val="00270ECA"/>
    <w:rsid w:val="002732D1"/>
    <w:rsid w:val="0027346F"/>
    <w:rsid w:val="002745B5"/>
    <w:rsid w:val="00274F19"/>
    <w:rsid w:val="002754DF"/>
    <w:rsid w:val="0027580F"/>
    <w:rsid w:val="00275A90"/>
    <w:rsid w:val="00275E98"/>
    <w:rsid w:val="002763EC"/>
    <w:rsid w:val="00276E9C"/>
    <w:rsid w:val="00276F70"/>
    <w:rsid w:val="00281949"/>
    <w:rsid w:val="00281F1D"/>
    <w:rsid w:val="002829C1"/>
    <w:rsid w:val="00282BE3"/>
    <w:rsid w:val="00282F3C"/>
    <w:rsid w:val="002831F1"/>
    <w:rsid w:val="00283288"/>
    <w:rsid w:val="00283725"/>
    <w:rsid w:val="00284166"/>
    <w:rsid w:val="002845B5"/>
    <w:rsid w:val="0028517A"/>
    <w:rsid w:val="0028671E"/>
    <w:rsid w:val="002875A4"/>
    <w:rsid w:val="00287664"/>
    <w:rsid w:val="00287DF3"/>
    <w:rsid w:val="00291785"/>
    <w:rsid w:val="002920DB"/>
    <w:rsid w:val="00292EE3"/>
    <w:rsid w:val="0029342B"/>
    <w:rsid w:val="00293A43"/>
    <w:rsid w:val="00293ADA"/>
    <w:rsid w:val="00293DAF"/>
    <w:rsid w:val="00293DF0"/>
    <w:rsid w:val="00294384"/>
    <w:rsid w:val="00294816"/>
    <w:rsid w:val="00294C42"/>
    <w:rsid w:val="00295756"/>
    <w:rsid w:val="002975BE"/>
    <w:rsid w:val="00297CF6"/>
    <w:rsid w:val="002A0641"/>
    <w:rsid w:val="002A0AB4"/>
    <w:rsid w:val="002A16EC"/>
    <w:rsid w:val="002A1D5C"/>
    <w:rsid w:val="002A2562"/>
    <w:rsid w:val="002A2694"/>
    <w:rsid w:val="002A2779"/>
    <w:rsid w:val="002A29AD"/>
    <w:rsid w:val="002A2D97"/>
    <w:rsid w:val="002A3DFC"/>
    <w:rsid w:val="002A4281"/>
    <w:rsid w:val="002A471E"/>
    <w:rsid w:val="002A61ED"/>
    <w:rsid w:val="002A67F9"/>
    <w:rsid w:val="002A69F6"/>
    <w:rsid w:val="002A741F"/>
    <w:rsid w:val="002A770B"/>
    <w:rsid w:val="002B060E"/>
    <w:rsid w:val="002B0F44"/>
    <w:rsid w:val="002B18CE"/>
    <w:rsid w:val="002B2007"/>
    <w:rsid w:val="002B33D9"/>
    <w:rsid w:val="002B3B87"/>
    <w:rsid w:val="002B4D01"/>
    <w:rsid w:val="002B50C4"/>
    <w:rsid w:val="002B50F1"/>
    <w:rsid w:val="002B5109"/>
    <w:rsid w:val="002B71E0"/>
    <w:rsid w:val="002C01C9"/>
    <w:rsid w:val="002C0D70"/>
    <w:rsid w:val="002C274A"/>
    <w:rsid w:val="002C2A62"/>
    <w:rsid w:val="002C2B35"/>
    <w:rsid w:val="002C334D"/>
    <w:rsid w:val="002C3C00"/>
    <w:rsid w:val="002C54BD"/>
    <w:rsid w:val="002D098C"/>
    <w:rsid w:val="002D0D3F"/>
    <w:rsid w:val="002D14CD"/>
    <w:rsid w:val="002D1C7A"/>
    <w:rsid w:val="002D2A9B"/>
    <w:rsid w:val="002D37DD"/>
    <w:rsid w:val="002D38C6"/>
    <w:rsid w:val="002D3EFA"/>
    <w:rsid w:val="002D41BA"/>
    <w:rsid w:val="002D42E2"/>
    <w:rsid w:val="002D4DC5"/>
    <w:rsid w:val="002D5B26"/>
    <w:rsid w:val="002D5C24"/>
    <w:rsid w:val="002D632B"/>
    <w:rsid w:val="002D6B6E"/>
    <w:rsid w:val="002D6CCC"/>
    <w:rsid w:val="002D7103"/>
    <w:rsid w:val="002D758D"/>
    <w:rsid w:val="002D7F79"/>
    <w:rsid w:val="002E004D"/>
    <w:rsid w:val="002E0E7A"/>
    <w:rsid w:val="002E1C00"/>
    <w:rsid w:val="002E2654"/>
    <w:rsid w:val="002E2A3B"/>
    <w:rsid w:val="002E2AFE"/>
    <w:rsid w:val="002E402D"/>
    <w:rsid w:val="002E435A"/>
    <w:rsid w:val="002E448F"/>
    <w:rsid w:val="002E53A2"/>
    <w:rsid w:val="002E55BA"/>
    <w:rsid w:val="002E586F"/>
    <w:rsid w:val="002E685C"/>
    <w:rsid w:val="002E7452"/>
    <w:rsid w:val="002F0F6A"/>
    <w:rsid w:val="002F135E"/>
    <w:rsid w:val="002F18C7"/>
    <w:rsid w:val="002F31F1"/>
    <w:rsid w:val="002F4061"/>
    <w:rsid w:val="002F42F4"/>
    <w:rsid w:val="002F473D"/>
    <w:rsid w:val="002F63EE"/>
    <w:rsid w:val="002F6C62"/>
    <w:rsid w:val="002F6EDA"/>
    <w:rsid w:val="0030122C"/>
    <w:rsid w:val="00301650"/>
    <w:rsid w:val="003020C2"/>
    <w:rsid w:val="0030231C"/>
    <w:rsid w:val="00302B34"/>
    <w:rsid w:val="00302E6D"/>
    <w:rsid w:val="00303593"/>
    <w:rsid w:val="003052B5"/>
    <w:rsid w:val="00306F1E"/>
    <w:rsid w:val="00306F2A"/>
    <w:rsid w:val="00307C7D"/>
    <w:rsid w:val="00310558"/>
    <w:rsid w:val="00310CEF"/>
    <w:rsid w:val="00311884"/>
    <w:rsid w:val="00311C2E"/>
    <w:rsid w:val="00311FC3"/>
    <w:rsid w:val="00311FC4"/>
    <w:rsid w:val="003126DD"/>
    <w:rsid w:val="0031297E"/>
    <w:rsid w:val="00312B97"/>
    <w:rsid w:val="0031301C"/>
    <w:rsid w:val="003131CA"/>
    <w:rsid w:val="00313D4D"/>
    <w:rsid w:val="00313DDB"/>
    <w:rsid w:val="00314801"/>
    <w:rsid w:val="00314E46"/>
    <w:rsid w:val="0031596C"/>
    <w:rsid w:val="0031654A"/>
    <w:rsid w:val="00317364"/>
    <w:rsid w:val="00317771"/>
    <w:rsid w:val="00320614"/>
    <w:rsid w:val="003220D2"/>
    <w:rsid w:val="003237DD"/>
    <w:rsid w:val="00323B18"/>
    <w:rsid w:val="00324308"/>
    <w:rsid w:val="00324EA1"/>
    <w:rsid w:val="0033252D"/>
    <w:rsid w:val="00332BFE"/>
    <w:rsid w:val="00332E61"/>
    <w:rsid w:val="00332E8A"/>
    <w:rsid w:val="00333482"/>
    <w:rsid w:val="00333DC1"/>
    <w:rsid w:val="00334C8A"/>
    <w:rsid w:val="00336537"/>
    <w:rsid w:val="00336BDC"/>
    <w:rsid w:val="00336D71"/>
    <w:rsid w:val="00336DEC"/>
    <w:rsid w:val="0033743D"/>
    <w:rsid w:val="0034052E"/>
    <w:rsid w:val="00340AE4"/>
    <w:rsid w:val="0034167C"/>
    <w:rsid w:val="00341F9A"/>
    <w:rsid w:val="003429CF"/>
    <w:rsid w:val="003451C5"/>
    <w:rsid w:val="00346180"/>
    <w:rsid w:val="003464B3"/>
    <w:rsid w:val="00346D87"/>
    <w:rsid w:val="0034745D"/>
    <w:rsid w:val="00347979"/>
    <w:rsid w:val="0035057E"/>
    <w:rsid w:val="00351712"/>
    <w:rsid w:val="0035200E"/>
    <w:rsid w:val="00352C61"/>
    <w:rsid w:val="0035525C"/>
    <w:rsid w:val="00355D0F"/>
    <w:rsid w:val="0035643E"/>
    <w:rsid w:val="00356C70"/>
    <w:rsid w:val="00356F62"/>
    <w:rsid w:val="0035721C"/>
    <w:rsid w:val="0035732A"/>
    <w:rsid w:val="00357DE0"/>
    <w:rsid w:val="003600FA"/>
    <w:rsid w:val="00360F1A"/>
    <w:rsid w:val="00361D73"/>
    <w:rsid w:val="00363F3D"/>
    <w:rsid w:val="003640D3"/>
    <w:rsid w:val="003644E8"/>
    <w:rsid w:val="0036528B"/>
    <w:rsid w:val="00365388"/>
    <w:rsid w:val="003670C3"/>
    <w:rsid w:val="00367C3D"/>
    <w:rsid w:val="003701DD"/>
    <w:rsid w:val="003709B4"/>
    <w:rsid w:val="00370A50"/>
    <w:rsid w:val="0037154B"/>
    <w:rsid w:val="0037195C"/>
    <w:rsid w:val="003738F3"/>
    <w:rsid w:val="003743B8"/>
    <w:rsid w:val="0037441A"/>
    <w:rsid w:val="00374D43"/>
    <w:rsid w:val="003771F9"/>
    <w:rsid w:val="0038167E"/>
    <w:rsid w:val="00382891"/>
    <w:rsid w:val="00382D0A"/>
    <w:rsid w:val="00383109"/>
    <w:rsid w:val="00384197"/>
    <w:rsid w:val="003841AB"/>
    <w:rsid w:val="0038428C"/>
    <w:rsid w:val="00385F09"/>
    <w:rsid w:val="00386583"/>
    <w:rsid w:val="00387333"/>
    <w:rsid w:val="00387717"/>
    <w:rsid w:val="0038782A"/>
    <w:rsid w:val="00390612"/>
    <w:rsid w:val="003909E9"/>
    <w:rsid w:val="00390F49"/>
    <w:rsid w:val="00391AF8"/>
    <w:rsid w:val="00391B8B"/>
    <w:rsid w:val="00393CDB"/>
    <w:rsid w:val="00394670"/>
    <w:rsid w:val="00395A2C"/>
    <w:rsid w:val="00395D58"/>
    <w:rsid w:val="003969C8"/>
    <w:rsid w:val="00396AB1"/>
    <w:rsid w:val="00396DCD"/>
    <w:rsid w:val="003A05F6"/>
    <w:rsid w:val="003A065D"/>
    <w:rsid w:val="003A06DB"/>
    <w:rsid w:val="003A1268"/>
    <w:rsid w:val="003A1947"/>
    <w:rsid w:val="003A2137"/>
    <w:rsid w:val="003A2396"/>
    <w:rsid w:val="003A262A"/>
    <w:rsid w:val="003A27EF"/>
    <w:rsid w:val="003A317B"/>
    <w:rsid w:val="003A48A7"/>
    <w:rsid w:val="003A4C0F"/>
    <w:rsid w:val="003A5B84"/>
    <w:rsid w:val="003A646B"/>
    <w:rsid w:val="003A684D"/>
    <w:rsid w:val="003A70CD"/>
    <w:rsid w:val="003A7AD2"/>
    <w:rsid w:val="003B0237"/>
    <w:rsid w:val="003B0A5B"/>
    <w:rsid w:val="003B1558"/>
    <w:rsid w:val="003B25B3"/>
    <w:rsid w:val="003B42BA"/>
    <w:rsid w:val="003B4400"/>
    <w:rsid w:val="003B4AFE"/>
    <w:rsid w:val="003B5017"/>
    <w:rsid w:val="003B5348"/>
    <w:rsid w:val="003B60BA"/>
    <w:rsid w:val="003B7583"/>
    <w:rsid w:val="003B7ADA"/>
    <w:rsid w:val="003C03C6"/>
    <w:rsid w:val="003C06B6"/>
    <w:rsid w:val="003C0B96"/>
    <w:rsid w:val="003C0C04"/>
    <w:rsid w:val="003C155D"/>
    <w:rsid w:val="003C1EFE"/>
    <w:rsid w:val="003C1FB7"/>
    <w:rsid w:val="003C33AD"/>
    <w:rsid w:val="003C370D"/>
    <w:rsid w:val="003C3874"/>
    <w:rsid w:val="003C3BB9"/>
    <w:rsid w:val="003C3C8D"/>
    <w:rsid w:val="003C543D"/>
    <w:rsid w:val="003C6485"/>
    <w:rsid w:val="003C67E6"/>
    <w:rsid w:val="003C6941"/>
    <w:rsid w:val="003C694E"/>
    <w:rsid w:val="003C6D59"/>
    <w:rsid w:val="003C7457"/>
    <w:rsid w:val="003D20E6"/>
    <w:rsid w:val="003D231D"/>
    <w:rsid w:val="003D36FB"/>
    <w:rsid w:val="003D39E4"/>
    <w:rsid w:val="003D4307"/>
    <w:rsid w:val="003D4AC0"/>
    <w:rsid w:val="003D4E55"/>
    <w:rsid w:val="003D551A"/>
    <w:rsid w:val="003D56E1"/>
    <w:rsid w:val="003D6571"/>
    <w:rsid w:val="003D73BA"/>
    <w:rsid w:val="003D7E35"/>
    <w:rsid w:val="003D7F55"/>
    <w:rsid w:val="003E0058"/>
    <w:rsid w:val="003E09D2"/>
    <w:rsid w:val="003E0E39"/>
    <w:rsid w:val="003E0E5B"/>
    <w:rsid w:val="003E10D1"/>
    <w:rsid w:val="003E122D"/>
    <w:rsid w:val="003E15B1"/>
    <w:rsid w:val="003E1DEE"/>
    <w:rsid w:val="003E2329"/>
    <w:rsid w:val="003E23C2"/>
    <w:rsid w:val="003E349E"/>
    <w:rsid w:val="003E3632"/>
    <w:rsid w:val="003E47E4"/>
    <w:rsid w:val="003E4B8D"/>
    <w:rsid w:val="003E65E1"/>
    <w:rsid w:val="003E6ACE"/>
    <w:rsid w:val="003F00E1"/>
    <w:rsid w:val="003F0D5F"/>
    <w:rsid w:val="003F13E1"/>
    <w:rsid w:val="003F28E1"/>
    <w:rsid w:val="003F2A76"/>
    <w:rsid w:val="003F3152"/>
    <w:rsid w:val="003F4528"/>
    <w:rsid w:val="003F479E"/>
    <w:rsid w:val="003F4876"/>
    <w:rsid w:val="003F4F3A"/>
    <w:rsid w:val="003F55B3"/>
    <w:rsid w:val="003F587A"/>
    <w:rsid w:val="003F6015"/>
    <w:rsid w:val="003F6EF8"/>
    <w:rsid w:val="003F7044"/>
    <w:rsid w:val="0040007E"/>
    <w:rsid w:val="00400514"/>
    <w:rsid w:val="004016FE"/>
    <w:rsid w:val="00401FEA"/>
    <w:rsid w:val="0040220D"/>
    <w:rsid w:val="004027AF"/>
    <w:rsid w:val="004041D5"/>
    <w:rsid w:val="00405C2D"/>
    <w:rsid w:val="00406165"/>
    <w:rsid w:val="0040699C"/>
    <w:rsid w:val="00406F93"/>
    <w:rsid w:val="00407275"/>
    <w:rsid w:val="00407991"/>
    <w:rsid w:val="00407A35"/>
    <w:rsid w:val="004101F8"/>
    <w:rsid w:val="004102C6"/>
    <w:rsid w:val="00410A00"/>
    <w:rsid w:val="00411E50"/>
    <w:rsid w:val="00412284"/>
    <w:rsid w:val="0041255F"/>
    <w:rsid w:val="0041258C"/>
    <w:rsid w:val="00412968"/>
    <w:rsid w:val="00412A06"/>
    <w:rsid w:val="0041510D"/>
    <w:rsid w:val="00415541"/>
    <w:rsid w:val="0041571C"/>
    <w:rsid w:val="0042003E"/>
    <w:rsid w:val="004215ED"/>
    <w:rsid w:val="00421B11"/>
    <w:rsid w:val="00421CC7"/>
    <w:rsid w:val="00421F74"/>
    <w:rsid w:val="0042335B"/>
    <w:rsid w:val="0042336D"/>
    <w:rsid w:val="00425452"/>
    <w:rsid w:val="004258A6"/>
    <w:rsid w:val="004258DE"/>
    <w:rsid w:val="00431676"/>
    <w:rsid w:val="00431F81"/>
    <w:rsid w:val="00431FDE"/>
    <w:rsid w:val="004323BE"/>
    <w:rsid w:val="00432BB3"/>
    <w:rsid w:val="00432E1C"/>
    <w:rsid w:val="004337DE"/>
    <w:rsid w:val="00433E9A"/>
    <w:rsid w:val="00435F0C"/>
    <w:rsid w:val="00435FB3"/>
    <w:rsid w:val="00436A07"/>
    <w:rsid w:val="00436FC9"/>
    <w:rsid w:val="00437397"/>
    <w:rsid w:val="00437679"/>
    <w:rsid w:val="004376F6"/>
    <w:rsid w:val="0044001C"/>
    <w:rsid w:val="0044013E"/>
    <w:rsid w:val="00440236"/>
    <w:rsid w:val="00440D84"/>
    <w:rsid w:val="00441062"/>
    <w:rsid w:val="00442474"/>
    <w:rsid w:val="004438D2"/>
    <w:rsid w:val="004438E0"/>
    <w:rsid w:val="004446BD"/>
    <w:rsid w:val="00444DA7"/>
    <w:rsid w:val="004453F1"/>
    <w:rsid w:val="0044628D"/>
    <w:rsid w:val="00446E3B"/>
    <w:rsid w:val="004472B3"/>
    <w:rsid w:val="00447C97"/>
    <w:rsid w:val="00447FE1"/>
    <w:rsid w:val="00450573"/>
    <w:rsid w:val="00450626"/>
    <w:rsid w:val="004507AF"/>
    <w:rsid w:val="00450A81"/>
    <w:rsid w:val="00450E61"/>
    <w:rsid w:val="00452BC6"/>
    <w:rsid w:val="00452C50"/>
    <w:rsid w:val="00453D8B"/>
    <w:rsid w:val="00453F66"/>
    <w:rsid w:val="00454A9A"/>
    <w:rsid w:val="00455949"/>
    <w:rsid w:val="004565CC"/>
    <w:rsid w:val="00456CED"/>
    <w:rsid w:val="00457167"/>
    <w:rsid w:val="00457684"/>
    <w:rsid w:val="004579FC"/>
    <w:rsid w:val="00457AD1"/>
    <w:rsid w:val="00457D46"/>
    <w:rsid w:val="0046045B"/>
    <w:rsid w:val="004628FB"/>
    <w:rsid w:val="00463FB1"/>
    <w:rsid w:val="004649EB"/>
    <w:rsid w:val="00465284"/>
    <w:rsid w:val="00471317"/>
    <w:rsid w:val="00471C74"/>
    <w:rsid w:val="00471F94"/>
    <w:rsid w:val="00472081"/>
    <w:rsid w:val="00472D4B"/>
    <w:rsid w:val="004736CF"/>
    <w:rsid w:val="00473FB8"/>
    <w:rsid w:val="004743C0"/>
    <w:rsid w:val="004746E3"/>
    <w:rsid w:val="004747B2"/>
    <w:rsid w:val="00475E05"/>
    <w:rsid w:val="004770F9"/>
    <w:rsid w:val="00477219"/>
    <w:rsid w:val="004772CE"/>
    <w:rsid w:val="0048007E"/>
    <w:rsid w:val="004805DC"/>
    <w:rsid w:val="00480BA5"/>
    <w:rsid w:val="00481E2D"/>
    <w:rsid w:val="00481F67"/>
    <w:rsid w:val="00482FED"/>
    <w:rsid w:val="00483547"/>
    <w:rsid w:val="00483E3C"/>
    <w:rsid w:val="00484C0E"/>
    <w:rsid w:val="00485090"/>
    <w:rsid w:val="0048519F"/>
    <w:rsid w:val="004851D5"/>
    <w:rsid w:val="00485736"/>
    <w:rsid w:val="004858DA"/>
    <w:rsid w:val="004869A3"/>
    <w:rsid w:val="00486D05"/>
    <w:rsid w:val="00486F25"/>
    <w:rsid w:val="00487174"/>
    <w:rsid w:val="0048743B"/>
    <w:rsid w:val="0049000E"/>
    <w:rsid w:val="00490C21"/>
    <w:rsid w:val="00490D58"/>
    <w:rsid w:val="0049129E"/>
    <w:rsid w:val="0049222E"/>
    <w:rsid w:val="00492D17"/>
    <w:rsid w:val="00492D5E"/>
    <w:rsid w:val="00493683"/>
    <w:rsid w:val="00493713"/>
    <w:rsid w:val="00493DDD"/>
    <w:rsid w:val="004943A9"/>
    <w:rsid w:val="0049524D"/>
    <w:rsid w:val="0049578C"/>
    <w:rsid w:val="004974BC"/>
    <w:rsid w:val="00497ABE"/>
    <w:rsid w:val="00497C76"/>
    <w:rsid w:val="004A083D"/>
    <w:rsid w:val="004A27E1"/>
    <w:rsid w:val="004A2854"/>
    <w:rsid w:val="004A2A43"/>
    <w:rsid w:val="004A39F0"/>
    <w:rsid w:val="004A45C5"/>
    <w:rsid w:val="004A5315"/>
    <w:rsid w:val="004A5BCD"/>
    <w:rsid w:val="004A777A"/>
    <w:rsid w:val="004A7BE8"/>
    <w:rsid w:val="004A7DB1"/>
    <w:rsid w:val="004A7FE6"/>
    <w:rsid w:val="004B02FB"/>
    <w:rsid w:val="004B0B84"/>
    <w:rsid w:val="004B1B60"/>
    <w:rsid w:val="004B221D"/>
    <w:rsid w:val="004B23DD"/>
    <w:rsid w:val="004B28B4"/>
    <w:rsid w:val="004B2DC5"/>
    <w:rsid w:val="004B5ADE"/>
    <w:rsid w:val="004B612D"/>
    <w:rsid w:val="004B6528"/>
    <w:rsid w:val="004B79BB"/>
    <w:rsid w:val="004C03E8"/>
    <w:rsid w:val="004C192D"/>
    <w:rsid w:val="004C2712"/>
    <w:rsid w:val="004C39DA"/>
    <w:rsid w:val="004C4A9D"/>
    <w:rsid w:val="004C574A"/>
    <w:rsid w:val="004C5855"/>
    <w:rsid w:val="004C5958"/>
    <w:rsid w:val="004C72A6"/>
    <w:rsid w:val="004C7395"/>
    <w:rsid w:val="004C7704"/>
    <w:rsid w:val="004C7725"/>
    <w:rsid w:val="004C79C6"/>
    <w:rsid w:val="004D0C52"/>
    <w:rsid w:val="004D14C7"/>
    <w:rsid w:val="004D21F4"/>
    <w:rsid w:val="004D27E4"/>
    <w:rsid w:val="004D29A8"/>
    <w:rsid w:val="004D2DC8"/>
    <w:rsid w:val="004D3E4D"/>
    <w:rsid w:val="004D4973"/>
    <w:rsid w:val="004D50E7"/>
    <w:rsid w:val="004D53B5"/>
    <w:rsid w:val="004D600F"/>
    <w:rsid w:val="004E1362"/>
    <w:rsid w:val="004E1788"/>
    <w:rsid w:val="004E182A"/>
    <w:rsid w:val="004E1CE0"/>
    <w:rsid w:val="004E26C6"/>
    <w:rsid w:val="004E2BF8"/>
    <w:rsid w:val="004E2C7D"/>
    <w:rsid w:val="004E2D41"/>
    <w:rsid w:val="004E2F60"/>
    <w:rsid w:val="004E33F8"/>
    <w:rsid w:val="004E346A"/>
    <w:rsid w:val="004E3A71"/>
    <w:rsid w:val="004E3B36"/>
    <w:rsid w:val="004E4577"/>
    <w:rsid w:val="004E4E17"/>
    <w:rsid w:val="004E5836"/>
    <w:rsid w:val="004E6255"/>
    <w:rsid w:val="004E6B4A"/>
    <w:rsid w:val="004E707D"/>
    <w:rsid w:val="004E7301"/>
    <w:rsid w:val="004F025D"/>
    <w:rsid w:val="004F0F72"/>
    <w:rsid w:val="004F14EF"/>
    <w:rsid w:val="004F2451"/>
    <w:rsid w:val="004F34FE"/>
    <w:rsid w:val="004F4391"/>
    <w:rsid w:val="004F4AFB"/>
    <w:rsid w:val="004F5716"/>
    <w:rsid w:val="004F692F"/>
    <w:rsid w:val="004F7F9B"/>
    <w:rsid w:val="00500E0D"/>
    <w:rsid w:val="005012BE"/>
    <w:rsid w:val="00501401"/>
    <w:rsid w:val="005018EA"/>
    <w:rsid w:val="00501AC3"/>
    <w:rsid w:val="00502079"/>
    <w:rsid w:val="005034F4"/>
    <w:rsid w:val="00503EC6"/>
    <w:rsid w:val="00503F0B"/>
    <w:rsid w:val="0050443A"/>
    <w:rsid w:val="0050452A"/>
    <w:rsid w:val="00504678"/>
    <w:rsid w:val="00504768"/>
    <w:rsid w:val="00504E46"/>
    <w:rsid w:val="00504EB9"/>
    <w:rsid w:val="0050663C"/>
    <w:rsid w:val="00507EAA"/>
    <w:rsid w:val="00510398"/>
    <w:rsid w:val="0051042F"/>
    <w:rsid w:val="00510694"/>
    <w:rsid w:val="005111B7"/>
    <w:rsid w:val="00511FEC"/>
    <w:rsid w:val="00512BC2"/>
    <w:rsid w:val="00515418"/>
    <w:rsid w:val="00515C77"/>
    <w:rsid w:val="00515ECF"/>
    <w:rsid w:val="005175E8"/>
    <w:rsid w:val="00517BD0"/>
    <w:rsid w:val="005206AA"/>
    <w:rsid w:val="005210F7"/>
    <w:rsid w:val="005229EA"/>
    <w:rsid w:val="005229F2"/>
    <w:rsid w:val="0052345D"/>
    <w:rsid w:val="005240A6"/>
    <w:rsid w:val="00524240"/>
    <w:rsid w:val="005249FF"/>
    <w:rsid w:val="005256E3"/>
    <w:rsid w:val="00525871"/>
    <w:rsid w:val="00525D9C"/>
    <w:rsid w:val="0053000F"/>
    <w:rsid w:val="0053069C"/>
    <w:rsid w:val="00530908"/>
    <w:rsid w:val="00531814"/>
    <w:rsid w:val="005321EC"/>
    <w:rsid w:val="005324F0"/>
    <w:rsid w:val="005343A2"/>
    <w:rsid w:val="005350F1"/>
    <w:rsid w:val="005365F6"/>
    <w:rsid w:val="005367EA"/>
    <w:rsid w:val="00536B1F"/>
    <w:rsid w:val="005372CE"/>
    <w:rsid w:val="00537967"/>
    <w:rsid w:val="00537ABD"/>
    <w:rsid w:val="00537D58"/>
    <w:rsid w:val="00540F9D"/>
    <w:rsid w:val="00541A68"/>
    <w:rsid w:val="00541BE6"/>
    <w:rsid w:val="00541F3C"/>
    <w:rsid w:val="00542426"/>
    <w:rsid w:val="00543C9B"/>
    <w:rsid w:val="00543D66"/>
    <w:rsid w:val="00544279"/>
    <w:rsid w:val="005449C2"/>
    <w:rsid w:val="00545283"/>
    <w:rsid w:val="0054680D"/>
    <w:rsid w:val="00547442"/>
    <w:rsid w:val="00550834"/>
    <w:rsid w:val="00550F4E"/>
    <w:rsid w:val="0055141D"/>
    <w:rsid w:val="005518E2"/>
    <w:rsid w:val="005520AF"/>
    <w:rsid w:val="00552843"/>
    <w:rsid w:val="00554EAB"/>
    <w:rsid w:val="00554EB4"/>
    <w:rsid w:val="00555704"/>
    <w:rsid w:val="005559AF"/>
    <w:rsid w:val="00556B03"/>
    <w:rsid w:val="00557C72"/>
    <w:rsid w:val="00560197"/>
    <w:rsid w:val="005602A1"/>
    <w:rsid w:val="00560F47"/>
    <w:rsid w:val="00561A11"/>
    <w:rsid w:val="00562FDA"/>
    <w:rsid w:val="0056471A"/>
    <w:rsid w:val="005664EC"/>
    <w:rsid w:val="00566511"/>
    <w:rsid w:val="005708A4"/>
    <w:rsid w:val="00570B61"/>
    <w:rsid w:val="00572209"/>
    <w:rsid w:val="00572357"/>
    <w:rsid w:val="005732A2"/>
    <w:rsid w:val="0057339C"/>
    <w:rsid w:val="005734E2"/>
    <w:rsid w:val="0057350B"/>
    <w:rsid w:val="00573D7A"/>
    <w:rsid w:val="005742F8"/>
    <w:rsid w:val="005746CD"/>
    <w:rsid w:val="00574D94"/>
    <w:rsid w:val="0057544B"/>
    <w:rsid w:val="00575958"/>
    <w:rsid w:val="00575CB0"/>
    <w:rsid w:val="00575F0D"/>
    <w:rsid w:val="005762F8"/>
    <w:rsid w:val="00576560"/>
    <w:rsid w:val="00576CC6"/>
    <w:rsid w:val="00576E28"/>
    <w:rsid w:val="00582807"/>
    <w:rsid w:val="0058406C"/>
    <w:rsid w:val="005845C4"/>
    <w:rsid w:val="005851FF"/>
    <w:rsid w:val="00585649"/>
    <w:rsid w:val="00586363"/>
    <w:rsid w:val="00586789"/>
    <w:rsid w:val="00587715"/>
    <w:rsid w:val="0059014D"/>
    <w:rsid w:val="00590315"/>
    <w:rsid w:val="005904C4"/>
    <w:rsid w:val="005907ED"/>
    <w:rsid w:val="005913A9"/>
    <w:rsid w:val="00593834"/>
    <w:rsid w:val="00593B30"/>
    <w:rsid w:val="00593E81"/>
    <w:rsid w:val="00594589"/>
    <w:rsid w:val="0059475F"/>
    <w:rsid w:val="00594AB9"/>
    <w:rsid w:val="00594CFF"/>
    <w:rsid w:val="00595415"/>
    <w:rsid w:val="0059545E"/>
    <w:rsid w:val="00596917"/>
    <w:rsid w:val="00596B13"/>
    <w:rsid w:val="0059762F"/>
    <w:rsid w:val="005A021C"/>
    <w:rsid w:val="005A02E7"/>
    <w:rsid w:val="005A0CCF"/>
    <w:rsid w:val="005A0CDD"/>
    <w:rsid w:val="005A13B9"/>
    <w:rsid w:val="005A1429"/>
    <w:rsid w:val="005A213D"/>
    <w:rsid w:val="005A2D1E"/>
    <w:rsid w:val="005A308A"/>
    <w:rsid w:val="005A3659"/>
    <w:rsid w:val="005A3DFE"/>
    <w:rsid w:val="005A4174"/>
    <w:rsid w:val="005A44E8"/>
    <w:rsid w:val="005A44EC"/>
    <w:rsid w:val="005A456B"/>
    <w:rsid w:val="005A53A3"/>
    <w:rsid w:val="005A54BD"/>
    <w:rsid w:val="005A5B8D"/>
    <w:rsid w:val="005A5E72"/>
    <w:rsid w:val="005A64D4"/>
    <w:rsid w:val="005A6552"/>
    <w:rsid w:val="005A6F12"/>
    <w:rsid w:val="005A721D"/>
    <w:rsid w:val="005A75AF"/>
    <w:rsid w:val="005B0BFA"/>
    <w:rsid w:val="005B0F64"/>
    <w:rsid w:val="005B2693"/>
    <w:rsid w:val="005B2F03"/>
    <w:rsid w:val="005B3B70"/>
    <w:rsid w:val="005B45CF"/>
    <w:rsid w:val="005B532F"/>
    <w:rsid w:val="005B5377"/>
    <w:rsid w:val="005B59B4"/>
    <w:rsid w:val="005B5A8B"/>
    <w:rsid w:val="005B5EFD"/>
    <w:rsid w:val="005B60BD"/>
    <w:rsid w:val="005B6645"/>
    <w:rsid w:val="005B6BDC"/>
    <w:rsid w:val="005B7920"/>
    <w:rsid w:val="005C0D50"/>
    <w:rsid w:val="005C0E7A"/>
    <w:rsid w:val="005C1D7E"/>
    <w:rsid w:val="005C2AFE"/>
    <w:rsid w:val="005C2E40"/>
    <w:rsid w:val="005C571A"/>
    <w:rsid w:val="005C5995"/>
    <w:rsid w:val="005C5A4C"/>
    <w:rsid w:val="005C5B7A"/>
    <w:rsid w:val="005C6488"/>
    <w:rsid w:val="005C6CB8"/>
    <w:rsid w:val="005C74C6"/>
    <w:rsid w:val="005D0192"/>
    <w:rsid w:val="005D060D"/>
    <w:rsid w:val="005D1153"/>
    <w:rsid w:val="005D13A0"/>
    <w:rsid w:val="005D1635"/>
    <w:rsid w:val="005D16E8"/>
    <w:rsid w:val="005D236C"/>
    <w:rsid w:val="005D248B"/>
    <w:rsid w:val="005D34B2"/>
    <w:rsid w:val="005D3A31"/>
    <w:rsid w:val="005D53F4"/>
    <w:rsid w:val="005D5882"/>
    <w:rsid w:val="005D5F5A"/>
    <w:rsid w:val="005D6D98"/>
    <w:rsid w:val="005E1411"/>
    <w:rsid w:val="005E198F"/>
    <w:rsid w:val="005E2258"/>
    <w:rsid w:val="005E2E83"/>
    <w:rsid w:val="005E2FB2"/>
    <w:rsid w:val="005E4002"/>
    <w:rsid w:val="005E57E8"/>
    <w:rsid w:val="005E5E6A"/>
    <w:rsid w:val="005E6F05"/>
    <w:rsid w:val="005E7145"/>
    <w:rsid w:val="005E76EA"/>
    <w:rsid w:val="005E772F"/>
    <w:rsid w:val="005E79AC"/>
    <w:rsid w:val="005F1652"/>
    <w:rsid w:val="005F22DB"/>
    <w:rsid w:val="005F342E"/>
    <w:rsid w:val="005F66A6"/>
    <w:rsid w:val="005F69D0"/>
    <w:rsid w:val="005F6B30"/>
    <w:rsid w:val="005F74EE"/>
    <w:rsid w:val="00600454"/>
    <w:rsid w:val="006018F6"/>
    <w:rsid w:val="00601C92"/>
    <w:rsid w:val="0060281F"/>
    <w:rsid w:val="006032F7"/>
    <w:rsid w:val="006035D7"/>
    <w:rsid w:val="00603C7B"/>
    <w:rsid w:val="006040B5"/>
    <w:rsid w:val="00604723"/>
    <w:rsid w:val="006049ED"/>
    <w:rsid w:val="00605220"/>
    <w:rsid w:val="006055C5"/>
    <w:rsid w:val="006056A5"/>
    <w:rsid w:val="00605B55"/>
    <w:rsid w:val="00605F08"/>
    <w:rsid w:val="00606520"/>
    <w:rsid w:val="00610F66"/>
    <w:rsid w:val="006117A6"/>
    <w:rsid w:val="00611D88"/>
    <w:rsid w:val="00613A45"/>
    <w:rsid w:val="00613A63"/>
    <w:rsid w:val="00613B9A"/>
    <w:rsid w:val="00614270"/>
    <w:rsid w:val="00614C81"/>
    <w:rsid w:val="00614F3E"/>
    <w:rsid w:val="00615044"/>
    <w:rsid w:val="0061612E"/>
    <w:rsid w:val="0061730B"/>
    <w:rsid w:val="006200D7"/>
    <w:rsid w:val="006207E2"/>
    <w:rsid w:val="0062209F"/>
    <w:rsid w:val="00622646"/>
    <w:rsid w:val="006228C1"/>
    <w:rsid w:val="00623548"/>
    <w:rsid w:val="00624243"/>
    <w:rsid w:val="00624F28"/>
    <w:rsid w:val="00625506"/>
    <w:rsid w:val="00625A79"/>
    <w:rsid w:val="00626247"/>
    <w:rsid w:val="0062661A"/>
    <w:rsid w:val="00626972"/>
    <w:rsid w:val="00627030"/>
    <w:rsid w:val="00627ACE"/>
    <w:rsid w:val="00627E16"/>
    <w:rsid w:val="006305C1"/>
    <w:rsid w:val="00630B3B"/>
    <w:rsid w:val="006327C0"/>
    <w:rsid w:val="00632E20"/>
    <w:rsid w:val="00633F69"/>
    <w:rsid w:val="00634DF0"/>
    <w:rsid w:val="00635683"/>
    <w:rsid w:val="006356C0"/>
    <w:rsid w:val="00635A50"/>
    <w:rsid w:val="00635AB7"/>
    <w:rsid w:val="00635D96"/>
    <w:rsid w:val="0063636F"/>
    <w:rsid w:val="00637443"/>
    <w:rsid w:val="00637AF6"/>
    <w:rsid w:val="00637DDF"/>
    <w:rsid w:val="00640529"/>
    <w:rsid w:val="00640990"/>
    <w:rsid w:val="00641539"/>
    <w:rsid w:val="006419E4"/>
    <w:rsid w:val="00641D18"/>
    <w:rsid w:val="00642060"/>
    <w:rsid w:val="00642458"/>
    <w:rsid w:val="006434B0"/>
    <w:rsid w:val="00644AE3"/>
    <w:rsid w:val="00645DD9"/>
    <w:rsid w:val="006461DF"/>
    <w:rsid w:val="0064768C"/>
    <w:rsid w:val="00647B12"/>
    <w:rsid w:val="00647EEE"/>
    <w:rsid w:val="00650403"/>
    <w:rsid w:val="00652065"/>
    <w:rsid w:val="00652736"/>
    <w:rsid w:val="00653038"/>
    <w:rsid w:val="006533F1"/>
    <w:rsid w:val="00654B91"/>
    <w:rsid w:val="00654E2F"/>
    <w:rsid w:val="00655203"/>
    <w:rsid w:val="00655522"/>
    <w:rsid w:val="006555A4"/>
    <w:rsid w:val="006559F9"/>
    <w:rsid w:val="00655C14"/>
    <w:rsid w:val="00656513"/>
    <w:rsid w:val="0065687F"/>
    <w:rsid w:val="006569C6"/>
    <w:rsid w:val="00656DDE"/>
    <w:rsid w:val="0065773E"/>
    <w:rsid w:val="006577B4"/>
    <w:rsid w:val="00660983"/>
    <w:rsid w:val="006609A2"/>
    <w:rsid w:val="00661251"/>
    <w:rsid w:val="0066171D"/>
    <w:rsid w:val="00661E33"/>
    <w:rsid w:val="00662C02"/>
    <w:rsid w:val="00663274"/>
    <w:rsid w:val="006643CB"/>
    <w:rsid w:val="0066462C"/>
    <w:rsid w:val="006649AB"/>
    <w:rsid w:val="00666396"/>
    <w:rsid w:val="006677F4"/>
    <w:rsid w:val="00667890"/>
    <w:rsid w:val="006678BB"/>
    <w:rsid w:val="006708A0"/>
    <w:rsid w:val="00671B55"/>
    <w:rsid w:val="006726B8"/>
    <w:rsid w:val="00672C37"/>
    <w:rsid w:val="006734A6"/>
    <w:rsid w:val="00675667"/>
    <w:rsid w:val="00675B58"/>
    <w:rsid w:val="0067604E"/>
    <w:rsid w:val="00676B39"/>
    <w:rsid w:val="00677F5C"/>
    <w:rsid w:val="00680947"/>
    <w:rsid w:val="006813F0"/>
    <w:rsid w:val="00681DFE"/>
    <w:rsid w:val="00681E83"/>
    <w:rsid w:val="0068218C"/>
    <w:rsid w:val="00682554"/>
    <w:rsid w:val="006825C1"/>
    <w:rsid w:val="00683C60"/>
    <w:rsid w:val="006847BD"/>
    <w:rsid w:val="006854D4"/>
    <w:rsid w:val="0068591C"/>
    <w:rsid w:val="00686011"/>
    <w:rsid w:val="00686E21"/>
    <w:rsid w:val="00687416"/>
    <w:rsid w:val="00687EBD"/>
    <w:rsid w:val="00687F24"/>
    <w:rsid w:val="006903BC"/>
    <w:rsid w:val="00692505"/>
    <w:rsid w:val="0069306B"/>
    <w:rsid w:val="0069348B"/>
    <w:rsid w:val="0069447D"/>
    <w:rsid w:val="0069456B"/>
    <w:rsid w:val="00694FFA"/>
    <w:rsid w:val="0069510D"/>
    <w:rsid w:val="00695971"/>
    <w:rsid w:val="006967C1"/>
    <w:rsid w:val="00697140"/>
    <w:rsid w:val="006974E8"/>
    <w:rsid w:val="00697E50"/>
    <w:rsid w:val="006A07BE"/>
    <w:rsid w:val="006A155D"/>
    <w:rsid w:val="006A16BE"/>
    <w:rsid w:val="006A1ADD"/>
    <w:rsid w:val="006A1E1A"/>
    <w:rsid w:val="006A3070"/>
    <w:rsid w:val="006A3F03"/>
    <w:rsid w:val="006A401E"/>
    <w:rsid w:val="006A4754"/>
    <w:rsid w:val="006A4F86"/>
    <w:rsid w:val="006A571D"/>
    <w:rsid w:val="006A5D62"/>
    <w:rsid w:val="006A78E2"/>
    <w:rsid w:val="006B0115"/>
    <w:rsid w:val="006B0546"/>
    <w:rsid w:val="006B08AA"/>
    <w:rsid w:val="006B0A48"/>
    <w:rsid w:val="006B0AFE"/>
    <w:rsid w:val="006B0F38"/>
    <w:rsid w:val="006B105C"/>
    <w:rsid w:val="006B2232"/>
    <w:rsid w:val="006B3060"/>
    <w:rsid w:val="006B4607"/>
    <w:rsid w:val="006B4C8D"/>
    <w:rsid w:val="006B536D"/>
    <w:rsid w:val="006B586B"/>
    <w:rsid w:val="006B5F00"/>
    <w:rsid w:val="006B5F6D"/>
    <w:rsid w:val="006B6C79"/>
    <w:rsid w:val="006B76BC"/>
    <w:rsid w:val="006B78A5"/>
    <w:rsid w:val="006C05A8"/>
    <w:rsid w:val="006C05E9"/>
    <w:rsid w:val="006C0B28"/>
    <w:rsid w:val="006C1D6F"/>
    <w:rsid w:val="006C2949"/>
    <w:rsid w:val="006C473B"/>
    <w:rsid w:val="006C4A6F"/>
    <w:rsid w:val="006C4BE5"/>
    <w:rsid w:val="006C5235"/>
    <w:rsid w:val="006C533D"/>
    <w:rsid w:val="006C65C1"/>
    <w:rsid w:val="006C6901"/>
    <w:rsid w:val="006C76A4"/>
    <w:rsid w:val="006C7F67"/>
    <w:rsid w:val="006D01AB"/>
    <w:rsid w:val="006D0536"/>
    <w:rsid w:val="006D0FFB"/>
    <w:rsid w:val="006D15D1"/>
    <w:rsid w:val="006D2C67"/>
    <w:rsid w:val="006D402E"/>
    <w:rsid w:val="006D41B0"/>
    <w:rsid w:val="006D5BA4"/>
    <w:rsid w:val="006D76A2"/>
    <w:rsid w:val="006E1442"/>
    <w:rsid w:val="006E217F"/>
    <w:rsid w:val="006E258F"/>
    <w:rsid w:val="006E27C0"/>
    <w:rsid w:val="006E2CB7"/>
    <w:rsid w:val="006E340C"/>
    <w:rsid w:val="006E3844"/>
    <w:rsid w:val="006E38AA"/>
    <w:rsid w:val="006E3928"/>
    <w:rsid w:val="006E3BA5"/>
    <w:rsid w:val="006E45B4"/>
    <w:rsid w:val="006E4BDB"/>
    <w:rsid w:val="006E5D9F"/>
    <w:rsid w:val="006E652C"/>
    <w:rsid w:val="006E6BA9"/>
    <w:rsid w:val="006E7DEB"/>
    <w:rsid w:val="006F0B6B"/>
    <w:rsid w:val="006F1227"/>
    <w:rsid w:val="006F2752"/>
    <w:rsid w:val="006F280A"/>
    <w:rsid w:val="006F37E4"/>
    <w:rsid w:val="006F3C66"/>
    <w:rsid w:val="006F3EAA"/>
    <w:rsid w:val="006F4F21"/>
    <w:rsid w:val="006F541A"/>
    <w:rsid w:val="006F5DFB"/>
    <w:rsid w:val="006F657F"/>
    <w:rsid w:val="006F72AB"/>
    <w:rsid w:val="006F7B95"/>
    <w:rsid w:val="006F7C76"/>
    <w:rsid w:val="006F7DEB"/>
    <w:rsid w:val="00700A5D"/>
    <w:rsid w:val="00701F1E"/>
    <w:rsid w:val="00702980"/>
    <w:rsid w:val="007038CB"/>
    <w:rsid w:val="007039D6"/>
    <w:rsid w:val="00703B6C"/>
    <w:rsid w:val="00705C5E"/>
    <w:rsid w:val="007062AE"/>
    <w:rsid w:val="00707D34"/>
    <w:rsid w:val="0071037F"/>
    <w:rsid w:val="007106A5"/>
    <w:rsid w:val="00710EDA"/>
    <w:rsid w:val="00711AB0"/>
    <w:rsid w:val="00712A81"/>
    <w:rsid w:val="00712A9C"/>
    <w:rsid w:val="007131D9"/>
    <w:rsid w:val="00714CE4"/>
    <w:rsid w:val="0071578F"/>
    <w:rsid w:val="00716349"/>
    <w:rsid w:val="0071689E"/>
    <w:rsid w:val="00716BE0"/>
    <w:rsid w:val="0072057B"/>
    <w:rsid w:val="00720977"/>
    <w:rsid w:val="00720D51"/>
    <w:rsid w:val="00721BD0"/>
    <w:rsid w:val="00721C40"/>
    <w:rsid w:val="007220BE"/>
    <w:rsid w:val="007222B0"/>
    <w:rsid w:val="00722F28"/>
    <w:rsid w:val="00723AC7"/>
    <w:rsid w:val="00724F7B"/>
    <w:rsid w:val="0072575B"/>
    <w:rsid w:val="007262FE"/>
    <w:rsid w:val="007267BF"/>
    <w:rsid w:val="0072753E"/>
    <w:rsid w:val="00730C06"/>
    <w:rsid w:val="00730CBE"/>
    <w:rsid w:val="0073175F"/>
    <w:rsid w:val="00731DED"/>
    <w:rsid w:val="0073254D"/>
    <w:rsid w:val="007330C6"/>
    <w:rsid w:val="00733E0E"/>
    <w:rsid w:val="00733E95"/>
    <w:rsid w:val="00733F16"/>
    <w:rsid w:val="00735000"/>
    <w:rsid w:val="00735F2D"/>
    <w:rsid w:val="0073793E"/>
    <w:rsid w:val="00740403"/>
    <w:rsid w:val="00741524"/>
    <w:rsid w:val="007416FC"/>
    <w:rsid w:val="00741B5B"/>
    <w:rsid w:val="00741FFB"/>
    <w:rsid w:val="0074378E"/>
    <w:rsid w:val="00743BDF"/>
    <w:rsid w:val="0074422E"/>
    <w:rsid w:val="0074495F"/>
    <w:rsid w:val="00745807"/>
    <w:rsid w:val="00745A84"/>
    <w:rsid w:val="00746BC6"/>
    <w:rsid w:val="00747C21"/>
    <w:rsid w:val="00752274"/>
    <w:rsid w:val="007525B9"/>
    <w:rsid w:val="007536B9"/>
    <w:rsid w:val="00753BE8"/>
    <w:rsid w:val="0075427D"/>
    <w:rsid w:val="00754455"/>
    <w:rsid w:val="00754A38"/>
    <w:rsid w:val="00755703"/>
    <w:rsid w:val="0075611D"/>
    <w:rsid w:val="00756F82"/>
    <w:rsid w:val="00757254"/>
    <w:rsid w:val="00757537"/>
    <w:rsid w:val="00757552"/>
    <w:rsid w:val="00757CF0"/>
    <w:rsid w:val="00757E2C"/>
    <w:rsid w:val="00760BAA"/>
    <w:rsid w:val="00761775"/>
    <w:rsid w:val="007617F3"/>
    <w:rsid w:val="00762528"/>
    <w:rsid w:val="007625CE"/>
    <w:rsid w:val="00763565"/>
    <w:rsid w:val="00763A6E"/>
    <w:rsid w:val="007641BD"/>
    <w:rsid w:val="0076472E"/>
    <w:rsid w:val="007655B1"/>
    <w:rsid w:val="007657C0"/>
    <w:rsid w:val="00766621"/>
    <w:rsid w:val="00766EC3"/>
    <w:rsid w:val="007678F7"/>
    <w:rsid w:val="0077057A"/>
    <w:rsid w:val="00770875"/>
    <w:rsid w:val="00771C47"/>
    <w:rsid w:val="00772C8C"/>
    <w:rsid w:val="00774A39"/>
    <w:rsid w:val="00774D2F"/>
    <w:rsid w:val="0077594E"/>
    <w:rsid w:val="00775BB9"/>
    <w:rsid w:val="00776EC4"/>
    <w:rsid w:val="00777651"/>
    <w:rsid w:val="00777659"/>
    <w:rsid w:val="00777D66"/>
    <w:rsid w:val="00777DD2"/>
    <w:rsid w:val="0078035F"/>
    <w:rsid w:val="00780897"/>
    <w:rsid w:val="00780A7E"/>
    <w:rsid w:val="00781410"/>
    <w:rsid w:val="00781647"/>
    <w:rsid w:val="00783819"/>
    <w:rsid w:val="007851F0"/>
    <w:rsid w:val="00786567"/>
    <w:rsid w:val="0078664C"/>
    <w:rsid w:val="007868F6"/>
    <w:rsid w:val="00786D22"/>
    <w:rsid w:val="00786EC2"/>
    <w:rsid w:val="00787604"/>
    <w:rsid w:val="00790179"/>
    <w:rsid w:val="00790425"/>
    <w:rsid w:val="00790D1B"/>
    <w:rsid w:val="007916B4"/>
    <w:rsid w:val="00791936"/>
    <w:rsid w:val="00792390"/>
    <w:rsid w:val="007925A1"/>
    <w:rsid w:val="0079380A"/>
    <w:rsid w:val="00794946"/>
    <w:rsid w:val="00794B0B"/>
    <w:rsid w:val="0079517C"/>
    <w:rsid w:val="00796276"/>
    <w:rsid w:val="0079770F"/>
    <w:rsid w:val="0079785A"/>
    <w:rsid w:val="007A0000"/>
    <w:rsid w:val="007A0FEF"/>
    <w:rsid w:val="007A10C7"/>
    <w:rsid w:val="007A125F"/>
    <w:rsid w:val="007A1B84"/>
    <w:rsid w:val="007A2439"/>
    <w:rsid w:val="007A2997"/>
    <w:rsid w:val="007A30F5"/>
    <w:rsid w:val="007A3E65"/>
    <w:rsid w:val="007A4C0B"/>
    <w:rsid w:val="007A4E73"/>
    <w:rsid w:val="007A4ECE"/>
    <w:rsid w:val="007A7115"/>
    <w:rsid w:val="007A719C"/>
    <w:rsid w:val="007A71AD"/>
    <w:rsid w:val="007A7A27"/>
    <w:rsid w:val="007A7A52"/>
    <w:rsid w:val="007B0B8F"/>
    <w:rsid w:val="007B1705"/>
    <w:rsid w:val="007B34A3"/>
    <w:rsid w:val="007B3C51"/>
    <w:rsid w:val="007B3C70"/>
    <w:rsid w:val="007B5206"/>
    <w:rsid w:val="007B544A"/>
    <w:rsid w:val="007B6233"/>
    <w:rsid w:val="007B710D"/>
    <w:rsid w:val="007B7674"/>
    <w:rsid w:val="007B77C2"/>
    <w:rsid w:val="007B7A52"/>
    <w:rsid w:val="007C04CC"/>
    <w:rsid w:val="007C2A8A"/>
    <w:rsid w:val="007C324B"/>
    <w:rsid w:val="007C35F4"/>
    <w:rsid w:val="007C3616"/>
    <w:rsid w:val="007C3BF2"/>
    <w:rsid w:val="007C514A"/>
    <w:rsid w:val="007C54EE"/>
    <w:rsid w:val="007C5512"/>
    <w:rsid w:val="007C57F1"/>
    <w:rsid w:val="007C7E15"/>
    <w:rsid w:val="007D00BC"/>
    <w:rsid w:val="007D03E9"/>
    <w:rsid w:val="007D15EF"/>
    <w:rsid w:val="007D1D36"/>
    <w:rsid w:val="007D355F"/>
    <w:rsid w:val="007D419D"/>
    <w:rsid w:val="007D559B"/>
    <w:rsid w:val="007D59F1"/>
    <w:rsid w:val="007D604A"/>
    <w:rsid w:val="007D60BD"/>
    <w:rsid w:val="007E158E"/>
    <w:rsid w:val="007E181E"/>
    <w:rsid w:val="007E2A15"/>
    <w:rsid w:val="007E32A3"/>
    <w:rsid w:val="007E6851"/>
    <w:rsid w:val="007E70FA"/>
    <w:rsid w:val="007E7533"/>
    <w:rsid w:val="007E758E"/>
    <w:rsid w:val="007E75A6"/>
    <w:rsid w:val="007E7A70"/>
    <w:rsid w:val="007E7F6C"/>
    <w:rsid w:val="007E7FAD"/>
    <w:rsid w:val="007F0F3C"/>
    <w:rsid w:val="007F0F43"/>
    <w:rsid w:val="007F28DF"/>
    <w:rsid w:val="007F2C04"/>
    <w:rsid w:val="007F3076"/>
    <w:rsid w:val="007F5396"/>
    <w:rsid w:val="007F5B19"/>
    <w:rsid w:val="007F607E"/>
    <w:rsid w:val="007F634B"/>
    <w:rsid w:val="007F74D4"/>
    <w:rsid w:val="007F7978"/>
    <w:rsid w:val="007F7FF5"/>
    <w:rsid w:val="00800420"/>
    <w:rsid w:val="008005B2"/>
    <w:rsid w:val="008006E8"/>
    <w:rsid w:val="0080131A"/>
    <w:rsid w:val="00801A71"/>
    <w:rsid w:val="00802D9B"/>
    <w:rsid w:val="00802FD0"/>
    <w:rsid w:val="00804966"/>
    <w:rsid w:val="00805636"/>
    <w:rsid w:val="00805D9A"/>
    <w:rsid w:val="00806986"/>
    <w:rsid w:val="00807742"/>
    <w:rsid w:val="00807E4A"/>
    <w:rsid w:val="0081006A"/>
    <w:rsid w:val="008118A4"/>
    <w:rsid w:val="00811996"/>
    <w:rsid w:val="008119BC"/>
    <w:rsid w:val="00811FA3"/>
    <w:rsid w:val="00813D62"/>
    <w:rsid w:val="008140BD"/>
    <w:rsid w:val="0081426C"/>
    <w:rsid w:val="008157DF"/>
    <w:rsid w:val="0081690D"/>
    <w:rsid w:val="008171D4"/>
    <w:rsid w:val="008173BA"/>
    <w:rsid w:val="00817E06"/>
    <w:rsid w:val="00820CA3"/>
    <w:rsid w:val="008216BB"/>
    <w:rsid w:val="0082182B"/>
    <w:rsid w:val="008218CF"/>
    <w:rsid w:val="0082231F"/>
    <w:rsid w:val="00822A20"/>
    <w:rsid w:val="00823380"/>
    <w:rsid w:val="008233E8"/>
    <w:rsid w:val="00824291"/>
    <w:rsid w:val="00825388"/>
    <w:rsid w:val="00827A31"/>
    <w:rsid w:val="00827DCD"/>
    <w:rsid w:val="00830B95"/>
    <w:rsid w:val="0083108F"/>
    <w:rsid w:val="0083110F"/>
    <w:rsid w:val="00831339"/>
    <w:rsid w:val="008316CE"/>
    <w:rsid w:val="00831ACD"/>
    <w:rsid w:val="008320AA"/>
    <w:rsid w:val="008325FE"/>
    <w:rsid w:val="00833981"/>
    <w:rsid w:val="00833D6A"/>
    <w:rsid w:val="00834399"/>
    <w:rsid w:val="0083597E"/>
    <w:rsid w:val="00836F28"/>
    <w:rsid w:val="008417F7"/>
    <w:rsid w:val="0084196A"/>
    <w:rsid w:val="00842B95"/>
    <w:rsid w:val="00843950"/>
    <w:rsid w:val="00846352"/>
    <w:rsid w:val="00846782"/>
    <w:rsid w:val="008467B7"/>
    <w:rsid w:val="00846C3C"/>
    <w:rsid w:val="00846F91"/>
    <w:rsid w:val="0084773F"/>
    <w:rsid w:val="00847B62"/>
    <w:rsid w:val="00847E03"/>
    <w:rsid w:val="008508FF"/>
    <w:rsid w:val="0085208A"/>
    <w:rsid w:val="008535CF"/>
    <w:rsid w:val="00855A69"/>
    <w:rsid w:val="00855B42"/>
    <w:rsid w:val="00855CDD"/>
    <w:rsid w:val="00855EE2"/>
    <w:rsid w:val="0085678D"/>
    <w:rsid w:val="008568DA"/>
    <w:rsid w:val="0085748D"/>
    <w:rsid w:val="00857715"/>
    <w:rsid w:val="0086044B"/>
    <w:rsid w:val="00862265"/>
    <w:rsid w:val="0086281A"/>
    <w:rsid w:val="00863DD6"/>
    <w:rsid w:val="0086413E"/>
    <w:rsid w:val="00865D01"/>
    <w:rsid w:val="00867503"/>
    <w:rsid w:val="00870FB1"/>
    <w:rsid w:val="00870FDD"/>
    <w:rsid w:val="00871BB5"/>
    <w:rsid w:val="00872235"/>
    <w:rsid w:val="0087349E"/>
    <w:rsid w:val="00874C19"/>
    <w:rsid w:val="00875F27"/>
    <w:rsid w:val="00876BE1"/>
    <w:rsid w:val="00877997"/>
    <w:rsid w:val="00880E5A"/>
    <w:rsid w:val="0088149B"/>
    <w:rsid w:val="00883340"/>
    <w:rsid w:val="00886529"/>
    <w:rsid w:val="00886DFE"/>
    <w:rsid w:val="00887CA8"/>
    <w:rsid w:val="00887ECC"/>
    <w:rsid w:val="008914EA"/>
    <w:rsid w:val="00892C0D"/>
    <w:rsid w:val="00892CC7"/>
    <w:rsid w:val="00893A16"/>
    <w:rsid w:val="00893A47"/>
    <w:rsid w:val="00893D8C"/>
    <w:rsid w:val="00894E08"/>
    <w:rsid w:val="00894E45"/>
    <w:rsid w:val="008955E6"/>
    <w:rsid w:val="00896C35"/>
    <w:rsid w:val="00896E20"/>
    <w:rsid w:val="00897379"/>
    <w:rsid w:val="008A0F5F"/>
    <w:rsid w:val="008A1CE9"/>
    <w:rsid w:val="008A1ED5"/>
    <w:rsid w:val="008A2D88"/>
    <w:rsid w:val="008A2DCC"/>
    <w:rsid w:val="008A3AFB"/>
    <w:rsid w:val="008A3FC3"/>
    <w:rsid w:val="008A40BF"/>
    <w:rsid w:val="008A4547"/>
    <w:rsid w:val="008A51C3"/>
    <w:rsid w:val="008A537D"/>
    <w:rsid w:val="008A762C"/>
    <w:rsid w:val="008A77CD"/>
    <w:rsid w:val="008A794A"/>
    <w:rsid w:val="008B0B06"/>
    <w:rsid w:val="008B2740"/>
    <w:rsid w:val="008B36B2"/>
    <w:rsid w:val="008B3F35"/>
    <w:rsid w:val="008B5E2D"/>
    <w:rsid w:val="008B5F3F"/>
    <w:rsid w:val="008C0870"/>
    <w:rsid w:val="008C17F0"/>
    <w:rsid w:val="008C1C52"/>
    <w:rsid w:val="008C2A21"/>
    <w:rsid w:val="008C2A3D"/>
    <w:rsid w:val="008C2F04"/>
    <w:rsid w:val="008C3251"/>
    <w:rsid w:val="008C59D3"/>
    <w:rsid w:val="008C5B78"/>
    <w:rsid w:val="008C5CFD"/>
    <w:rsid w:val="008C79A8"/>
    <w:rsid w:val="008D019A"/>
    <w:rsid w:val="008D1007"/>
    <w:rsid w:val="008D14B8"/>
    <w:rsid w:val="008D1783"/>
    <w:rsid w:val="008D309D"/>
    <w:rsid w:val="008D350A"/>
    <w:rsid w:val="008D3939"/>
    <w:rsid w:val="008D4037"/>
    <w:rsid w:val="008D4B88"/>
    <w:rsid w:val="008D5808"/>
    <w:rsid w:val="008D5CBB"/>
    <w:rsid w:val="008D6B01"/>
    <w:rsid w:val="008D7216"/>
    <w:rsid w:val="008D743B"/>
    <w:rsid w:val="008D7EC6"/>
    <w:rsid w:val="008E0299"/>
    <w:rsid w:val="008E0C41"/>
    <w:rsid w:val="008E137E"/>
    <w:rsid w:val="008E236D"/>
    <w:rsid w:val="008E244E"/>
    <w:rsid w:val="008E330E"/>
    <w:rsid w:val="008E3425"/>
    <w:rsid w:val="008E4614"/>
    <w:rsid w:val="008E4ADE"/>
    <w:rsid w:val="008E62BB"/>
    <w:rsid w:val="008E66A7"/>
    <w:rsid w:val="008E6740"/>
    <w:rsid w:val="008E68B2"/>
    <w:rsid w:val="008E6C04"/>
    <w:rsid w:val="008E7401"/>
    <w:rsid w:val="008F0772"/>
    <w:rsid w:val="008F2098"/>
    <w:rsid w:val="008F2218"/>
    <w:rsid w:val="008F25CB"/>
    <w:rsid w:val="008F299B"/>
    <w:rsid w:val="008F4664"/>
    <w:rsid w:val="008F4782"/>
    <w:rsid w:val="008F5247"/>
    <w:rsid w:val="008F557A"/>
    <w:rsid w:val="008F56C7"/>
    <w:rsid w:val="008F6346"/>
    <w:rsid w:val="008F636B"/>
    <w:rsid w:val="008F64D8"/>
    <w:rsid w:val="008F697E"/>
    <w:rsid w:val="008F6D1D"/>
    <w:rsid w:val="008F731A"/>
    <w:rsid w:val="008F7C95"/>
    <w:rsid w:val="008F7E7D"/>
    <w:rsid w:val="00900D5B"/>
    <w:rsid w:val="0090112E"/>
    <w:rsid w:val="009011FE"/>
    <w:rsid w:val="00901334"/>
    <w:rsid w:val="00901703"/>
    <w:rsid w:val="00901822"/>
    <w:rsid w:val="00901910"/>
    <w:rsid w:val="009025D9"/>
    <w:rsid w:val="00904002"/>
    <w:rsid w:val="00905135"/>
    <w:rsid w:val="009056FC"/>
    <w:rsid w:val="00905EE6"/>
    <w:rsid w:val="00907772"/>
    <w:rsid w:val="00907EA9"/>
    <w:rsid w:val="00911C43"/>
    <w:rsid w:val="00912EF6"/>
    <w:rsid w:val="009130BF"/>
    <w:rsid w:val="00913A8F"/>
    <w:rsid w:val="00915C7B"/>
    <w:rsid w:val="009179FD"/>
    <w:rsid w:val="009203ED"/>
    <w:rsid w:val="00920C00"/>
    <w:rsid w:val="00922756"/>
    <w:rsid w:val="00922D8D"/>
    <w:rsid w:val="00923109"/>
    <w:rsid w:val="009231E2"/>
    <w:rsid w:val="009251B4"/>
    <w:rsid w:val="0092528A"/>
    <w:rsid w:val="0092534C"/>
    <w:rsid w:val="00925D4D"/>
    <w:rsid w:val="00925D4F"/>
    <w:rsid w:val="00926324"/>
    <w:rsid w:val="00926561"/>
    <w:rsid w:val="009278EB"/>
    <w:rsid w:val="00927D3E"/>
    <w:rsid w:val="00931996"/>
    <w:rsid w:val="00931C49"/>
    <w:rsid w:val="00931D40"/>
    <w:rsid w:val="00931D4D"/>
    <w:rsid w:val="009322B7"/>
    <w:rsid w:val="009325AC"/>
    <w:rsid w:val="00933B48"/>
    <w:rsid w:val="00934400"/>
    <w:rsid w:val="009358CD"/>
    <w:rsid w:val="00936F5A"/>
    <w:rsid w:val="009377C0"/>
    <w:rsid w:val="00940230"/>
    <w:rsid w:val="009405F1"/>
    <w:rsid w:val="00940682"/>
    <w:rsid w:val="009407C7"/>
    <w:rsid w:val="00940FC8"/>
    <w:rsid w:val="00941AE3"/>
    <w:rsid w:val="00942520"/>
    <w:rsid w:val="009425DE"/>
    <w:rsid w:val="009434E7"/>
    <w:rsid w:val="0094406E"/>
    <w:rsid w:val="00944702"/>
    <w:rsid w:val="00944AE0"/>
    <w:rsid w:val="00945002"/>
    <w:rsid w:val="00945C94"/>
    <w:rsid w:val="009463A0"/>
    <w:rsid w:val="00947193"/>
    <w:rsid w:val="009474FE"/>
    <w:rsid w:val="00947C92"/>
    <w:rsid w:val="00947EFB"/>
    <w:rsid w:val="009505E5"/>
    <w:rsid w:val="0095070D"/>
    <w:rsid w:val="009510EB"/>
    <w:rsid w:val="00951151"/>
    <w:rsid w:val="009512E7"/>
    <w:rsid w:val="009514A4"/>
    <w:rsid w:val="00951E74"/>
    <w:rsid w:val="009522AF"/>
    <w:rsid w:val="00952319"/>
    <w:rsid w:val="00952C84"/>
    <w:rsid w:val="00952DC0"/>
    <w:rsid w:val="0095319A"/>
    <w:rsid w:val="009538E1"/>
    <w:rsid w:val="00954B43"/>
    <w:rsid w:val="009556A3"/>
    <w:rsid w:val="00955735"/>
    <w:rsid w:val="009559DC"/>
    <w:rsid w:val="00956A91"/>
    <w:rsid w:val="00956B43"/>
    <w:rsid w:val="00957512"/>
    <w:rsid w:val="0096027A"/>
    <w:rsid w:val="00960DD7"/>
    <w:rsid w:val="00961F3D"/>
    <w:rsid w:val="0096376A"/>
    <w:rsid w:val="00964FEB"/>
    <w:rsid w:val="009663B7"/>
    <w:rsid w:val="009666DE"/>
    <w:rsid w:val="009710A9"/>
    <w:rsid w:val="009718F1"/>
    <w:rsid w:val="009723BC"/>
    <w:rsid w:val="0097324B"/>
    <w:rsid w:val="00973E97"/>
    <w:rsid w:val="00973EEF"/>
    <w:rsid w:val="0097439E"/>
    <w:rsid w:val="00975CC9"/>
    <w:rsid w:val="00975FA4"/>
    <w:rsid w:val="00976A0B"/>
    <w:rsid w:val="00976BF5"/>
    <w:rsid w:val="00976E90"/>
    <w:rsid w:val="00977068"/>
    <w:rsid w:val="00977328"/>
    <w:rsid w:val="00977390"/>
    <w:rsid w:val="00981EA9"/>
    <w:rsid w:val="009821C9"/>
    <w:rsid w:val="00982591"/>
    <w:rsid w:val="009826C3"/>
    <w:rsid w:val="00982908"/>
    <w:rsid w:val="0098449A"/>
    <w:rsid w:val="00985DCE"/>
    <w:rsid w:val="00985EEE"/>
    <w:rsid w:val="00986174"/>
    <w:rsid w:val="009870EC"/>
    <w:rsid w:val="009873EB"/>
    <w:rsid w:val="00987C10"/>
    <w:rsid w:val="00990768"/>
    <w:rsid w:val="009912F9"/>
    <w:rsid w:val="009925F6"/>
    <w:rsid w:val="0099279D"/>
    <w:rsid w:val="00993401"/>
    <w:rsid w:val="009939B6"/>
    <w:rsid w:val="00993B64"/>
    <w:rsid w:val="00993C4E"/>
    <w:rsid w:val="00994661"/>
    <w:rsid w:val="00994BCB"/>
    <w:rsid w:val="00994F9C"/>
    <w:rsid w:val="0099532C"/>
    <w:rsid w:val="009957E5"/>
    <w:rsid w:val="00996B00"/>
    <w:rsid w:val="00997435"/>
    <w:rsid w:val="009975D0"/>
    <w:rsid w:val="009979F4"/>
    <w:rsid w:val="009A0581"/>
    <w:rsid w:val="009A095B"/>
    <w:rsid w:val="009A167B"/>
    <w:rsid w:val="009A17A3"/>
    <w:rsid w:val="009A1BAA"/>
    <w:rsid w:val="009A31F0"/>
    <w:rsid w:val="009A3F6F"/>
    <w:rsid w:val="009A4AF6"/>
    <w:rsid w:val="009A5155"/>
    <w:rsid w:val="009A62CF"/>
    <w:rsid w:val="009A668E"/>
    <w:rsid w:val="009A6CC0"/>
    <w:rsid w:val="009A6E21"/>
    <w:rsid w:val="009A6E49"/>
    <w:rsid w:val="009A731D"/>
    <w:rsid w:val="009A7FCA"/>
    <w:rsid w:val="009B00EB"/>
    <w:rsid w:val="009B1326"/>
    <w:rsid w:val="009B201A"/>
    <w:rsid w:val="009B2D96"/>
    <w:rsid w:val="009B33B5"/>
    <w:rsid w:val="009B3FEC"/>
    <w:rsid w:val="009B464C"/>
    <w:rsid w:val="009B50CE"/>
    <w:rsid w:val="009B5A1A"/>
    <w:rsid w:val="009B5D6E"/>
    <w:rsid w:val="009B5DE1"/>
    <w:rsid w:val="009B60BE"/>
    <w:rsid w:val="009B61CE"/>
    <w:rsid w:val="009B7589"/>
    <w:rsid w:val="009B7DA8"/>
    <w:rsid w:val="009C03A4"/>
    <w:rsid w:val="009C04BF"/>
    <w:rsid w:val="009C0AE2"/>
    <w:rsid w:val="009C0D14"/>
    <w:rsid w:val="009C1947"/>
    <w:rsid w:val="009C1DFF"/>
    <w:rsid w:val="009C24E8"/>
    <w:rsid w:val="009C3672"/>
    <w:rsid w:val="009C38F6"/>
    <w:rsid w:val="009C4062"/>
    <w:rsid w:val="009C4B77"/>
    <w:rsid w:val="009C4C12"/>
    <w:rsid w:val="009C5DA1"/>
    <w:rsid w:val="009C67D0"/>
    <w:rsid w:val="009C6AA6"/>
    <w:rsid w:val="009C6DFF"/>
    <w:rsid w:val="009C71E0"/>
    <w:rsid w:val="009C7686"/>
    <w:rsid w:val="009C7781"/>
    <w:rsid w:val="009C7895"/>
    <w:rsid w:val="009D0A22"/>
    <w:rsid w:val="009D0D7D"/>
    <w:rsid w:val="009D11A1"/>
    <w:rsid w:val="009D19FA"/>
    <w:rsid w:val="009D1A26"/>
    <w:rsid w:val="009D2386"/>
    <w:rsid w:val="009D238C"/>
    <w:rsid w:val="009D23E9"/>
    <w:rsid w:val="009D242F"/>
    <w:rsid w:val="009D3C2D"/>
    <w:rsid w:val="009D4222"/>
    <w:rsid w:val="009D4869"/>
    <w:rsid w:val="009D51C6"/>
    <w:rsid w:val="009D56CA"/>
    <w:rsid w:val="009D5CA3"/>
    <w:rsid w:val="009D6695"/>
    <w:rsid w:val="009D7108"/>
    <w:rsid w:val="009D72D1"/>
    <w:rsid w:val="009D75FC"/>
    <w:rsid w:val="009D7915"/>
    <w:rsid w:val="009D797C"/>
    <w:rsid w:val="009E024F"/>
    <w:rsid w:val="009E0734"/>
    <w:rsid w:val="009E091D"/>
    <w:rsid w:val="009E0B05"/>
    <w:rsid w:val="009E1611"/>
    <w:rsid w:val="009E1A6E"/>
    <w:rsid w:val="009E1DF1"/>
    <w:rsid w:val="009E1EF1"/>
    <w:rsid w:val="009E2687"/>
    <w:rsid w:val="009E29B0"/>
    <w:rsid w:val="009E2BBF"/>
    <w:rsid w:val="009E32D9"/>
    <w:rsid w:val="009E34F4"/>
    <w:rsid w:val="009E3B08"/>
    <w:rsid w:val="009E3C0C"/>
    <w:rsid w:val="009E4C06"/>
    <w:rsid w:val="009E5773"/>
    <w:rsid w:val="009E5BA2"/>
    <w:rsid w:val="009E5FF3"/>
    <w:rsid w:val="009E61D4"/>
    <w:rsid w:val="009E62F9"/>
    <w:rsid w:val="009E6546"/>
    <w:rsid w:val="009E6744"/>
    <w:rsid w:val="009E70F4"/>
    <w:rsid w:val="009E7B79"/>
    <w:rsid w:val="009F0D88"/>
    <w:rsid w:val="009F16BE"/>
    <w:rsid w:val="009F2CAC"/>
    <w:rsid w:val="009F3406"/>
    <w:rsid w:val="009F3978"/>
    <w:rsid w:val="009F49AB"/>
    <w:rsid w:val="009F52AD"/>
    <w:rsid w:val="009F5D33"/>
    <w:rsid w:val="009F6AC8"/>
    <w:rsid w:val="009F6B8D"/>
    <w:rsid w:val="009F6CF0"/>
    <w:rsid w:val="009F6D0F"/>
    <w:rsid w:val="009F6DAE"/>
    <w:rsid w:val="009F7C9D"/>
    <w:rsid w:val="00A0088A"/>
    <w:rsid w:val="00A00D0C"/>
    <w:rsid w:val="00A01658"/>
    <w:rsid w:val="00A02658"/>
    <w:rsid w:val="00A02A32"/>
    <w:rsid w:val="00A02DD8"/>
    <w:rsid w:val="00A03347"/>
    <w:rsid w:val="00A05EF2"/>
    <w:rsid w:val="00A06C77"/>
    <w:rsid w:val="00A07E88"/>
    <w:rsid w:val="00A10398"/>
    <w:rsid w:val="00A12159"/>
    <w:rsid w:val="00A121BC"/>
    <w:rsid w:val="00A12CEF"/>
    <w:rsid w:val="00A13B3F"/>
    <w:rsid w:val="00A140B2"/>
    <w:rsid w:val="00A14D1C"/>
    <w:rsid w:val="00A15B1F"/>
    <w:rsid w:val="00A15BAC"/>
    <w:rsid w:val="00A175F7"/>
    <w:rsid w:val="00A20155"/>
    <w:rsid w:val="00A2042B"/>
    <w:rsid w:val="00A212A6"/>
    <w:rsid w:val="00A2296A"/>
    <w:rsid w:val="00A22D5E"/>
    <w:rsid w:val="00A230E0"/>
    <w:rsid w:val="00A2441F"/>
    <w:rsid w:val="00A25843"/>
    <w:rsid w:val="00A26F9F"/>
    <w:rsid w:val="00A27A8B"/>
    <w:rsid w:val="00A27E86"/>
    <w:rsid w:val="00A300B0"/>
    <w:rsid w:val="00A302ED"/>
    <w:rsid w:val="00A305C3"/>
    <w:rsid w:val="00A31D99"/>
    <w:rsid w:val="00A31D9E"/>
    <w:rsid w:val="00A3256E"/>
    <w:rsid w:val="00A33083"/>
    <w:rsid w:val="00A33204"/>
    <w:rsid w:val="00A33425"/>
    <w:rsid w:val="00A33950"/>
    <w:rsid w:val="00A3437C"/>
    <w:rsid w:val="00A36B71"/>
    <w:rsid w:val="00A37022"/>
    <w:rsid w:val="00A37AD1"/>
    <w:rsid w:val="00A41295"/>
    <w:rsid w:val="00A42278"/>
    <w:rsid w:val="00A46594"/>
    <w:rsid w:val="00A468DE"/>
    <w:rsid w:val="00A46E9A"/>
    <w:rsid w:val="00A477A3"/>
    <w:rsid w:val="00A50417"/>
    <w:rsid w:val="00A505F9"/>
    <w:rsid w:val="00A50759"/>
    <w:rsid w:val="00A53A4D"/>
    <w:rsid w:val="00A546EF"/>
    <w:rsid w:val="00A550E6"/>
    <w:rsid w:val="00A5690C"/>
    <w:rsid w:val="00A56C4D"/>
    <w:rsid w:val="00A56FC2"/>
    <w:rsid w:val="00A57BE4"/>
    <w:rsid w:val="00A60E6D"/>
    <w:rsid w:val="00A613B5"/>
    <w:rsid w:val="00A61C47"/>
    <w:rsid w:val="00A636A7"/>
    <w:rsid w:val="00A64788"/>
    <w:rsid w:val="00A650D8"/>
    <w:rsid w:val="00A6530D"/>
    <w:rsid w:val="00A65F33"/>
    <w:rsid w:val="00A6622C"/>
    <w:rsid w:val="00A6761D"/>
    <w:rsid w:val="00A700F9"/>
    <w:rsid w:val="00A702D4"/>
    <w:rsid w:val="00A71188"/>
    <w:rsid w:val="00A71DC9"/>
    <w:rsid w:val="00A72E91"/>
    <w:rsid w:val="00A72F6A"/>
    <w:rsid w:val="00A74AC4"/>
    <w:rsid w:val="00A74D54"/>
    <w:rsid w:val="00A753C2"/>
    <w:rsid w:val="00A75C24"/>
    <w:rsid w:val="00A80245"/>
    <w:rsid w:val="00A80DFF"/>
    <w:rsid w:val="00A80FC4"/>
    <w:rsid w:val="00A82339"/>
    <w:rsid w:val="00A82C57"/>
    <w:rsid w:val="00A82E12"/>
    <w:rsid w:val="00A831B2"/>
    <w:rsid w:val="00A833A7"/>
    <w:rsid w:val="00A8344C"/>
    <w:rsid w:val="00A8417F"/>
    <w:rsid w:val="00A8432F"/>
    <w:rsid w:val="00A86402"/>
    <w:rsid w:val="00A865EE"/>
    <w:rsid w:val="00A86F25"/>
    <w:rsid w:val="00A87319"/>
    <w:rsid w:val="00A910CD"/>
    <w:rsid w:val="00A91707"/>
    <w:rsid w:val="00A919B4"/>
    <w:rsid w:val="00A91B29"/>
    <w:rsid w:val="00A936F8"/>
    <w:rsid w:val="00A9503E"/>
    <w:rsid w:val="00A962ED"/>
    <w:rsid w:val="00A977A4"/>
    <w:rsid w:val="00AA02A7"/>
    <w:rsid w:val="00AA0669"/>
    <w:rsid w:val="00AA081B"/>
    <w:rsid w:val="00AA0DC0"/>
    <w:rsid w:val="00AA1534"/>
    <w:rsid w:val="00AA1ECB"/>
    <w:rsid w:val="00AA221F"/>
    <w:rsid w:val="00AA37F1"/>
    <w:rsid w:val="00AA3CEB"/>
    <w:rsid w:val="00AA54CF"/>
    <w:rsid w:val="00AA60C6"/>
    <w:rsid w:val="00AA690E"/>
    <w:rsid w:val="00AA6CA1"/>
    <w:rsid w:val="00AA71FC"/>
    <w:rsid w:val="00AA74DE"/>
    <w:rsid w:val="00AA78DC"/>
    <w:rsid w:val="00AA7FCC"/>
    <w:rsid w:val="00AA7FD1"/>
    <w:rsid w:val="00AB02BC"/>
    <w:rsid w:val="00AB031A"/>
    <w:rsid w:val="00AB0A57"/>
    <w:rsid w:val="00AB1B13"/>
    <w:rsid w:val="00AB1EC3"/>
    <w:rsid w:val="00AB24D5"/>
    <w:rsid w:val="00AB2D45"/>
    <w:rsid w:val="00AB3CAF"/>
    <w:rsid w:val="00AB484B"/>
    <w:rsid w:val="00AB5C79"/>
    <w:rsid w:val="00AB5DA6"/>
    <w:rsid w:val="00AB6618"/>
    <w:rsid w:val="00AB68A5"/>
    <w:rsid w:val="00AB68F5"/>
    <w:rsid w:val="00AB6D0F"/>
    <w:rsid w:val="00AB728A"/>
    <w:rsid w:val="00AC06CC"/>
    <w:rsid w:val="00AC13F8"/>
    <w:rsid w:val="00AC1A35"/>
    <w:rsid w:val="00AC3758"/>
    <w:rsid w:val="00AC3BAC"/>
    <w:rsid w:val="00AC3C93"/>
    <w:rsid w:val="00AC4CC1"/>
    <w:rsid w:val="00AC5462"/>
    <w:rsid w:val="00AC559B"/>
    <w:rsid w:val="00AC6D33"/>
    <w:rsid w:val="00AC7E90"/>
    <w:rsid w:val="00AD034E"/>
    <w:rsid w:val="00AD2AF5"/>
    <w:rsid w:val="00AD4BA1"/>
    <w:rsid w:val="00AD6783"/>
    <w:rsid w:val="00AE0443"/>
    <w:rsid w:val="00AE0F75"/>
    <w:rsid w:val="00AE16C2"/>
    <w:rsid w:val="00AE3D13"/>
    <w:rsid w:val="00AE5AC2"/>
    <w:rsid w:val="00AE60C5"/>
    <w:rsid w:val="00AE61A3"/>
    <w:rsid w:val="00AE6693"/>
    <w:rsid w:val="00AE66E6"/>
    <w:rsid w:val="00AE78F8"/>
    <w:rsid w:val="00AF145E"/>
    <w:rsid w:val="00AF2600"/>
    <w:rsid w:val="00AF28C6"/>
    <w:rsid w:val="00AF34DF"/>
    <w:rsid w:val="00AF3E63"/>
    <w:rsid w:val="00AF4E53"/>
    <w:rsid w:val="00AF56ED"/>
    <w:rsid w:val="00AF673F"/>
    <w:rsid w:val="00AF6CC5"/>
    <w:rsid w:val="00AF780B"/>
    <w:rsid w:val="00AF7B0A"/>
    <w:rsid w:val="00AF7B6F"/>
    <w:rsid w:val="00B01717"/>
    <w:rsid w:val="00B01743"/>
    <w:rsid w:val="00B01EED"/>
    <w:rsid w:val="00B0217E"/>
    <w:rsid w:val="00B02878"/>
    <w:rsid w:val="00B02FE5"/>
    <w:rsid w:val="00B0325D"/>
    <w:rsid w:val="00B03484"/>
    <w:rsid w:val="00B0353D"/>
    <w:rsid w:val="00B043A6"/>
    <w:rsid w:val="00B04B13"/>
    <w:rsid w:val="00B05B1D"/>
    <w:rsid w:val="00B05CF5"/>
    <w:rsid w:val="00B05E2F"/>
    <w:rsid w:val="00B0632B"/>
    <w:rsid w:val="00B06806"/>
    <w:rsid w:val="00B06980"/>
    <w:rsid w:val="00B10BC0"/>
    <w:rsid w:val="00B11304"/>
    <w:rsid w:val="00B11FEA"/>
    <w:rsid w:val="00B130C6"/>
    <w:rsid w:val="00B1312B"/>
    <w:rsid w:val="00B13BAE"/>
    <w:rsid w:val="00B14366"/>
    <w:rsid w:val="00B14AEB"/>
    <w:rsid w:val="00B14F17"/>
    <w:rsid w:val="00B15379"/>
    <w:rsid w:val="00B154DA"/>
    <w:rsid w:val="00B15AF5"/>
    <w:rsid w:val="00B16365"/>
    <w:rsid w:val="00B16D53"/>
    <w:rsid w:val="00B173C8"/>
    <w:rsid w:val="00B20B12"/>
    <w:rsid w:val="00B21052"/>
    <w:rsid w:val="00B21227"/>
    <w:rsid w:val="00B21D44"/>
    <w:rsid w:val="00B21FA2"/>
    <w:rsid w:val="00B23CCC"/>
    <w:rsid w:val="00B23D15"/>
    <w:rsid w:val="00B25CE7"/>
    <w:rsid w:val="00B26963"/>
    <w:rsid w:val="00B26A3F"/>
    <w:rsid w:val="00B27476"/>
    <w:rsid w:val="00B279D1"/>
    <w:rsid w:val="00B3172A"/>
    <w:rsid w:val="00B3213F"/>
    <w:rsid w:val="00B32955"/>
    <w:rsid w:val="00B32991"/>
    <w:rsid w:val="00B33144"/>
    <w:rsid w:val="00B3389E"/>
    <w:rsid w:val="00B34367"/>
    <w:rsid w:val="00B34C9F"/>
    <w:rsid w:val="00B3539B"/>
    <w:rsid w:val="00B35891"/>
    <w:rsid w:val="00B35D83"/>
    <w:rsid w:val="00B35EEC"/>
    <w:rsid w:val="00B35F20"/>
    <w:rsid w:val="00B36027"/>
    <w:rsid w:val="00B3750F"/>
    <w:rsid w:val="00B37747"/>
    <w:rsid w:val="00B4068C"/>
    <w:rsid w:val="00B412E0"/>
    <w:rsid w:val="00B41E84"/>
    <w:rsid w:val="00B42985"/>
    <w:rsid w:val="00B43A41"/>
    <w:rsid w:val="00B45480"/>
    <w:rsid w:val="00B45ACC"/>
    <w:rsid w:val="00B46AB0"/>
    <w:rsid w:val="00B4735F"/>
    <w:rsid w:val="00B5039E"/>
    <w:rsid w:val="00B50D29"/>
    <w:rsid w:val="00B50F6D"/>
    <w:rsid w:val="00B50FCF"/>
    <w:rsid w:val="00B510D9"/>
    <w:rsid w:val="00B5141E"/>
    <w:rsid w:val="00B514F3"/>
    <w:rsid w:val="00B53F95"/>
    <w:rsid w:val="00B564E3"/>
    <w:rsid w:val="00B56E00"/>
    <w:rsid w:val="00B621B8"/>
    <w:rsid w:val="00B62E7C"/>
    <w:rsid w:val="00B63B3D"/>
    <w:rsid w:val="00B63B92"/>
    <w:rsid w:val="00B64852"/>
    <w:rsid w:val="00B64948"/>
    <w:rsid w:val="00B64BF3"/>
    <w:rsid w:val="00B652F5"/>
    <w:rsid w:val="00B6530B"/>
    <w:rsid w:val="00B6571D"/>
    <w:rsid w:val="00B65BBD"/>
    <w:rsid w:val="00B66205"/>
    <w:rsid w:val="00B66E32"/>
    <w:rsid w:val="00B66ED0"/>
    <w:rsid w:val="00B67DB5"/>
    <w:rsid w:val="00B700F4"/>
    <w:rsid w:val="00B70223"/>
    <w:rsid w:val="00B70DC0"/>
    <w:rsid w:val="00B715C6"/>
    <w:rsid w:val="00B71706"/>
    <w:rsid w:val="00B71AD7"/>
    <w:rsid w:val="00B71FB1"/>
    <w:rsid w:val="00B720B7"/>
    <w:rsid w:val="00B72189"/>
    <w:rsid w:val="00B737BA"/>
    <w:rsid w:val="00B73A49"/>
    <w:rsid w:val="00B74734"/>
    <w:rsid w:val="00B75023"/>
    <w:rsid w:val="00B7602A"/>
    <w:rsid w:val="00B760B5"/>
    <w:rsid w:val="00B770A7"/>
    <w:rsid w:val="00B775F6"/>
    <w:rsid w:val="00B77E45"/>
    <w:rsid w:val="00B80451"/>
    <w:rsid w:val="00B8062A"/>
    <w:rsid w:val="00B81678"/>
    <w:rsid w:val="00B81BB3"/>
    <w:rsid w:val="00B81D1B"/>
    <w:rsid w:val="00B82651"/>
    <w:rsid w:val="00B8284E"/>
    <w:rsid w:val="00B82AAD"/>
    <w:rsid w:val="00B83C5B"/>
    <w:rsid w:val="00B84FC6"/>
    <w:rsid w:val="00B8581B"/>
    <w:rsid w:val="00B85A60"/>
    <w:rsid w:val="00B86B2F"/>
    <w:rsid w:val="00B8748B"/>
    <w:rsid w:val="00B87C86"/>
    <w:rsid w:val="00B91470"/>
    <w:rsid w:val="00B914C8"/>
    <w:rsid w:val="00B916C9"/>
    <w:rsid w:val="00B91AF8"/>
    <w:rsid w:val="00B91D1C"/>
    <w:rsid w:val="00B91F7B"/>
    <w:rsid w:val="00B9276F"/>
    <w:rsid w:val="00B9372B"/>
    <w:rsid w:val="00B93D2D"/>
    <w:rsid w:val="00B955DC"/>
    <w:rsid w:val="00B95FFB"/>
    <w:rsid w:val="00B96BD7"/>
    <w:rsid w:val="00B97FEA"/>
    <w:rsid w:val="00BA03DF"/>
    <w:rsid w:val="00BA08CF"/>
    <w:rsid w:val="00BA0F43"/>
    <w:rsid w:val="00BA1048"/>
    <w:rsid w:val="00BA10C2"/>
    <w:rsid w:val="00BA12FB"/>
    <w:rsid w:val="00BA1EEF"/>
    <w:rsid w:val="00BA200A"/>
    <w:rsid w:val="00BA270E"/>
    <w:rsid w:val="00BA29ED"/>
    <w:rsid w:val="00BA2ED2"/>
    <w:rsid w:val="00BA334B"/>
    <w:rsid w:val="00BA3999"/>
    <w:rsid w:val="00BA4736"/>
    <w:rsid w:val="00BA47D8"/>
    <w:rsid w:val="00BA57C2"/>
    <w:rsid w:val="00BA57E5"/>
    <w:rsid w:val="00BA6453"/>
    <w:rsid w:val="00BA6F11"/>
    <w:rsid w:val="00BA7F54"/>
    <w:rsid w:val="00BB000D"/>
    <w:rsid w:val="00BB0011"/>
    <w:rsid w:val="00BB0785"/>
    <w:rsid w:val="00BB0E19"/>
    <w:rsid w:val="00BB1F76"/>
    <w:rsid w:val="00BB234A"/>
    <w:rsid w:val="00BB264B"/>
    <w:rsid w:val="00BB34BD"/>
    <w:rsid w:val="00BB46D8"/>
    <w:rsid w:val="00BB48F7"/>
    <w:rsid w:val="00BB496B"/>
    <w:rsid w:val="00BB5E8E"/>
    <w:rsid w:val="00BB69C2"/>
    <w:rsid w:val="00BB6A5A"/>
    <w:rsid w:val="00BB6C0C"/>
    <w:rsid w:val="00BB6F8D"/>
    <w:rsid w:val="00BB7B0C"/>
    <w:rsid w:val="00BB7C51"/>
    <w:rsid w:val="00BB7F86"/>
    <w:rsid w:val="00BC00D4"/>
    <w:rsid w:val="00BC167B"/>
    <w:rsid w:val="00BC1971"/>
    <w:rsid w:val="00BC338B"/>
    <w:rsid w:val="00BC3E28"/>
    <w:rsid w:val="00BC3E4E"/>
    <w:rsid w:val="00BC407E"/>
    <w:rsid w:val="00BC40F5"/>
    <w:rsid w:val="00BC4C8F"/>
    <w:rsid w:val="00BC5527"/>
    <w:rsid w:val="00BC628F"/>
    <w:rsid w:val="00BC6752"/>
    <w:rsid w:val="00BC6B29"/>
    <w:rsid w:val="00BC736E"/>
    <w:rsid w:val="00BC7725"/>
    <w:rsid w:val="00BC79BF"/>
    <w:rsid w:val="00BC7B59"/>
    <w:rsid w:val="00BD006B"/>
    <w:rsid w:val="00BD00CB"/>
    <w:rsid w:val="00BD1494"/>
    <w:rsid w:val="00BD35E9"/>
    <w:rsid w:val="00BD3D2F"/>
    <w:rsid w:val="00BD3E64"/>
    <w:rsid w:val="00BD4529"/>
    <w:rsid w:val="00BD5FAC"/>
    <w:rsid w:val="00BD6259"/>
    <w:rsid w:val="00BD7553"/>
    <w:rsid w:val="00BE038D"/>
    <w:rsid w:val="00BE03F0"/>
    <w:rsid w:val="00BE12F9"/>
    <w:rsid w:val="00BE14A6"/>
    <w:rsid w:val="00BE29C6"/>
    <w:rsid w:val="00BE2C43"/>
    <w:rsid w:val="00BE2CB8"/>
    <w:rsid w:val="00BE3138"/>
    <w:rsid w:val="00BE329B"/>
    <w:rsid w:val="00BE36EC"/>
    <w:rsid w:val="00BE36F4"/>
    <w:rsid w:val="00BE39B0"/>
    <w:rsid w:val="00BE39E8"/>
    <w:rsid w:val="00BE509A"/>
    <w:rsid w:val="00BE50F9"/>
    <w:rsid w:val="00BE5405"/>
    <w:rsid w:val="00BE5536"/>
    <w:rsid w:val="00BE5D48"/>
    <w:rsid w:val="00BF0AF2"/>
    <w:rsid w:val="00BF0E93"/>
    <w:rsid w:val="00BF1940"/>
    <w:rsid w:val="00BF1967"/>
    <w:rsid w:val="00BF1BAF"/>
    <w:rsid w:val="00BF2852"/>
    <w:rsid w:val="00BF33D8"/>
    <w:rsid w:val="00BF349C"/>
    <w:rsid w:val="00BF4736"/>
    <w:rsid w:val="00BF4B49"/>
    <w:rsid w:val="00BF4C74"/>
    <w:rsid w:val="00BF6CBC"/>
    <w:rsid w:val="00BF73FF"/>
    <w:rsid w:val="00BF77B8"/>
    <w:rsid w:val="00BF78F2"/>
    <w:rsid w:val="00BF7EFA"/>
    <w:rsid w:val="00C00409"/>
    <w:rsid w:val="00C0049E"/>
    <w:rsid w:val="00C005DB"/>
    <w:rsid w:val="00C008C2"/>
    <w:rsid w:val="00C01308"/>
    <w:rsid w:val="00C02792"/>
    <w:rsid w:val="00C027A4"/>
    <w:rsid w:val="00C030DA"/>
    <w:rsid w:val="00C057AC"/>
    <w:rsid w:val="00C05F4E"/>
    <w:rsid w:val="00C06371"/>
    <w:rsid w:val="00C07DF8"/>
    <w:rsid w:val="00C1007D"/>
    <w:rsid w:val="00C1075A"/>
    <w:rsid w:val="00C10F0D"/>
    <w:rsid w:val="00C11B89"/>
    <w:rsid w:val="00C11C9F"/>
    <w:rsid w:val="00C11F8B"/>
    <w:rsid w:val="00C12175"/>
    <w:rsid w:val="00C12BFD"/>
    <w:rsid w:val="00C139CC"/>
    <w:rsid w:val="00C161DE"/>
    <w:rsid w:val="00C1621E"/>
    <w:rsid w:val="00C173AF"/>
    <w:rsid w:val="00C17EE0"/>
    <w:rsid w:val="00C20B96"/>
    <w:rsid w:val="00C20C8D"/>
    <w:rsid w:val="00C22331"/>
    <w:rsid w:val="00C233EB"/>
    <w:rsid w:val="00C23DD5"/>
    <w:rsid w:val="00C24041"/>
    <w:rsid w:val="00C24252"/>
    <w:rsid w:val="00C24857"/>
    <w:rsid w:val="00C24FE3"/>
    <w:rsid w:val="00C2571F"/>
    <w:rsid w:val="00C261F0"/>
    <w:rsid w:val="00C26652"/>
    <w:rsid w:val="00C2776E"/>
    <w:rsid w:val="00C2783C"/>
    <w:rsid w:val="00C30FF1"/>
    <w:rsid w:val="00C32804"/>
    <w:rsid w:val="00C33155"/>
    <w:rsid w:val="00C33995"/>
    <w:rsid w:val="00C34CD0"/>
    <w:rsid w:val="00C35689"/>
    <w:rsid w:val="00C35EEA"/>
    <w:rsid w:val="00C36D75"/>
    <w:rsid w:val="00C374F5"/>
    <w:rsid w:val="00C375AB"/>
    <w:rsid w:val="00C375EA"/>
    <w:rsid w:val="00C377A9"/>
    <w:rsid w:val="00C379F8"/>
    <w:rsid w:val="00C40492"/>
    <w:rsid w:val="00C40505"/>
    <w:rsid w:val="00C40781"/>
    <w:rsid w:val="00C419D6"/>
    <w:rsid w:val="00C41CD8"/>
    <w:rsid w:val="00C4214F"/>
    <w:rsid w:val="00C426B6"/>
    <w:rsid w:val="00C43447"/>
    <w:rsid w:val="00C437FA"/>
    <w:rsid w:val="00C43891"/>
    <w:rsid w:val="00C445D7"/>
    <w:rsid w:val="00C45EA5"/>
    <w:rsid w:val="00C45EF9"/>
    <w:rsid w:val="00C4625B"/>
    <w:rsid w:val="00C467B1"/>
    <w:rsid w:val="00C479E6"/>
    <w:rsid w:val="00C50D46"/>
    <w:rsid w:val="00C51754"/>
    <w:rsid w:val="00C51D18"/>
    <w:rsid w:val="00C52F34"/>
    <w:rsid w:val="00C52F7B"/>
    <w:rsid w:val="00C5302D"/>
    <w:rsid w:val="00C53C09"/>
    <w:rsid w:val="00C5410B"/>
    <w:rsid w:val="00C55AA2"/>
    <w:rsid w:val="00C5745B"/>
    <w:rsid w:val="00C60210"/>
    <w:rsid w:val="00C60289"/>
    <w:rsid w:val="00C60343"/>
    <w:rsid w:val="00C6141F"/>
    <w:rsid w:val="00C620BE"/>
    <w:rsid w:val="00C63567"/>
    <w:rsid w:val="00C6388E"/>
    <w:rsid w:val="00C63C77"/>
    <w:rsid w:val="00C64053"/>
    <w:rsid w:val="00C64D33"/>
    <w:rsid w:val="00C6577A"/>
    <w:rsid w:val="00C66D39"/>
    <w:rsid w:val="00C701D9"/>
    <w:rsid w:val="00C707DB"/>
    <w:rsid w:val="00C71E9E"/>
    <w:rsid w:val="00C72029"/>
    <w:rsid w:val="00C720A0"/>
    <w:rsid w:val="00C73158"/>
    <w:rsid w:val="00C733CB"/>
    <w:rsid w:val="00C736E7"/>
    <w:rsid w:val="00C73D11"/>
    <w:rsid w:val="00C74618"/>
    <w:rsid w:val="00C74896"/>
    <w:rsid w:val="00C74C45"/>
    <w:rsid w:val="00C772A9"/>
    <w:rsid w:val="00C77E08"/>
    <w:rsid w:val="00C77E20"/>
    <w:rsid w:val="00C80BB3"/>
    <w:rsid w:val="00C80E9B"/>
    <w:rsid w:val="00C81EBF"/>
    <w:rsid w:val="00C82E99"/>
    <w:rsid w:val="00C83D5C"/>
    <w:rsid w:val="00C83F5F"/>
    <w:rsid w:val="00C84CB7"/>
    <w:rsid w:val="00C85461"/>
    <w:rsid w:val="00C854DF"/>
    <w:rsid w:val="00C85740"/>
    <w:rsid w:val="00C85E69"/>
    <w:rsid w:val="00C85FC5"/>
    <w:rsid w:val="00C90BEE"/>
    <w:rsid w:val="00C90C12"/>
    <w:rsid w:val="00C90EC7"/>
    <w:rsid w:val="00C90FD0"/>
    <w:rsid w:val="00C9104A"/>
    <w:rsid w:val="00C9132B"/>
    <w:rsid w:val="00C91492"/>
    <w:rsid w:val="00C93191"/>
    <w:rsid w:val="00C9337A"/>
    <w:rsid w:val="00C94243"/>
    <w:rsid w:val="00C94409"/>
    <w:rsid w:val="00C94505"/>
    <w:rsid w:val="00C9464F"/>
    <w:rsid w:val="00C95297"/>
    <w:rsid w:val="00C95A82"/>
    <w:rsid w:val="00C95B3C"/>
    <w:rsid w:val="00C95B7C"/>
    <w:rsid w:val="00C96193"/>
    <w:rsid w:val="00C96886"/>
    <w:rsid w:val="00C97A8F"/>
    <w:rsid w:val="00C97D67"/>
    <w:rsid w:val="00C97F90"/>
    <w:rsid w:val="00CA0218"/>
    <w:rsid w:val="00CA0245"/>
    <w:rsid w:val="00CA05A1"/>
    <w:rsid w:val="00CA0942"/>
    <w:rsid w:val="00CA11A5"/>
    <w:rsid w:val="00CA1563"/>
    <w:rsid w:val="00CA1EAB"/>
    <w:rsid w:val="00CA2E1F"/>
    <w:rsid w:val="00CA41F7"/>
    <w:rsid w:val="00CA452C"/>
    <w:rsid w:val="00CA463F"/>
    <w:rsid w:val="00CA48D1"/>
    <w:rsid w:val="00CA56EA"/>
    <w:rsid w:val="00CA7756"/>
    <w:rsid w:val="00CB00E5"/>
    <w:rsid w:val="00CB063C"/>
    <w:rsid w:val="00CB0A3F"/>
    <w:rsid w:val="00CB2A9A"/>
    <w:rsid w:val="00CB3AE2"/>
    <w:rsid w:val="00CB4265"/>
    <w:rsid w:val="00CB58C4"/>
    <w:rsid w:val="00CB5B53"/>
    <w:rsid w:val="00CB6728"/>
    <w:rsid w:val="00CB6C15"/>
    <w:rsid w:val="00CB7082"/>
    <w:rsid w:val="00CB730A"/>
    <w:rsid w:val="00CB78FA"/>
    <w:rsid w:val="00CC18E8"/>
    <w:rsid w:val="00CC254E"/>
    <w:rsid w:val="00CC27B3"/>
    <w:rsid w:val="00CC2AD1"/>
    <w:rsid w:val="00CC351C"/>
    <w:rsid w:val="00CC37DC"/>
    <w:rsid w:val="00CC422D"/>
    <w:rsid w:val="00CC529A"/>
    <w:rsid w:val="00CC5DC2"/>
    <w:rsid w:val="00CC5F51"/>
    <w:rsid w:val="00CC5F89"/>
    <w:rsid w:val="00CC6C25"/>
    <w:rsid w:val="00CC70FE"/>
    <w:rsid w:val="00CC755B"/>
    <w:rsid w:val="00CC7C18"/>
    <w:rsid w:val="00CD00F0"/>
    <w:rsid w:val="00CD0A07"/>
    <w:rsid w:val="00CD157B"/>
    <w:rsid w:val="00CD1C59"/>
    <w:rsid w:val="00CD21EA"/>
    <w:rsid w:val="00CD32E1"/>
    <w:rsid w:val="00CD3EA6"/>
    <w:rsid w:val="00CD40AF"/>
    <w:rsid w:val="00CD4183"/>
    <w:rsid w:val="00CD465A"/>
    <w:rsid w:val="00CD4A67"/>
    <w:rsid w:val="00CD5954"/>
    <w:rsid w:val="00CD5ACA"/>
    <w:rsid w:val="00CD6036"/>
    <w:rsid w:val="00CD7119"/>
    <w:rsid w:val="00CD72F5"/>
    <w:rsid w:val="00CE065E"/>
    <w:rsid w:val="00CE198E"/>
    <w:rsid w:val="00CE1AF1"/>
    <w:rsid w:val="00CE3837"/>
    <w:rsid w:val="00CE3D99"/>
    <w:rsid w:val="00CE41F4"/>
    <w:rsid w:val="00CE4439"/>
    <w:rsid w:val="00CE444F"/>
    <w:rsid w:val="00CE45B9"/>
    <w:rsid w:val="00CE4966"/>
    <w:rsid w:val="00CE52AA"/>
    <w:rsid w:val="00CE5C31"/>
    <w:rsid w:val="00CE5D45"/>
    <w:rsid w:val="00CE6960"/>
    <w:rsid w:val="00CF0EC7"/>
    <w:rsid w:val="00CF16BF"/>
    <w:rsid w:val="00CF1C57"/>
    <w:rsid w:val="00CF28B5"/>
    <w:rsid w:val="00CF2A28"/>
    <w:rsid w:val="00CF45A0"/>
    <w:rsid w:val="00CF597C"/>
    <w:rsid w:val="00CF5AF1"/>
    <w:rsid w:val="00CF5BB6"/>
    <w:rsid w:val="00CF65AB"/>
    <w:rsid w:val="00CF65FC"/>
    <w:rsid w:val="00CF69F3"/>
    <w:rsid w:val="00CF6C6D"/>
    <w:rsid w:val="00CF7B1B"/>
    <w:rsid w:val="00D02BA3"/>
    <w:rsid w:val="00D02D77"/>
    <w:rsid w:val="00D02DDE"/>
    <w:rsid w:val="00D02FFE"/>
    <w:rsid w:val="00D04E23"/>
    <w:rsid w:val="00D05530"/>
    <w:rsid w:val="00D0593F"/>
    <w:rsid w:val="00D05E38"/>
    <w:rsid w:val="00D06382"/>
    <w:rsid w:val="00D07F69"/>
    <w:rsid w:val="00D10C8A"/>
    <w:rsid w:val="00D1175C"/>
    <w:rsid w:val="00D128C5"/>
    <w:rsid w:val="00D12900"/>
    <w:rsid w:val="00D12906"/>
    <w:rsid w:val="00D13227"/>
    <w:rsid w:val="00D13F7A"/>
    <w:rsid w:val="00D14503"/>
    <w:rsid w:val="00D15074"/>
    <w:rsid w:val="00D15442"/>
    <w:rsid w:val="00D16635"/>
    <w:rsid w:val="00D16F97"/>
    <w:rsid w:val="00D175BD"/>
    <w:rsid w:val="00D201FF"/>
    <w:rsid w:val="00D2044B"/>
    <w:rsid w:val="00D2049E"/>
    <w:rsid w:val="00D20F9D"/>
    <w:rsid w:val="00D21627"/>
    <w:rsid w:val="00D229DB"/>
    <w:rsid w:val="00D237F1"/>
    <w:rsid w:val="00D23D96"/>
    <w:rsid w:val="00D24672"/>
    <w:rsid w:val="00D24E41"/>
    <w:rsid w:val="00D25521"/>
    <w:rsid w:val="00D26377"/>
    <w:rsid w:val="00D26F84"/>
    <w:rsid w:val="00D27046"/>
    <w:rsid w:val="00D27A08"/>
    <w:rsid w:val="00D27EED"/>
    <w:rsid w:val="00D30329"/>
    <w:rsid w:val="00D304E1"/>
    <w:rsid w:val="00D30A92"/>
    <w:rsid w:val="00D30C5E"/>
    <w:rsid w:val="00D34C2C"/>
    <w:rsid w:val="00D34F67"/>
    <w:rsid w:val="00D354EC"/>
    <w:rsid w:val="00D3603D"/>
    <w:rsid w:val="00D36F8C"/>
    <w:rsid w:val="00D3721D"/>
    <w:rsid w:val="00D37FD4"/>
    <w:rsid w:val="00D4088E"/>
    <w:rsid w:val="00D40D54"/>
    <w:rsid w:val="00D4131B"/>
    <w:rsid w:val="00D413D4"/>
    <w:rsid w:val="00D4173D"/>
    <w:rsid w:val="00D42F7B"/>
    <w:rsid w:val="00D434C7"/>
    <w:rsid w:val="00D4354B"/>
    <w:rsid w:val="00D4355D"/>
    <w:rsid w:val="00D43DB4"/>
    <w:rsid w:val="00D440C3"/>
    <w:rsid w:val="00D44516"/>
    <w:rsid w:val="00D447F6"/>
    <w:rsid w:val="00D453D0"/>
    <w:rsid w:val="00D4659E"/>
    <w:rsid w:val="00D46DF9"/>
    <w:rsid w:val="00D47A5C"/>
    <w:rsid w:val="00D51120"/>
    <w:rsid w:val="00D519D0"/>
    <w:rsid w:val="00D51B57"/>
    <w:rsid w:val="00D51F77"/>
    <w:rsid w:val="00D52086"/>
    <w:rsid w:val="00D52635"/>
    <w:rsid w:val="00D52FC1"/>
    <w:rsid w:val="00D53874"/>
    <w:rsid w:val="00D53C93"/>
    <w:rsid w:val="00D540E6"/>
    <w:rsid w:val="00D548A4"/>
    <w:rsid w:val="00D5592B"/>
    <w:rsid w:val="00D559E0"/>
    <w:rsid w:val="00D55EAF"/>
    <w:rsid w:val="00D56498"/>
    <w:rsid w:val="00D569F8"/>
    <w:rsid w:val="00D57658"/>
    <w:rsid w:val="00D57F78"/>
    <w:rsid w:val="00D6158C"/>
    <w:rsid w:val="00D61ED4"/>
    <w:rsid w:val="00D628C7"/>
    <w:rsid w:val="00D63025"/>
    <w:rsid w:val="00D63168"/>
    <w:rsid w:val="00D63208"/>
    <w:rsid w:val="00D635CA"/>
    <w:rsid w:val="00D64058"/>
    <w:rsid w:val="00D64084"/>
    <w:rsid w:val="00D663FE"/>
    <w:rsid w:val="00D70D09"/>
    <w:rsid w:val="00D719C4"/>
    <w:rsid w:val="00D71A5C"/>
    <w:rsid w:val="00D72641"/>
    <w:rsid w:val="00D72CDA"/>
    <w:rsid w:val="00D734EF"/>
    <w:rsid w:val="00D74837"/>
    <w:rsid w:val="00D74E63"/>
    <w:rsid w:val="00D75D5E"/>
    <w:rsid w:val="00D767C0"/>
    <w:rsid w:val="00D76E60"/>
    <w:rsid w:val="00D77AA2"/>
    <w:rsid w:val="00D80551"/>
    <w:rsid w:val="00D821F6"/>
    <w:rsid w:val="00D82387"/>
    <w:rsid w:val="00D82863"/>
    <w:rsid w:val="00D8332B"/>
    <w:rsid w:val="00D83712"/>
    <w:rsid w:val="00D83BC8"/>
    <w:rsid w:val="00D83D0D"/>
    <w:rsid w:val="00D84413"/>
    <w:rsid w:val="00D84980"/>
    <w:rsid w:val="00D84DBE"/>
    <w:rsid w:val="00D85955"/>
    <w:rsid w:val="00D8610D"/>
    <w:rsid w:val="00D86966"/>
    <w:rsid w:val="00D86E59"/>
    <w:rsid w:val="00D87805"/>
    <w:rsid w:val="00D920BD"/>
    <w:rsid w:val="00D93286"/>
    <w:rsid w:val="00D93E76"/>
    <w:rsid w:val="00D94945"/>
    <w:rsid w:val="00D94CF9"/>
    <w:rsid w:val="00D9540F"/>
    <w:rsid w:val="00D95BB0"/>
    <w:rsid w:val="00D96E2E"/>
    <w:rsid w:val="00D9757B"/>
    <w:rsid w:val="00D9784C"/>
    <w:rsid w:val="00D97C84"/>
    <w:rsid w:val="00DA03A9"/>
    <w:rsid w:val="00DA070C"/>
    <w:rsid w:val="00DA07A0"/>
    <w:rsid w:val="00DA0939"/>
    <w:rsid w:val="00DA1BF9"/>
    <w:rsid w:val="00DA2869"/>
    <w:rsid w:val="00DA337A"/>
    <w:rsid w:val="00DA465A"/>
    <w:rsid w:val="00DA4A19"/>
    <w:rsid w:val="00DA4BCF"/>
    <w:rsid w:val="00DA50D8"/>
    <w:rsid w:val="00DA52B2"/>
    <w:rsid w:val="00DA5897"/>
    <w:rsid w:val="00DA5A4B"/>
    <w:rsid w:val="00DA6A59"/>
    <w:rsid w:val="00DA6DFA"/>
    <w:rsid w:val="00DB1B5B"/>
    <w:rsid w:val="00DB2C30"/>
    <w:rsid w:val="00DB2FFA"/>
    <w:rsid w:val="00DB4CEF"/>
    <w:rsid w:val="00DB5285"/>
    <w:rsid w:val="00DB5B93"/>
    <w:rsid w:val="00DB79B6"/>
    <w:rsid w:val="00DB7FCC"/>
    <w:rsid w:val="00DC0347"/>
    <w:rsid w:val="00DC09DD"/>
    <w:rsid w:val="00DC10C1"/>
    <w:rsid w:val="00DC16B3"/>
    <w:rsid w:val="00DC2306"/>
    <w:rsid w:val="00DC2347"/>
    <w:rsid w:val="00DC2ACB"/>
    <w:rsid w:val="00DC41A5"/>
    <w:rsid w:val="00DC4F29"/>
    <w:rsid w:val="00DC566A"/>
    <w:rsid w:val="00DC77FC"/>
    <w:rsid w:val="00DC7B6C"/>
    <w:rsid w:val="00DC7BFA"/>
    <w:rsid w:val="00DD04E9"/>
    <w:rsid w:val="00DD091A"/>
    <w:rsid w:val="00DD1BC3"/>
    <w:rsid w:val="00DD2149"/>
    <w:rsid w:val="00DD4103"/>
    <w:rsid w:val="00DD451F"/>
    <w:rsid w:val="00DD45B7"/>
    <w:rsid w:val="00DD495A"/>
    <w:rsid w:val="00DD6517"/>
    <w:rsid w:val="00DD6A88"/>
    <w:rsid w:val="00DD7091"/>
    <w:rsid w:val="00DE02B0"/>
    <w:rsid w:val="00DE02F7"/>
    <w:rsid w:val="00DE10DE"/>
    <w:rsid w:val="00DE1833"/>
    <w:rsid w:val="00DE2C73"/>
    <w:rsid w:val="00DE2DD1"/>
    <w:rsid w:val="00DE34DE"/>
    <w:rsid w:val="00DE3932"/>
    <w:rsid w:val="00DE5679"/>
    <w:rsid w:val="00DE61D8"/>
    <w:rsid w:val="00DE6524"/>
    <w:rsid w:val="00DE662F"/>
    <w:rsid w:val="00DE74E8"/>
    <w:rsid w:val="00DE793B"/>
    <w:rsid w:val="00DE7F2C"/>
    <w:rsid w:val="00DF00AD"/>
    <w:rsid w:val="00DF038E"/>
    <w:rsid w:val="00DF04D3"/>
    <w:rsid w:val="00DF0828"/>
    <w:rsid w:val="00DF0C69"/>
    <w:rsid w:val="00DF0D45"/>
    <w:rsid w:val="00DF0F1D"/>
    <w:rsid w:val="00DF1A5B"/>
    <w:rsid w:val="00DF1E35"/>
    <w:rsid w:val="00DF20E1"/>
    <w:rsid w:val="00DF27D3"/>
    <w:rsid w:val="00DF3277"/>
    <w:rsid w:val="00DF527E"/>
    <w:rsid w:val="00DF67E4"/>
    <w:rsid w:val="00DF6F1C"/>
    <w:rsid w:val="00DF7520"/>
    <w:rsid w:val="00E001BB"/>
    <w:rsid w:val="00E00EDF"/>
    <w:rsid w:val="00E01EF2"/>
    <w:rsid w:val="00E0294F"/>
    <w:rsid w:val="00E03F48"/>
    <w:rsid w:val="00E04A2A"/>
    <w:rsid w:val="00E05892"/>
    <w:rsid w:val="00E05E83"/>
    <w:rsid w:val="00E05EA5"/>
    <w:rsid w:val="00E0630A"/>
    <w:rsid w:val="00E06FFB"/>
    <w:rsid w:val="00E07533"/>
    <w:rsid w:val="00E07B87"/>
    <w:rsid w:val="00E07BCC"/>
    <w:rsid w:val="00E100C3"/>
    <w:rsid w:val="00E103A1"/>
    <w:rsid w:val="00E108AD"/>
    <w:rsid w:val="00E11195"/>
    <w:rsid w:val="00E112C9"/>
    <w:rsid w:val="00E11376"/>
    <w:rsid w:val="00E12BD8"/>
    <w:rsid w:val="00E13884"/>
    <w:rsid w:val="00E13E6D"/>
    <w:rsid w:val="00E1637F"/>
    <w:rsid w:val="00E16792"/>
    <w:rsid w:val="00E16E6A"/>
    <w:rsid w:val="00E17736"/>
    <w:rsid w:val="00E177E6"/>
    <w:rsid w:val="00E21C1E"/>
    <w:rsid w:val="00E220EE"/>
    <w:rsid w:val="00E22CDE"/>
    <w:rsid w:val="00E23B7E"/>
    <w:rsid w:val="00E244DC"/>
    <w:rsid w:val="00E245C4"/>
    <w:rsid w:val="00E257D8"/>
    <w:rsid w:val="00E2588A"/>
    <w:rsid w:val="00E26AD7"/>
    <w:rsid w:val="00E26C25"/>
    <w:rsid w:val="00E27C30"/>
    <w:rsid w:val="00E27EE2"/>
    <w:rsid w:val="00E30021"/>
    <w:rsid w:val="00E3101A"/>
    <w:rsid w:val="00E316B5"/>
    <w:rsid w:val="00E32696"/>
    <w:rsid w:val="00E33517"/>
    <w:rsid w:val="00E33B0D"/>
    <w:rsid w:val="00E34112"/>
    <w:rsid w:val="00E34605"/>
    <w:rsid w:val="00E34DE6"/>
    <w:rsid w:val="00E34ED8"/>
    <w:rsid w:val="00E34F2B"/>
    <w:rsid w:val="00E35ADF"/>
    <w:rsid w:val="00E35E34"/>
    <w:rsid w:val="00E35EF7"/>
    <w:rsid w:val="00E36035"/>
    <w:rsid w:val="00E364AE"/>
    <w:rsid w:val="00E377B4"/>
    <w:rsid w:val="00E37CFE"/>
    <w:rsid w:val="00E37ED0"/>
    <w:rsid w:val="00E41B6E"/>
    <w:rsid w:val="00E41C07"/>
    <w:rsid w:val="00E423BA"/>
    <w:rsid w:val="00E42F3B"/>
    <w:rsid w:val="00E435DA"/>
    <w:rsid w:val="00E44024"/>
    <w:rsid w:val="00E4436C"/>
    <w:rsid w:val="00E447AB"/>
    <w:rsid w:val="00E44EF7"/>
    <w:rsid w:val="00E45F41"/>
    <w:rsid w:val="00E462B0"/>
    <w:rsid w:val="00E4666B"/>
    <w:rsid w:val="00E5139D"/>
    <w:rsid w:val="00E526CA"/>
    <w:rsid w:val="00E52D32"/>
    <w:rsid w:val="00E5434E"/>
    <w:rsid w:val="00E54396"/>
    <w:rsid w:val="00E54E6D"/>
    <w:rsid w:val="00E55B57"/>
    <w:rsid w:val="00E56461"/>
    <w:rsid w:val="00E5698D"/>
    <w:rsid w:val="00E57F01"/>
    <w:rsid w:val="00E60242"/>
    <w:rsid w:val="00E604BC"/>
    <w:rsid w:val="00E60AD0"/>
    <w:rsid w:val="00E60B82"/>
    <w:rsid w:val="00E60BF8"/>
    <w:rsid w:val="00E610CA"/>
    <w:rsid w:val="00E620C0"/>
    <w:rsid w:val="00E6352E"/>
    <w:rsid w:val="00E63EA8"/>
    <w:rsid w:val="00E642A1"/>
    <w:rsid w:val="00E64661"/>
    <w:rsid w:val="00E65777"/>
    <w:rsid w:val="00E66AD6"/>
    <w:rsid w:val="00E66B0F"/>
    <w:rsid w:val="00E67DAC"/>
    <w:rsid w:val="00E70A28"/>
    <w:rsid w:val="00E71E97"/>
    <w:rsid w:val="00E739CA"/>
    <w:rsid w:val="00E73CB6"/>
    <w:rsid w:val="00E73D94"/>
    <w:rsid w:val="00E73FC8"/>
    <w:rsid w:val="00E73FEA"/>
    <w:rsid w:val="00E745A7"/>
    <w:rsid w:val="00E74A6B"/>
    <w:rsid w:val="00E751D7"/>
    <w:rsid w:val="00E75925"/>
    <w:rsid w:val="00E75EEF"/>
    <w:rsid w:val="00E75FF7"/>
    <w:rsid w:val="00E76208"/>
    <w:rsid w:val="00E801FD"/>
    <w:rsid w:val="00E81127"/>
    <w:rsid w:val="00E81377"/>
    <w:rsid w:val="00E81C76"/>
    <w:rsid w:val="00E82955"/>
    <w:rsid w:val="00E82A45"/>
    <w:rsid w:val="00E82AC1"/>
    <w:rsid w:val="00E82BA0"/>
    <w:rsid w:val="00E8301A"/>
    <w:rsid w:val="00E83694"/>
    <w:rsid w:val="00E84A2C"/>
    <w:rsid w:val="00E86214"/>
    <w:rsid w:val="00E86DD9"/>
    <w:rsid w:val="00E86DF8"/>
    <w:rsid w:val="00E9023B"/>
    <w:rsid w:val="00E902FD"/>
    <w:rsid w:val="00E917D0"/>
    <w:rsid w:val="00E93612"/>
    <w:rsid w:val="00E93F0B"/>
    <w:rsid w:val="00E94C36"/>
    <w:rsid w:val="00E952CB"/>
    <w:rsid w:val="00E9571F"/>
    <w:rsid w:val="00E96102"/>
    <w:rsid w:val="00E9612C"/>
    <w:rsid w:val="00E969AE"/>
    <w:rsid w:val="00E96FF2"/>
    <w:rsid w:val="00E9704D"/>
    <w:rsid w:val="00E976A0"/>
    <w:rsid w:val="00E978A0"/>
    <w:rsid w:val="00E97978"/>
    <w:rsid w:val="00E97AE9"/>
    <w:rsid w:val="00E97F06"/>
    <w:rsid w:val="00EA0D40"/>
    <w:rsid w:val="00EA0F04"/>
    <w:rsid w:val="00EA0F82"/>
    <w:rsid w:val="00EA12C9"/>
    <w:rsid w:val="00EA1A35"/>
    <w:rsid w:val="00EA303F"/>
    <w:rsid w:val="00EA3461"/>
    <w:rsid w:val="00EA3ED5"/>
    <w:rsid w:val="00EA41F1"/>
    <w:rsid w:val="00EA451A"/>
    <w:rsid w:val="00EA49A3"/>
    <w:rsid w:val="00EA51AA"/>
    <w:rsid w:val="00EA6AB8"/>
    <w:rsid w:val="00EA70A5"/>
    <w:rsid w:val="00EA728B"/>
    <w:rsid w:val="00EA734B"/>
    <w:rsid w:val="00EA79F1"/>
    <w:rsid w:val="00EB1073"/>
    <w:rsid w:val="00EB1AC9"/>
    <w:rsid w:val="00EB2F00"/>
    <w:rsid w:val="00EB3972"/>
    <w:rsid w:val="00EB559F"/>
    <w:rsid w:val="00EB5984"/>
    <w:rsid w:val="00EB5A7D"/>
    <w:rsid w:val="00EB5F36"/>
    <w:rsid w:val="00EB6A6C"/>
    <w:rsid w:val="00EB7043"/>
    <w:rsid w:val="00EB752A"/>
    <w:rsid w:val="00EB7F95"/>
    <w:rsid w:val="00EC117C"/>
    <w:rsid w:val="00EC23AA"/>
    <w:rsid w:val="00EC42A1"/>
    <w:rsid w:val="00EC451B"/>
    <w:rsid w:val="00EC6781"/>
    <w:rsid w:val="00ED048F"/>
    <w:rsid w:val="00ED17B1"/>
    <w:rsid w:val="00ED1A21"/>
    <w:rsid w:val="00ED2BBC"/>
    <w:rsid w:val="00ED346B"/>
    <w:rsid w:val="00ED3583"/>
    <w:rsid w:val="00ED3879"/>
    <w:rsid w:val="00ED3FC6"/>
    <w:rsid w:val="00ED4A80"/>
    <w:rsid w:val="00ED50DB"/>
    <w:rsid w:val="00ED5245"/>
    <w:rsid w:val="00ED57A4"/>
    <w:rsid w:val="00ED5C0A"/>
    <w:rsid w:val="00ED6B33"/>
    <w:rsid w:val="00ED79CA"/>
    <w:rsid w:val="00EE022C"/>
    <w:rsid w:val="00EE05D9"/>
    <w:rsid w:val="00EE063B"/>
    <w:rsid w:val="00EE13C8"/>
    <w:rsid w:val="00EE14EB"/>
    <w:rsid w:val="00EE178F"/>
    <w:rsid w:val="00EE2108"/>
    <w:rsid w:val="00EE25AD"/>
    <w:rsid w:val="00EE3949"/>
    <w:rsid w:val="00EE3C27"/>
    <w:rsid w:val="00EE3F6E"/>
    <w:rsid w:val="00EE489D"/>
    <w:rsid w:val="00EE594B"/>
    <w:rsid w:val="00EE595E"/>
    <w:rsid w:val="00EE5EC2"/>
    <w:rsid w:val="00EE60D7"/>
    <w:rsid w:val="00EE62D0"/>
    <w:rsid w:val="00EE6449"/>
    <w:rsid w:val="00EE717C"/>
    <w:rsid w:val="00EE7D0B"/>
    <w:rsid w:val="00EE7D6B"/>
    <w:rsid w:val="00EF0260"/>
    <w:rsid w:val="00EF077C"/>
    <w:rsid w:val="00EF1630"/>
    <w:rsid w:val="00EF1949"/>
    <w:rsid w:val="00EF1991"/>
    <w:rsid w:val="00EF1BE5"/>
    <w:rsid w:val="00EF1C91"/>
    <w:rsid w:val="00EF1F5C"/>
    <w:rsid w:val="00EF2C5C"/>
    <w:rsid w:val="00EF3139"/>
    <w:rsid w:val="00EF3957"/>
    <w:rsid w:val="00EF4098"/>
    <w:rsid w:val="00EF42F2"/>
    <w:rsid w:val="00EF4A31"/>
    <w:rsid w:val="00EF5200"/>
    <w:rsid w:val="00EF58A2"/>
    <w:rsid w:val="00EF6221"/>
    <w:rsid w:val="00EF713E"/>
    <w:rsid w:val="00EF71FD"/>
    <w:rsid w:val="00EF7379"/>
    <w:rsid w:val="00EF779F"/>
    <w:rsid w:val="00EF7AA0"/>
    <w:rsid w:val="00EF7BD4"/>
    <w:rsid w:val="00EF7C5B"/>
    <w:rsid w:val="00EF7D73"/>
    <w:rsid w:val="00F00104"/>
    <w:rsid w:val="00F00179"/>
    <w:rsid w:val="00F02156"/>
    <w:rsid w:val="00F02C9B"/>
    <w:rsid w:val="00F031B0"/>
    <w:rsid w:val="00F03D1E"/>
    <w:rsid w:val="00F0400D"/>
    <w:rsid w:val="00F0492C"/>
    <w:rsid w:val="00F0535B"/>
    <w:rsid w:val="00F053CA"/>
    <w:rsid w:val="00F06494"/>
    <w:rsid w:val="00F071C8"/>
    <w:rsid w:val="00F079CE"/>
    <w:rsid w:val="00F1059C"/>
    <w:rsid w:val="00F108CC"/>
    <w:rsid w:val="00F10E52"/>
    <w:rsid w:val="00F118D0"/>
    <w:rsid w:val="00F130C0"/>
    <w:rsid w:val="00F13114"/>
    <w:rsid w:val="00F13B1A"/>
    <w:rsid w:val="00F142E2"/>
    <w:rsid w:val="00F15801"/>
    <w:rsid w:val="00F169CC"/>
    <w:rsid w:val="00F17E61"/>
    <w:rsid w:val="00F2160A"/>
    <w:rsid w:val="00F224C9"/>
    <w:rsid w:val="00F22FA6"/>
    <w:rsid w:val="00F23C3C"/>
    <w:rsid w:val="00F23FE4"/>
    <w:rsid w:val="00F240B2"/>
    <w:rsid w:val="00F244A7"/>
    <w:rsid w:val="00F24BC8"/>
    <w:rsid w:val="00F24E39"/>
    <w:rsid w:val="00F254EE"/>
    <w:rsid w:val="00F2684F"/>
    <w:rsid w:val="00F26B8D"/>
    <w:rsid w:val="00F26E62"/>
    <w:rsid w:val="00F30D5B"/>
    <w:rsid w:val="00F30E27"/>
    <w:rsid w:val="00F31795"/>
    <w:rsid w:val="00F31F44"/>
    <w:rsid w:val="00F3225A"/>
    <w:rsid w:val="00F3266A"/>
    <w:rsid w:val="00F330F8"/>
    <w:rsid w:val="00F34B4F"/>
    <w:rsid w:val="00F357A0"/>
    <w:rsid w:val="00F3600D"/>
    <w:rsid w:val="00F36916"/>
    <w:rsid w:val="00F36985"/>
    <w:rsid w:val="00F37DA4"/>
    <w:rsid w:val="00F40BE8"/>
    <w:rsid w:val="00F40E2C"/>
    <w:rsid w:val="00F41923"/>
    <w:rsid w:val="00F41D97"/>
    <w:rsid w:val="00F42398"/>
    <w:rsid w:val="00F427DD"/>
    <w:rsid w:val="00F433A1"/>
    <w:rsid w:val="00F437BC"/>
    <w:rsid w:val="00F438EE"/>
    <w:rsid w:val="00F4391D"/>
    <w:rsid w:val="00F44611"/>
    <w:rsid w:val="00F4559A"/>
    <w:rsid w:val="00F45BF0"/>
    <w:rsid w:val="00F45E79"/>
    <w:rsid w:val="00F4755C"/>
    <w:rsid w:val="00F47B21"/>
    <w:rsid w:val="00F505F5"/>
    <w:rsid w:val="00F5121F"/>
    <w:rsid w:val="00F51A86"/>
    <w:rsid w:val="00F52167"/>
    <w:rsid w:val="00F5277D"/>
    <w:rsid w:val="00F531FF"/>
    <w:rsid w:val="00F5393A"/>
    <w:rsid w:val="00F5422C"/>
    <w:rsid w:val="00F54387"/>
    <w:rsid w:val="00F54FE1"/>
    <w:rsid w:val="00F56524"/>
    <w:rsid w:val="00F56567"/>
    <w:rsid w:val="00F5748B"/>
    <w:rsid w:val="00F60882"/>
    <w:rsid w:val="00F60958"/>
    <w:rsid w:val="00F60960"/>
    <w:rsid w:val="00F618C5"/>
    <w:rsid w:val="00F61D90"/>
    <w:rsid w:val="00F64895"/>
    <w:rsid w:val="00F648CC"/>
    <w:rsid w:val="00F64C2F"/>
    <w:rsid w:val="00F64CB9"/>
    <w:rsid w:val="00F66C78"/>
    <w:rsid w:val="00F66DE8"/>
    <w:rsid w:val="00F7068E"/>
    <w:rsid w:val="00F7073D"/>
    <w:rsid w:val="00F709F3"/>
    <w:rsid w:val="00F7187E"/>
    <w:rsid w:val="00F72359"/>
    <w:rsid w:val="00F73454"/>
    <w:rsid w:val="00F73827"/>
    <w:rsid w:val="00F73F96"/>
    <w:rsid w:val="00F73FD1"/>
    <w:rsid w:val="00F74099"/>
    <w:rsid w:val="00F747EA"/>
    <w:rsid w:val="00F75810"/>
    <w:rsid w:val="00F75B9C"/>
    <w:rsid w:val="00F76690"/>
    <w:rsid w:val="00F767AC"/>
    <w:rsid w:val="00F771F9"/>
    <w:rsid w:val="00F80B9F"/>
    <w:rsid w:val="00F81053"/>
    <w:rsid w:val="00F813E8"/>
    <w:rsid w:val="00F8196F"/>
    <w:rsid w:val="00F81EF5"/>
    <w:rsid w:val="00F820E4"/>
    <w:rsid w:val="00F8278B"/>
    <w:rsid w:val="00F829BD"/>
    <w:rsid w:val="00F82CC0"/>
    <w:rsid w:val="00F832D9"/>
    <w:rsid w:val="00F854B2"/>
    <w:rsid w:val="00F85A7F"/>
    <w:rsid w:val="00F86882"/>
    <w:rsid w:val="00F86DF8"/>
    <w:rsid w:val="00F90A77"/>
    <w:rsid w:val="00F916E4"/>
    <w:rsid w:val="00F91B95"/>
    <w:rsid w:val="00F91D7B"/>
    <w:rsid w:val="00F92458"/>
    <w:rsid w:val="00F924F4"/>
    <w:rsid w:val="00F92504"/>
    <w:rsid w:val="00F93A16"/>
    <w:rsid w:val="00F9422E"/>
    <w:rsid w:val="00F9535C"/>
    <w:rsid w:val="00F96829"/>
    <w:rsid w:val="00F973AA"/>
    <w:rsid w:val="00F9745C"/>
    <w:rsid w:val="00F9777A"/>
    <w:rsid w:val="00F97E8C"/>
    <w:rsid w:val="00FA06ED"/>
    <w:rsid w:val="00FA0D72"/>
    <w:rsid w:val="00FA0FDC"/>
    <w:rsid w:val="00FA168A"/>
    <w:rsid w:val="00FA20E9"/>
    <w:rsid w:val="00FA26DA"/>
    <w:rsid w:val="00FA3029"/>
    <w:rsid w:val="00FA3E28"/>
    <w:rsid w:val="00FA4447"/>
    <w:rsid w:val="00FA508B"/>
    <w:rsid w:val="00FA6C64"/>
    <w:rsid w:val="00FA6EF3"/>
    <w:rsid w:val="00FA7ABF"/>
    <w:rsid w:val="00FA7C33"/>
    <w:rsid w:val="00FA7C76"/>
    <w:rsid w:val="00FA7F93"/>
    <w:rsid w:val="00FB2DC3"/>
    <w:rsid w:val="00FB4678"/>
    <w:rsid w:val="00FB4697"/>
    <w:rsid w:val="00FB757F"/>
    <w:rsid w:val="00FC0AD3"/>
    <w:rsid w:val="00FC1907"/>
    <w:rsid w:val="00FC2992"/>
    <w:rsid w:val="00FC3A40"/>
    <w:rsid w:val="00FC3D55"/>
    <w:rsid w:val="00FC5BA4"/>
    <w:rsid w:val="00FC5F54"/>
    <w:rsid w:val="00FC61F0"/>
    <w:rsid w:val="00FC6245"/>
    <w:rsid w:val="00FC6497"/>
    <w:rsid w:val="00FD11D0"/>
    <w:rsid w:val="00FD12E9"/>
    <w:rsid w:val="00FD1F0A"/>
    <w:rsid w:val="00FD273A"/>
    <w:rsid w:val="00FD2EFC"/>
    <w:rsid w:val="00FD31E7"/>
    <w:rsid w:val="00FD35D6"/>
    <w:rsid w:val="00FD3E6C"/>
    <w:rsid w:val="00FD3F4B"/>
    <w:rsid w:val="00FD4B9E"/>
    <w:rsid w:val="00FD4C55"/>
    <w:rsid w:val="00FD569F"/>
    <w:rsid w:val="00FD6443"/>
    <w:rsid w:val="00FD6832"/>
    <w:rsid w:val="00FD7188"/>
    <w:rsid w:val="00FE01EC"/>
    <w:rsid w:val="00FE073C"/>
    <w:rsid w:val="00FE1ED9"/>
    <w:rsid w:val="00FE33E2"/>
    <w:rsid w:val="00FE3D8C"/>
    <w:rsid w:val="00FE406C"/>
    <w:rsid w:val="00FE42B3"/>
    <w:rsid w:val="00FE4414"/>
    <w:rsid w:val="00FE48CF"/>
    <w:rsid w:val="00FE4B5A"/>
    <w:rsid w:val="00FE6244"/>
    <w:rsid w:val="00FF00E8"/>
    <w:rsid w:val="00FF08EF"/>
    <w:rsid w:val="00FF0DA3"/>
    <w:rsid w:val="00FF1105"/>
    <w:rsid w:val="00FF1230"/>
    <w:rsid w:val="00FF132D"/>
    <w:rsid w:val="00FF1F4D"/>
    <w:rsid w:val="00FF2711"/>
    <w:rsid w:val="00FF2AEE"/>
    <w:rsid w:val="00FF2BB0"/>
    <w:rsid w:val="00FF3304"/>
    <w:rsid w:val="00FF3AEB"/>
    <w:rsid w:val="00FF3ED6"/>
    <w:rsid w:val="00FF443B"/>
    <w:rsid w:val="00FF5038"/>
    <w:rsid w:val="00FF5A33"/>
    <w:rsid w:val="00FF5A89"/>
    <w:rsid w:val="00FF6DED"/>
    <w:rsid w:val="00FF6E65"/>
    <w:rsid w:val="00FF72D4"/>
    <w:rsid w:val="01812D06"/>
    <w:rsid w:val="02192BDB"/>
    <w:rsid w:val="022B2D05"/>
    <w:rsid w:val="0246181F"/>
    <w:rsid w:val="02827319"/>
    <w:rsid w:val="02FF5EFE"/>
    <w:rsid w:val="03137C24"/>
    <w:rsid w:val="032C43DF"/>
    <w:rsid w:val="034977F3"/>
    <w:rsid w:val="03C63778"/>
    <w:rsid w:val="03DB549A"/>
    <w:rsid w:val="040E3762"/>
    <w:rsid w:val="04520476"/>
    <w:rsid w:val="04E77CFA"/>
    <w:rsid w:val="053D4546"/>
    <w:rsid w:val="0556101A"/>
    <w:rsid w:val="05582547"/>
    <w:rsid w:val="060B768C"/>
    <w:rsid w:val="064614B9"/>
    <w:rsid w:val="069F0D35"/>
    <w:rsid w:val="06B4252F"/>
    <w:rsid w:val="06C40948"/>
    <w:rsid w:val="07A078AD"/>
    <w:rsid w:val="07F35BF9"/>
    <w:rsid w:val="0813349A"/>
    <w:rsid w:val="082C1157"/>
    <w:rsid w:val="089608B4"/>
    <w:rsid w:val="08F24AE3"/>
    <w:rsid w:val="0A4F49D1"/>
    <w:rsid w:val="0A5C7434"/>
    <w:rsid w:val="0A6C6CA7"/>
    <w:rsid w:val="0A7A4567"/>
    <w:rsid w:val="0A8772C7"/>
    <w:rsid w:val="0ACD133C"/>
    <w:rsid w:val="0AE23FE9"/>
    <w:rsid w:val="0AF90784"/>
    <w:rsid w:val="0B203EC7"/>
    <w:rsid w:val="0B3369C4"/>
    <w:rsid w:val="0B620872"/>
    <w:rsid w:val="0C6029DA"/>
    <w:rsid w:val="0C870651"/>
    <w:rsid w:val="0CA0397E"/>
    <w:rsid w:val="0D20202A"/>
    <w:rsid w:val="0E1F4396"/>
    <w:rsid w:val="0E560105"/>
    <w:rsid w:val="0EAE1F0C"/>
    <w:rsid w:val="0ED52453"/>
    <w:rsid w:val="0F1F405C"/>
    <w:rsid w:val="0F502EF8"/>
    <w:rsid w:val="101C4901"/>
    <w:rsid w:val="10734A05"/>
    <w:rsid w:val="10F50E5A"/>
    <w:rsid w:val="111C5A89"/>
    <w:rsid w:val="11271F72"/>
    <w:rsid w:val="11705376"/>
    <w:rsid w:val="117D0508"/>
    <w:rsid w:val="11E234B3"/>
    <w:rsid w:val="120D2E47"/>
    <w:rsid w:val="126550D7"/>
    <w:rsid w:val="13087DFC"/>
    <w:rsid w:val="136C60F5"/>
    <w:rsid w:val="13F4669E"/>
    <w:rsid w:val="14320882"/>
    <w:rsid w:val="149A6DBA"/>
    <w:rsid w:val="14C773E8"/>
    <w:rsid w:val="14F4466A"/>
    <w:rsid w:val="150B3A9B"/>
    <w:rsid w:val="151029E3"/>
    <w:rsid w:val="15742AEC"/>
    <w:rsid w:val="15797916"/>
    <w:rsid w:val="16066D9D"/>
    <w:rsid w:val="17365612"/>
    <w:rsid w:val="174B4A16"/>
    <w:rsid w:val="17581A28"/>
    <w:rsid w:val="1788760B"/>
    <w:rsid w:val="198421B9"/>
    <w:rsid w:val="198B59F6"/>
    <w:rsid w:val="19DA47EE"/>
    <w:rsid w:val="19F93CC6"/>
    <w:rsid w:val="1D3451FB"/>
    <w:rsid w:val="1D834BFF"/>
    <w:rsid w:val="1D8F1054"/>
    <w:rsid w:val="1DA06682"/>
    <w:rsid w:val="1DAA0DEF"/>
    <w:rsid w:val="1DB02B6F"/>
    <w:rsid w:val="1DB64DC0"/>
    <w:rsid w:val="1DF461D5"/>
    <w:rsid w:val="1E830E5D"/>
    <w:rsid w:val="1EDC13FF"/>
    <w:rsid w:val="1F3C4E4C"/>
    <w:rsid w:val="202476E9"/>
    <w:rsid w:val="20C66EC0"/>
    <w:rsid w:val="2157008B"/>
    <w:rsid w:val="2265297C"/>
    <w:rsid w:val="22740CFA"/>
    <w:rsid w:val="227446A2"/>
    <w:rsid w:val="22CC5C6E"/>
    <w:rsid w:val="22F51C55"/>
    <w:rsid w:val="2394400B"/>
    <w:rsid w:val="23F03A4E"/>
    <w:rsid w:val="23FA0237"/>
    <w:rsid w:val="241954A8"/>
    <w:rsid w:val="248E5EB3"/>
    <w:rsid w:val="24EE4494"/>
    <w:rsid w:val="25F0327E"/>
    <w:rsid w:val="266B03A5"/>
    <w:rsid w:val="266E43AB"/>
    <w:rsid w:val="27621070"/>
    <w:rsid w:val="27666E41"/>
    <w:rsid w:val="28617FE8"/>
    <w:rsid w:val="2891085C"/>
    <w:rsid w:val="28D44B7F"/>
    <w:rsid w:val="28F210CD"/>
    <w:rsid w:val="29120566"/>
    <w:rsid w:val="29D63C9F"/>
    <w:rsid w:val="2AF22A00"/>
    <w:rsid w:val="2B0B551A"/>
    <w:rsid w:val="2B0F4664"/>
    <w:rsid w:val="2B4A4D32"/>
    <w:rsid w:val="2D04296F"/>
    <w:rsid w:val="2D4A1A78"/>
    <w:rsid w:val="2DAE2E93"/>
    <w:rsid w:val="2E263619"/>
    <w:rsid w:val="2E5D0367"/>
    <w:rsid w:val="2E673A4E"/>
    <w:rsid w:val="2E9377BE"/>
    <w:rsid w:val="2ECD1856"/>
    <w:rsid w:val="2F0C1840"/>
    <w:rsid w:val="2FA048D0"/>
    <w:rsid w:val="302C6E90"/>
    <w:rsid w:val="303C0176"/>
    <w:rsid w:val="30446082"/>
    <w:rsid w:val="304B0810"/>
    <w:rsid w:val="30773203"/>
    <w:rsid w:val="30CD1626"/>
    <w:rsid w:val="30DF07AC"/>
    <w:rsid w:val="317B3A59"/>
    <w:rsid w:val="31A903DC"/>
    <w:rsid w:val="31E659F9"/>
    <w:rsid w:val="31F31C1C"/>
    <w:rsid w:val="33223DBC"/>
    <w:rsid w:val="33C11918"/>
    <w:rsid w:val="33D8121E"/>
    <w:rsid w:val="34AE62E1"/>
    <w:rsid w:val="34C9562F"/>
    <w:rsid w:val="35497294"/>
    <w:rsid w:val="358E74AC"/>
    <w:rsid w:val="359F6F7E"/>
    <w:rsid w:val="36B03ADA"/>
    <w:rsid w:val="36B90644"/>
    <w:rsid w:val="36BE327C"/>
    <w:rsid w:val="36D91390"/>
    <w:rsid w:val="36DE2D07"/>
    <w:rsid w:val="3702375F"/>
    <w:rsid w:val="372A7BF4"/>
    <w:rsid w:val="376135C7"/>
    <w:rsid w:val="38741868"/>
    <w:rsid w:val="38CF15BC"/>
    <w:rsid w:val="38D07EDE"/>
    <w:rsid w:val="390D7D4D"/>
    <w:rsid w:val="397D5EAF"/>
    <w:rsid w:val="39F35AF5"/>
    <w:rsid w:val="39F66571"/>
    <w:rsid w:val="39FC0F06"/>
    <w:rsid w:val="3A4B5224"/>
    <w:rsid w:val="3A5E532C"/>
    <w:rsid w:val="3AB52B2B"/>
    <w:rsid w:val="3AE30E37"/>
    <w:rsid w:val="3B315A98"/>
    <w:rsid w:val="3B542E30"/>
    <w:rsid w:val="3C30793D"/>
    <w:rsid w:val="3C412491"/>
    <w:rsid w:val="3C4928BC"/>
    <w:rsid w:val="3C68451D"/>
    <w:rsid w:val="3C79035B"/>
    <w:rsid w:val="3CCA1FA4"/>
    <w:rsid w:val="3D256BF8"/>
    <w:rsid w:val="3D5E4831"/>
    <w:rsid w:val="3DC020FE"/>
    <w:rsid w:val="3E4314D5"/>
    <w:rsid w:val="3EBC6CE9"/>
    <w:rsid w:val="3F291E14"/>
    <w:rsid w:val="3F8B0AE5"/>
    <w:rsid w:val="3FB20E9F"/>
    <w:rsid w:val="3FE749A5"/>
    <w:rsid w:val="403B2015"/>
    <w:rsid w:val="409258C6"/>
    <w:rsid w:val="413774FE"/>
    <w:rsid w:val="417C653F"/>
    <w:rsid w:val="423A565B"/>
    <w:rsid w:val="426C0FDF"/>
    <w:rsid w:val="427C3B09"/>
    <w:rsid w:val="42CE7BAF"/>
    <w:rsid w:val="43A60F57"/>
    <w:rsid w:val="44091976"/>
    <w:rsid w:val="44C00C4B"/>
    <w:rsid w:val="453A6922"/>
    <w:rsid w:val="45A62832"/>
    <w:rsid w:val="45B772FD"/>
    <w:rsid w:val="45C3660D"/>
    <w:rsid w:val="46450E40"/>
    <w:rsid w:val="46E85FF6"/>
    <w:rsid w:val="46F12EDF"/>
    <w:rsid w:val="476646B4"/>
    <w:rsid w:val="4836714B"/>
    <w:rsid w:val="4858285D"/>
    <w:rsid w:val="492C394D"/>
    <w:rsid w:val="49464877"/>
    <w:rsid w:val="494E1773"/>
    <w:rsid w:val="49700FF6"/>
    <w:rsid w:val="49CA09B4"/>
    <w:rsid w:val="4A4B4288"/>
    <w:rsid w:val="4B1A51A4"/>
    <w:rsid w:val="4B557AEF"/>
    <w:rsid w:val="4BB90B1E"/>
    <w:rsid w:val="4C340F10"/>
    <w:rsid w:val="4D2A048A"/>
    <w:rsid w:val="4D784122"/>
    <w:rsid w:val="4DD9041F"/>
    <w:rsid w:val="4E7C55DD"/>
    <w:rsid w:val="4ECF739B"/>
    <w:rsid w:val="4F3F0E66"/>
    <w:rsid w:val="4F5E6789"/>
    <w:rsid w:val="4FA07FA1"/>
    <w:rsid w:val="4FBE629C"/>
    <w:rsid w:val="503A63CC"/>
    <w:rsid w:val="50C467C5"/>
    <w:rsid w:val="5156158C"/>
    <w:rsid w:val="51C6636E"/>
    <w:rsid w:val="524911F0"/>
    <w:rsid w:val="5272092F"/>
    <w:rsid w:val="52C97880"/>
    <w:rsid w:val="536E3C3D"/>
    <w:rsid w:val="539A3F19"/>
    <w:rsid w:val="54724D10"/>
    <w:rsid w:val="55346209"/>
    <w:rsid w:val="55546499"/>
    <w:rsid w:val="558D531E"/>
    <w:rsid w:val="55E440DD"/>
    <w:rsid w:val="562E286E"/>
    <w:rsid w:val="569306D6"/>
    <w:rsid w:val="56C85447"/>
    <w:rsid w:val="570E7364"/>
    <w:rsid w:val="571C66D0"/>
    <w:rsid w:val="57245463"/>
    <w:rsid w:val="57317215"/>
    <w:rsid w:val="575C1875"/>
    <w:rsid w:val="57645AE4"/>
    <w:rsid w:val="57BC1EED"/>
    <w:rsid w:val="58275B1A"/>
    <w:rsid w:val="589A1654"/>
    <w:rsid w:val="58D16F52"/>
    <w:rsid w:val="596A7897"/>
    <w:rsid w:val="59A45939"/>
    <w:rsid w:val="5A230F11"/>
    <w:rsid w:val="5A8E5AD4"/>
    <w:rsid w:val="5A9272EA"/>
    <w:rsid w:val="5AD438DE"/>
    <w:rsid w:val="5B05064A"/>
    <w:rsid w:val="5B3524B0"/>
    <w:rsid w:val="5B936A0C"/>
    <w:rsid w:val="5BCF6F55"/>
    <w:rsid w:val="5C276EB1"/>
    <w:rsid w:val="5C796F82"/>
    <w:rsid w:val="5CD038ED"/>
    <w:rsid w:val="5E28407E"/>
    <w:rsid w:val="5E51335A"/>
    <w:rsid w:val="600046D0"/>
    <w:rsid w:val="601E59D8"/>
    <w:rsid w:val="609A1A3F"/>
    <w:rsid w:val="60CA6D99"/>
    <w:rsid w:val="613A24E0"/>
    <w:rsid w:val="61664A13"/>
    <w:rsid w:val="61C21264"/>
    <w:rsid w:val="61C533F6"/>
    <w:rsid w:val="61C711A2"/>
    <w:rsid w:val="62256EFF"/>
    <w:rsid w:val="623507E4"/>
    <w:rsid w:val="6301083E"/>
    <w:rsid w:val="630718BB"/>
    <w:rsid w:val="63726A29"/>
    <w:rsid w:val="64B65269"/>
    <w:rsid w:val="64BB62C3"/>
    <w:rsid w:val="64C7769F"/>
    <w:rsid w:val="665812EC"/>
    <w:rsid w:val="66924728"/>
    <w:rsid w:val="669A58A1"/>
    <w:rsid w:val="66F76F5F"/>
    <w:rsid w:val="67255BE8"/>
    <w:rsid w:val="67C40816"/>
    <w:rsid w:val="680374C2"/>
    <w:rsid w:val="68B9358D"/>
    <w:rsid w:val="68E4477D"/>
    <w:rsid w:val="68ED6B30"/>
    <w:rsid w:val="6A187E81"/>
    <w:rsid w:val="6A2E7CED"/>
    <w:rsid w:val="6A2F2FB0"/>
    <w:rsid w:val="6A992BC3"/>
    <w:rsid w:val="6B2065F0"/>
    <w:rsid w:val="6BB96899"/>
    <w:rsid w:val="6CAC6325"/>
    <w:rsid w:val="6CFB0D6C"/>
    <w:rsid w:val="6D6F7559"/>
    <w:rsid w:val="6D7867AF"/>
    <w:rsid w:val="6E0C1F53"/>
    <w:rsid w:val="6EBD10FE"/>
    <w:rsid w:val="6EF246FC"/>
    <w:rsid w:val="6F2D2955"/>
    <w:rsid w:val="6F581E21"/>
    <w:rsid w:val="6F5D19DD"/>
    <w:rsid w:val="6F632965"/>
    <w:rsid w:val="70084F59"/>
    <w:rsid w:val="70536A54"/>
    <w:rsid w:val="70C21B35"/>
    <w:rsid w:val="717142B8"/>
    <w:rsid w:val="718D5268"/>
    <w:rsid w:val="71C92EEC"/>
    <w:rsid w:val="71EC2BD9"/>
    <w:rsid w:val="72AB3134"/>
    <w:rsid w:val="732A5676"/>
    <w:rsid w:val="73A34395"/>
    <w:rsid w:val="73B71BB7"/>
    <w:rsid w:val="73C859F4"/>
    <w:rsid w:val="74760C65"/>
    <w:rsid w:val="757206DB"/>
    <w:rsid w:val="75F02986"/>
    <w:rsid w:val="76921DA8"/>
    <w:rsid w:val="76EB06A8"/>
    <w:rsid w:val="770521AA"/>
    <w:rsid w:val="770A0F29"/>
    <w:rsid w:val="77670F09"/>
    <w:rsid w:val="77891606"/>
    <w:rsid w:val="77B478CC"/>
    <w:rsid w:val="78A94469"/>
    <w:rsid w:val="790A3249"/>
    <w:rsid w:val="794A05B7"/>
    <w:rsid w:val="79DD04EE"/>
    <w:rsid w:val="7AC73CF1"/>
    <w:rsid w:val="7B8963C7"/>
    <w:rsid w:val="7BAB642F"/>
    <w:rsid w:val="7BB73A13"/>
    <w:rsid w:val="7BC30F3A"/>
    <w:rsid w:val="7BC62BFE"/>
    <w:rsid w:val="7BEE30E3"/>
    <w:rsid w:val="7C4212BD"/>
    <w:rsid w:val="7CA801F3"/>
    <w:rsid w:val="7CBE4CDE"/>
    <w:rsid w:val="7CC33283"/>
    <w:rsid w:val="7CFA421D"/>
    <w:rsid w:val="7D106212"/>
    <w:rsid w:val="7D896820"/>
    <w:rsid w:val="7E055E82"/>
    <w:rsid w:val="7E5565E6"/>
    <w:rsid w:val="7F087447"/>
    <w:rsid w:val="7F6F3809"/>
    <w:rsid w:val="7F6F6E5E"/>
    <w:rsid w:val="7F934231"/>
    <w:rsid w:val="7F962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snapToGrid w:val="0"/>
      <w:spacing w:line="600" w:lineRule="exact"/>
      <w:ind w:firstLine="200" w:firstLineChars="200"/>
      <w:jc w:val="both"/>
    </w:pPr>
    <w:rPr>
      <w:rFonts w:ascii="仿宋_GB2312" w:hAnsi="仿宋" w:eastAsia="仿宋_GB2312" w:cstheme="minorBidi"/>
      <w:kern w:val="2"/>
      <w:sz w:val="32"/>
      <w:szCs w:val="22"/>
      <w:lang w:val="en-US" w:eastAsia="zh-CN" w:bidi="ar-SA"/>
    </w:rPr>
  </w:style>
  <w:style w:type="paragraph" w:styleId="2">
    <w:name w:val="heading 1"/>
    <w:basedOn w:val="1"/>
    <w:next w:val="1"/>
    <w:link w:val="32"/>
    <w:qFormat/>
    <w:uiPriority w:val="9"/>
    <w:pPr>
      <w:ind w:firstLine="0" w:firstLineChars="0"/>
      <w:jc w:val="center"/>
      <w:outlineLvl w:val="0"/>
    </w:pPr>
    <w:rPr>
      <w:rFonts w:eastAsia="黑体"/>
      <w:bCs/>
      <w:kern w:val="44"/>
      <w:szCs w:val="44"/>
    </w:rPr>
  </w:style>
  <w:style w:type="paragraph" w:styleId="3">
    <w:name w:val="heading 2"/>
    <w:basedOn w:val="1"/>
    <w:next w:val="1"/>
    <w:link w:val="36"/>
    <w:unhideWhenUsed/>
    <w:qFormat/>
    <w:uiPriority w:val="9"/>
    <w:pPr>
      <w:keepNext/>
      <w:keepLines/>
      <w:ind w:firstLine="0" w:firstLineChars="0"/>
      <w:jc w:val="center"/>
      <w:outlineLvl w:val="1"/>
    </w:pPr>
    <w:rPr>
      <w:rFonts w:eastAsia="楷体_GB2312" w:asciiTheme="majorHAnsi" w:hAnsiTheme="majorHAnsi" w:cstheme="majorBidi"/>
      <w:bCs/>
      <w:szCs w:val="32"/>
    </w:rPr>
  </w:style>
  <w:style w:type="paragraph" w:styleId="4">
    <w:name w:val="heading 3"/>
    <w:basedOn w:val="1"/>
    <w:next w:val="1"/>
    <w:link w:val="39"/>
    <w:unhideWhenUsed/>
    <w:qFormat/>
    <w:uiPriority w:val="9"/>
    <w:pPr>
      <w:keepNext/>
      <w:keepLines/>
      <w:spacing w:before="260" w:after="260" w:line="416" w:lineRule="atLeast"/>
      <w:outlineLvl w:val="2"/>
    </w:pPr>
    <w:rPr>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eastAsia="宋体"/>
      <w:sz w:val="18"/>
      <w:szCs w:val="18"/>
    </w:rPr>
  </w:style>
  <w:style w:type="paragraph" w:styleId="6">
    <w:name w:val="annotation text"/>
    <w:basedOn w:val="1"/>
    <w:link w:val="33"/>
    <w:unhideWhenUsed/>
    <w:qFormat/>
    <w:uiPriority w:val="99"/>
    <w:pPr>
      <w:jc w:val="left"/>
    </w:pPr>
  </w:style>
  <w:style w:type="paragraph" w:styleId="7">
    <w:name w:val="Body Text"/>
    <w:basedOn w:val="1"/>
    <w:link w:val="41"/>
    <w:unhideWhenUsed/>
    <w:qFormat/>
    <w:uiPriority w:val="99"/>
    <w:pPr>
      <w:overflowPunct/>
      <w:adjustRightInd/>
      <w:snapToGrid/>
      <w:spacing w:after="120"/>
      <w:ind w:firstLine="640"/>
    </w:pPr>
    <w:rPr>
      <w:rFonts w:ascii="仿宋"/>
      <w:szCs w:val="24"/>
    </w:rPr>
  </w:style>
  <w:style w:type="paragraph" w:styleId="8">
    <w:name w:val="toc 3"/>
    <w:basedOn w:val="1"/>
    <w:next w:val="1"/>
    <w:unhideWhenUsed/>
    <w:qFormat/>
    <w:uiPriority w:val="39"/>
    <w:pPr>
      <w:widowControl/>
      <w:overflowPunct/>
      <w:adjustRightInd/>
      <w:snapToGrid/>
      <w:spacing w:after="100" w:line="259" w:lineRule="auto"/>
      <w:ind w:left="440" w:firstLine="0" w:firstLineChars="0"/>
      <w:jc w:val="left"/>
    </w:pPr>
    <w:rPr>
      <w:rFonts w:cs="Times New Roman" w:asciiTheme="minorHAnsi" w:hAnsiTheme="minorHAnsi" w:eastAsiaTheme="minorEastAsia"/>
      <w:kern w:val="0"/>
      <w:sz w:val="22"/>
      <w:lang w:eastAsia="en-US"/>
    </w:rPr>
  </w:style>
  <w:style w:type="paragraph" w:styleId="9">
    <w:name w:val="Balloon Text"/>
    <w:basedOn w:val="1"/>
    <w:link w:val="31"/>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pPr>
      <w:tabs>
        <w:tab w:val="right" w:leader="dot" w:pos="8296"/>
      </w:tabs>
      <w:ind w:firstLine="640"/>
    </w:pPr>
    <w:rPr>
      <w:rFonts w:ascii="黑体" w:hAnsi="黑体" w:eastAsia="黑体"/>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0"/>
    <w:pPr>
      <w:widowControl/>
      <w:overflowPunct/>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5">
    <w:name w:val="Title"/>
    <w:basedOn w:val="1"/>
    <w:next w:val="1"/>
    <w:link w:val="38"/>
    <w:qFormat/>
    <w:uiPriority w:val="10"/>
    <w:pPr>
      <w:spacing w:before="240" w:after="60"/>
      <w:jc w:val="center"/>
      <w:outlineLvl w:val="0"/>
    </w:pPr>
    <w:rPr>
      <w:rFonts w:eastAsia="宋体" w:asciiTheme="majorHAnsi" w:hAnsiTheme="majorHAnsi" w:cstheme="majorBidi"/>
      <w:b/>
      <w:bCs/>
      <w:szCs w:val="32"/>
    </w:rPr>
  </w:style>
  <w:style w:type="paragraph" w:styleId="16">
    <w:name w:val="annotation subject"/>
    <w:basedOn w:val="6"/>
    <w:next w:val="6"/>
    <w:link w:val="34"/>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Emphasis"/>
    <w:basedOn w:val="19"/>
    <w:qFormat/>
    <w:uiPriority w:val="20"/>
    <w:rPr>
      <w:i/>
      <w:iCs/>
    </w:rPr>
  </w:style>
  <w:style w:type="character" w:styleId="22">
    <w:name w:val="line number"/>
    <w:basedOn w:val="19"/>
    <w:semiHidden/>
    <w:unhideWhenUsed/>
    <w:qFormat/>
    <w:uiPriority w:val="99"/>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paragraph" w:customStyle="1" w:styleId="25">
    <w:name w:val="政府"/>
    <w:basedOn w:val="1"/>
    <w:link w:val="26"/>
    <w:qFormat/>
    <w:uiPriority w:val="0"/>
  </w:style>
  <w:style w:type="character" w:customStyle="1" w:styleId="26">
    <w:name w:val="政府 字符"/>
    <w:basedOn w:val="19"/>
    <w:link w:val="25"/>
    <w:qFormat/>
    <w:uiPriority w:val="0"/>
    <w:rPr>
      <w:rFonts w:ascii="仿宋_GB2312" w:eastAsia="仿宋_GB2312"/>
    </w:rPr>
  </w:style>
  <w:style w:type="character" w:customStyle="1" w:styleId="27">
    <w:name w:val="页眉 Char"/>
    <w:basedOn w:val="19"/>
    <w:link w:val="11"/>
    <w:qFormat/>
    <w:uiPriority w:val="99"/>
    <w:rPr>
      <w:sz w:val="18"/>
      <w:szCs w:val="18"/>
    </w:rPr>
  </w:style>
  <w:style w:type="character" w:customStyle="1" w:styleId="28">
    <w:name w:val="页脚 Char"/>
    <w:basedOn w:val="19"/>
    <w:link w:val="10"/>
    <w:qFormat/>
    <w:uiPriority w:val="99"/>
    <w:rPr>
      <w:sz w:val="18"/>
      <w:szCs w:val="18"/>
    </w:rPr>
  </w:style>
  <w:style w:type="paragraph" w:styleId="29">
    <w:name w:val="List Paragraph"/>
    <w:basedOn w:val="1"/>
    <w:qFormat/>
    <w:uiPriority w:val="34"/>
    <w:pPr>
      <w:ind w:firstLine="420"/>
    </w:pPr>
  </w:style>
  <w:style w:type="character" w:customStyle="1" w:styleId="30">
    <w:name w:val="文档结构图 Char"/>
    <w:basedOn w:val="19"/>
    <w:link w:val="5"/>
    <w:semiHidden/>
    <w:qFormat/>
    <w:uiPriority w:val="99"/>
    <w:rPr>
      <w:rFonts w:ascii="宋体" w:eastAsia="宋体"/>
      <w:sz w:val="18"/>
      <w:szCs w:val="18"/>
    </w:rPr>
  </w:style>
  <w:style w:type="character" w:customStyle="1" w:styleId="31">
    <w:name w:val="批注框文本 Char"/>
    <w:basedOn w:val="19"/>
    <w:link w:val="9"/>
    <w:semiHidden/>
    <w:qFormat/>
    <w:uiPriority w:val="99"/>
    <w:rPr>
      <w:sz w:val="18"/>
      <w:szCs w:val="18"/>
    </w:rPr>
  </w:style>
  <w:style w:type="character" w:customStyle="1" w:styleId="32">
    <w:name w:val="标题 1 Char"/>
    <w:basedOn w:val="19"/>
    <w:link w:val="2"/>
    <w:qFormat/>
    <w:uiPriority w:val="9"/>
    <w:rPr>
      <w:rFonts w:ascii="仿宋_GB2312" w:eastAsia="黑体"/>
      <w:bCs/>
      <w:kern w:val="44"/>
      <w:sz w:val="32"/>
      <w:szCs w:val="44"/>
    </w:rPr>
  </w:style>
  <w:style w:type="character" w:customStyle="1" w:styleId="33">
    <w:name w:val="批注文字 Char"/>
    <w:basedOn w:val="19"/>
    <w:link w:val="6"/>
    <w:qFormat/>
    <w:uiPriority w:val="99"/>
  </w:style>
  <w:style w:type="character" w:customStyle="1" w:styleId="34">
    <w:name w:val="批注主题 Char"/>
    <w:basedOn w:val="33"/>
    <w:link w:val="16"/>
    <w:semiHidden/>
    <w:qFormat/>
    <w:uiPriority w:val="99"/>
    <w:rPr>
      <w:b/>
      <w:bCs/>
    </w:rPr>
  </w:style>
  <w:style w:type="paragraph" w:customStyle="1" w:styleId="35">
    <w:name w:val="修订1"/>
    <w:hidden/>
    <w:semiHidden/>
    <w:qFormat/>
    <w:uiPriority w:val="99"/>
    <w:rPr>
      <w:rFonts w:ascii="仿宋" w:hAnsi="仿宋" w:eastAsia="仿宋" w:cstheme="minorBidi"/>
      <w:kern w:val="2"/>
      <w:sz w:val="32"/>
      <w:szCs w:val="22"/>
      <w:lang w:val="en-US" w:eastAsia="zh-CN" w:bidi="ar-SA"/>
    </w:rPr>
  </w:style>
  <w:style w:type="character" w:customStyle="1" w:styleId="36">
    <w:name w:val="标题 2 Char"/>
    <w:basedOn w:val="19"/>
    <w:link w:val="3"/>
    <w:qFormat/>
    <w:uiPriority w:val="9"/>
    <w:rPr>
      <w:rFonts w:eastAsia="楷体_GB2312" w:asciiTheme="majorHAnsi" w:hAnsiTheme="majorHAnsi" w:cstheme="majorBidi"/>
      <w:bCs/>
      <w:kern w:val="2"/>
      <w:sz w:val="32"/>
      <w:szCs w:val="32"/>
    </w:rPr>
  </w:style>
  <w:style w:type="paragraph" w:customStyle="1" w:styleId="37">
    <w:name w:val="TOC 标题1"/>
    <w:basedOn w:val="2"/>
    <w:next w:val="1"/>
    <w:unhideWhenUsed/>
    <w:qFormat/>
    <w:uiPriority w:val="39"/>
    <w:pPr>
      <w:keepNext/>
      <w:keepLines/>
      <w:widowControl/>
      <w:overflowPunct/>
      <w:adjustRightInd/>
      <w:snapToGrid/>
      <w:spacing w:before="480" w:line="276" w:lineRule="auto"/>
      <w:jc w:val="left"/>
      <w:outlineLvl w:val="9"/>
    </w:pPr>
    <w:rPr>
      <w:rFonts w:asciiTheme="majorHAnsi" w:hAnsiTheme="majorHAnsi" w:eastAsiaTheme="majorEastAsia" w:cstheme="majorBidi"/>
      <w:b/>
      <w:color w:val="2F5597" w:themeColor="accent1" w:themeShade="BF"/>
      <w:kern w:val="0"/>
      <w:sz w:val="28"/>
      <w:szCs w:val="28"/>
    </w:rPr>
  </w:style>
  <w:style w:type="character" w:customStyle="1" w:styleId="38">
    <w:name w:val="标题 Char"/>
    <w:basedOn w:val="19"/>
    <w:link w:val="15"/>
    <w:qFormat/>
    <w:uiPriority w:val="10"/>
    <w:rPr>
      <w:rFonts w:eastAsia="宋体" w:asciiTheme="majorHAnsi" w:hAnsiTheme="majorHAnsi" w:cstheme="majorBidi"/>
      <w:b/>
      <w:bCs/>
      <w:kern w:val="2"/>
      <w:sz w:val="32"/>
      <w:szCs w:val="32"/>
    </w:rPr>
  </w:style>
  <w:style w:type="character" w:customStyle="1" w:styleId="39">
    <w:name w:val="标题 3 Char"/>
    <w:basedOn w:val="19"/>
    <w:link w:val="4"/>
    <w:qFormat/>
    <w:uiPriority w:val="9"/>
    <w:rPr>
      <w:rFonts w:ascii="仿宋_GB2312" w:eastAsia="仿宋_GB2312"/>
      <w:b/>
      <w:bCs/>
      <w:kern w:val="2"/>
      <w:sz w:val="32"/>
      <w:szCs w:val="32"/>
    </w:rPr>
  </w:style>
  <w:style w:type="paragraph" w:customStyle="1" w:styleId="40">
    <w:name w:val="TOC 标题2"/>
    <w:basedOn w:val="2"/>
    <w:next w:val="1"/>
    <w:unhideWhenUsed/>
    <w:qFormat/>
    <w:uiPriority w:val="39"/>
    <w:pPr>
      <w:keepNext/>
      <w:keepLines/>
      <w:widowControl/>
      <w:overflowPunct/>
      <w:adjustRightInd/>
      <w:snapToGrid/>
      <w:spacing w:before="240" w:line="259" w:lineRule="auto"/>
      <w:jc w:val="left"/>
      <w:outlineLvl w:val="9"/>
    </w:pPr>
    <w:rPr>
      <w:rFonts w:asciiTheme="majorHAnsi" w:hAnsiTheme="majorHAnsi" w:eastAsiaTheme="majorEastAsia" w:cstheme="majorBidi"/>
      <w:bCs w:val="0"/>
      <w:color w:val="2F5597" w:themeColor="accent1" w:themeShade="BF"/>
      <w:kern w:val="0"/>
      <w:szCs w:val="32"/>
      <w:lang w:eastAsia="en-US"/>
    </w:rPr>
  </w:style>
  <w:style w:type="character" w:customStyle="1" w:styleId="41">
    <w:name w:val="正文文本 Char"/>
    <w:link w:val="7"/>
    <w:qFormat/>
    <w:uiPriority w:val="99"/>
    <w:rPr>
      <w:rFonts w:eastAsia="仿宋_GB2312"/>
      <w:kern w:val="2"/>
      <w:sz w:val="32"/>
      <w:szCs w:val="24"/>
    </w:rPr>
  </w:style>
  <w:style w:type="character" w:customStyle="1" w:styleId="42">
    <w:name w:val="Body Text Char1"/>
    <w:basedOn w:val="19"/>
    <w:semiHidden/>
    <w:qFormat/>
    <w:uiPriority w:val="99"/>
    <w:rPr>
      <w:rFonts w:ascii="仿宋_GB2312" w:eastAsia="仿宋_GB2312"/>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8E80E-2A0B-4D13-A483-4821B7A002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27809</Words>
  <Characters>28223</Characters>
  <Lines>220</Lines>
  <Paragraphs>61</Paragraphs>
  <TotalTime>21</TotalTime>
  <ScaleCrop>false</ScaleCrop>
  <LinksUpToDate>false</LinksUpToDate>
  <CharactersWithSpaces>28536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2021-01-23T04:28:00Z</dcterms:created>
  <dc:creator>fazha</dc:creator>
  <cp:lastModifiedBy>Administrator</cp:lastModifiedBy>
  <cp:lastPrinted>2021-06-10T06:55:00Z</cp:lastPrinted>
  <dcterms:modified xsi:type="dcterms:W3CDTF">2023-06-09T12:04:39Z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B11CAA9EB7CD4A109DA0A52B728F25D3</vt:lpwstr>
  </property>
</Properties>
</file>