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简体"/>
          <w:bCs/>
          <w:sz w:val="44"/>
          <w:szCs w:val="44"/>
          <w:u w:val="none"/>
        </w:rPr>
      </w:pPr>
      <w:bookmarkStart w:id="6" w:name="_GoBack"/>
      <w:r>
        <w:rPr>
          <w:rFonts w:hint="eastAsia" w:ascii="方正小标宋_GBK" w:hAnsi="方正小标宋_GBK" w:eastAsia="方正小标宋_GBK" w:cs="方正小标宋_GBK"/>
          <w:sz w:val="44"/>
          <w:szCs w:val="44"/>
          <w:u w:val="none"/>
        </w:rPr>
        <w:t>济南晨光纸业有限公司地块项目</w:t>
      </w:r>
      <w:r>
        <w:rPr>
          <w:rFonts w:hint="eastAsia" w:ascii="方正小标宋_GBK" w:hAnsi="方正小标宋_GBK" w:eastAsia="方正小标宋_GBK" w:cs="方正小标宋_GBK"/>
          <w:bCs/>
          <w:sz w:val="44"/>
          <w:szCs w:val="44"/>
          <w:u w:val="none"/>
        </w:rPr>
        <w:t>房屋征收补偿方案</w:t>
      </w:r>
    </w:p>
    <w:bookmarkEnd w:id="6"/>
    <w:p>
      <w:pPr>
        <w:spacing w:line="560" w:lineRule="exact"/>
        <w:jc w:val="center"/>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（征求意见稿）</w:t>
      </w:r>
    </w:p>
    <w:p>
      <w:pPr>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i w:val="0"/>
          <w:iCs w:val="0"/>
          <w:caps w:val="0"/>
          <w:color w:val="000000"/>
          <w:spacing w:val="0"/>
          <w:sz w:val="32"/>
          <w:szCs w:val="32"/>
        </w:rPr>
        <w:t>征集时间：2021年08月20日—2021年09月19日</w:t>
      </w:r>
      <w:r>
        <w:rPr>
          <w:rFonts w:hint="eastAsia" w:ascii="仿宋_GB2312" w:hAnsi="仿宋_GB2312" w:eastAsia="仿宋_GB2312" w:cs="仿宋_GB2312"/>
          <w:sz w:val="32"/>
          <w:szCs w:val="32"/>
          <w:u w:val="none"/>
          <w:lang w:eastAsia="zh-CN"/>
        </w:rPr>
        <w:t>）</w:t>
      </w:r>
    </w:p>
    <w:p>
      <w:pPr>
        <w:spacing w:line="560" w:lineRule="exact"/>
        <w:ind w:firstLine="640" w:firstLineChars="200"/>
        <w:rPr>
          <w:rFonts w:hint="eastAsia" w:ascii="仿宋_GB2312" w:hAnsi="仿宋_GB2312" w:eastAsia="仿宋_GB2312" w:cs="仿宋_GB2312"/>
          <w:sz w:val="32"/>
          <w:szCs w:val="32"/>
          <w:u w:val="none"/>
          <w:lang w:eastAsia="zh-CN"/>
        </w:rPr>
      </w:pP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济南晨光纸业有限公司地块项目征收范围内房屋建成年代久远，配套设施不完善，为加快该地段配套设施建设，改善群众的生活居住条件，进一步完善城市功能，济南市天桥区人民政府拟对该项目建设用地范围内国有土地上</w:t>
      </w:r>
      <w:r>
        <w:rPr>
          <w:rFonts w:hint="eastAsia" w:ascii="仿宋_GB2312" w:hAnsi="仿宋_GB2312" w:eastAsia="仿宋_GB2312" w:cs="仿宋_GB2312"/>
          <w:sz w:val="32"/>
          <w:szCs w:val="32"/>
          <w:u w:val="none"/>
          <w:lang w:val="en-US" w:eastAsia="zh-CN"/>
        </w:rPr>
        <w:t>房屋</w:t>
      </w:r>
      <w:r>
        <w:rPr>
          <w:rFonts w:hint="eastAsia" w:ascii="仿宋_GB2312" w:hAnsi="仿宋_GB2312" w:eastAsia="仿宋_GB2312" w:cs="仿宋_GB2312"/>
          <w:sz w:val="32"/>
          <w:szCs w:val="32"/>
          <w:u w:val="none"/>
        </w:rPr>
        <w:t>及附属物实施征收，制定本方案。</w:t>
      </w:r>
    </w:p>
    <w:p>
      <w:pPr>
        <w:spacing w:line="560" w:lineRule="exact"/>
        <w:ind w:firstLine="643"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一、房屋征收与补偿的法律依据</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1、《国有土地上房屋征收与补偿条例》（国务院令第590号）</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2、《山东省国有土地上房屋征收与补偿条例》（山东省人大常委会公告第67号）</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3、《济南市国有土地上房屋征收与补偿办法》（市政府令第248号）</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4、《&lt;济南市国有土地上房屋征收与补偿办法&gt;实施细则》（济政办发〔2021〕2号）</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w:t>
      </w:r>
      <w:bookmarkStart w:id="0" w:name="_Toc394326039"/>
      <w:r>
        <w:rPr>
          <w:rFonts w:hint="eastAsia" w:ascii="仿宋_GB2312" w:hAnsi="仿宋_GB2312" w:eastAsia="仿宋_GB2312" w:cs="仿宋_GB2312"/>
          <w:sz w:val="32"/>
          <w:szCs w:val="32"/>
          <w:u w:val="none"/>
        </w:rPr>
        <w:t>《济南市国有土地上房屋征收范围内未登记建筑认定和处理办法</w:t>
      </w:r>
      <w:bookmarkEnd w:id="0"/>
      <w:bookmarkStart w:id="1" w:name="_Toc339269978"/>
      <w:r>
        <w:rPr>
          <w:rFonts w:hint="eastAsia" w:ascii="仿宋_GB2312" w:hAnsi="仿宋_GB2312" w:eastAsia="仿宋_GB2312" w:cs="仿宋_GB2312"/>
          <w:sz w:val="32"/>
          <w:szCs w:val="32"/>
          <w:u w:val="none"/>
        </w:rPr>
        <w:t>》（济城执发〔2017〕4号）</w:t>
      </w:r>
      <w:bookmarkEnd w:id="1"/>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w:t>
      </w:r>
      <w:bookmarkStart w:id="2" w:name="_Toc339269986"/>
      <w:bookmarkStart w:id="3" w:name="_Toc394326042"/>
      <w:bookmarkStart w:id="4" w:name="_Toc395101391"/>
      <w:r>
        <w:rPr>
          <w:rFonts w:hint="eastAsia" w:ascii="仿宋_GB2312" w:hAnsi="仿宋_GB2312" w:eastAsia="仿宋_GB2312" w:cs="仿宋_GB2312"/>
          <w:sz w:val="32"/>
          <w:szCs w:val="32"/>
          <w:u w:val="none"/>
        </w:rPr>
        <w:t>《关于做好被拆迁人或公有房屋承租人享受最低套型面积标准资格认定工作的若干意见</w:t>
      </w:r>
      <w:bookmarkEnd w:id="2"/>
      <w:bookmarkStart w:id="5" w:name="_Toc339269987"/>
      <w:r>
        <w:rPr>
          <w:rFonts w:hint="eastAsia" w:ascii="仿宋_GB2312" w:hAnsi="仿宋_GB2312" w:eastAsia="仿宋_GB2312" w:cs="仿宋_GB2312"/>
          <w:sz w:val="32"/>
          <w:szCs w:val="32"/>
          <w:u w:val="none"/>
        </w:rPr>
        <w:t>》（济建发〔2011〕1号）</w:t>
      </w:r>
      <w:bookmarkEnd w:id="3"/>
      <w:bookmarkEnd w:id="4"/>
      <w:bookmarkEnd w:id="5"/>
      <w:r>
        <w:rPr>
          <w:rFonts w:hint="eastAsia" w:ascii="仿宋_GB2312" w:hAnsi="仿宋_GB2312" w:eastAsia="仿宋_GB2312" w:cs="仿宋_GB2312"/>
          <w:sz w:val="32"/>
          <w:szCs w:val="32"/>
          <w:u w:val="none"/>
        </w:rPr>
        <w:t>。</w:t>
      </w:r>
    </w:p>
    <w:p>
      <w:pPr>
        <w:keepNext w:val="0"/>
        <w:keepLines w:val="0"/>
        <w:pageBreakBefore w:val="0"/>
        <w:kinsoku/>
        <w:wordWrap/>
        <w:overflowPunct/>
        <w:topLinePunct w:val="0"/>
        <w:autoSpaceDE/>
        <w:autoSpaceDN/>
        <w:bidi w:val="0"/>
        <w:snapToGrid/>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、《济南市国有土地上房屋征收评估技术规范》（济建发〔2019〕26号）</w:t>
      </w:r>
    </w:p>
    <w:p>
      <w:pPr>
        <w:spacing w:line="560" w:lineRule="exact"/>
        <w:ind w:firstLine="643"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二、房屋征收范围及征收范围内被征收房屋情况</w:t>
      </w:r>
    </w:p>
    <w:p>
      <w:pPr>
        <w:spacing w:line="560" w:lineRule="exact"/>
        <w:ind w:firstLine="643"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（一）房屋征收范围</w:t>
      </w:r>
    </w:p>
    <w:p>
      <w:pPr>
        <w:widowControl/>
        <w:spacing w:line="560" w:lineRule="exact"/>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东至东工商河路，西至济泺路，南至交通厅街，北至中恒商城。</w:t>
      </w:r>
    </w:p>
    <w:p>
      <w:pPr>
        <w:widowControl/>
        <w:spacing w:line="560" w:lineRule="exact"/>
        <w:ind w:firstLine="643"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（二）房屋征收范围内被征收房屋情况</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根据摸底调查情况，该项目涉及居民个人住宅807户建筑面积</w:t>
      </w:r>
      <w:r>
        <w:rPr>
          <w:rFonts w:hint="eastAsia" w:ascii="仿宋_GB2312" w:hAnsi="仿宋_GB2312" w:eastAsia="仿宋_GB2312" w:cs="仿宋_GB2312"/>
          <w:sz w:val="32"/>
          <w:szCs w:val="32"/>
          <w:u w:val="none"/>
          <w:lang w:val="en-US" w:eastAsia="zh-CN"/>
        </w:rPr>
        <w:t>36356.92</w:t>
      </w:r>
      <w:r>
        <w:rPr>
          <w:rFonts w:hint="eastAsia" w:ascii="仿宋_GB2312" w:hAnsi="仿宋_GB2312" w:eastAsia="仿宋_GB2312" w:cs="仿宋_GB2312"/>
          <w:sz w:val="32"/>
          <w:szCs w:val="32"/>
          <w:highlight w:val="none"/>
          <w:u w:val="none"/>
        </w:rPr>
        <w:t>平方米；非住宅1户，建筑面积</w:t>
      </w:r>
      <w:r>
        <w:rPr>
          <w:rFonts w:hint="eastAsia" w:ascii="仿宋_GB2312" w:hAnsi="仿宋_GB2312" w:eastAsia="仿宋_GB2312" w:cs="仿宋_GB2312"/>
          <w:sz w:val="32"/>
          <w:szCs w:val="32"/>
          <w:highlight w:val="none"/>
          <w:u w:val="none"/>
          <w:lang w:val="en-US" w:eastAsia="zh-CN"/>
        </w:rPr>
        <w:t>118999.18</w:t>
      </w:r>
      <w:r>
        <w:rPr>
          <w:rFonts w:hint="eastAsia" w:ascii="仿宋_GB2312" w:hAnsi="仿宋_GB2312" w:eastAsia="仿宋_GB2312" w:cs="仿宋_GB2312"/>
          <w:sz w:val="32"/>
          <w:szCs w:val="32"/>
          <w:highlight w:val="none"/>
          <w:u w:val="none"/>
        </w:rPr>
        <w:t>平方米(包含未登记面积</w:t>
      </w:r>
      <w:r>
        <w:rPr>
          <w:rFonts w:hint="eastAsia" w:ascii="仿宋_GB2312" w:hAnsi="仿宋_GB2312" w:eastAsia="仿宋_GB2312" w:cs="仿宋_GB2312"/>
          <w:sz w:val="32"/>
          <w:szCs w:val="32"/>
          <w:highlight w:val="none"/>
          <w:u w:val="none"/>
          <w:lang w:val="en-US" w:eastAsia="zh-CN"/>
        </w:rPr>
        <w:t>28491.09</w:t>
      </w:r>
      <w:r>
        <w:rPr>
          <w:rFonts w:hint="eastAsia" w:ascii="仿宋_GB2312" w:hAnsi="仿宋_GB2312" w:eastAsia="仿宋_GB2312" w:cs="仿宋_GB2312"/>
          <w:sz w:val="32"/>
          <w:szCs w:val="32"/>
          <w:highlight w:val="none"/>
          <w:u w:val="none"/>
        </w:rPr>
        <w:t>平方米,附属房产</w:t>
      </w:r>
      <w:r>
        <w:rPr>
          <w:rFonts w:hint="eastAsia" w:ascii="仿宋_GB2312" w:hAnsi="仿宋_GB2312" w:eastAsia="仿宋_GB2312" w:cs="仿宋_GB2312"/>
          <w:sz w:val="32"/>
          <w:szCs w:val="32"/>
          <w:highlight w:val="none"/>
          <w:u w:val="none"/>
          <w:lang w:val="en-US" w:eastAsia="zh-CN"/>
        </w:rPr>
        <w:t>44597.39</w:t>
      </w:r>
      <w:r>
        <w:rPr>
          <w:rFonts w:hint="eastAsia" w:ascii="仿宋_GB2312" w:hAnsi="仿宋_GB2312" w:eastAsia="仿宋_GB2312" w:cs="仿宋_GB2312"/>
          <w:sz w:val="32"/>
          <w:szCs w:val="32"/>
          <w:highlight w:val="none"/>
          <w:u w:val="none"/>
        </w:rPr>
        <w:t>平方米）。</w:t>
      </w:r>
    </w:p>
    <w:p>
      <w:pPr>
        <w:adjustRightInd w:val="0"/>
        <w:spacing w:line="560" w:lineRule="exact"/>
        <w:ind w:firstLine="643"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三、房屋征收部门、征收实施单位及征收预评估机构</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房屋征收部门：济南市天桥区住房和城乡建设局</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项目实施单位：济南城</w:t>
      </w:r>
      <w:r>
        <w:rPr>
          <w:rFonts w:hint="eastAsia" w:ascii="仿宋_GB2312" w:hAnsi="仿宋_GB2312" w:eastAsia="仿宋_GB2312" w:cs="仿宋_GB2312"/>
          <w:sz w:val="32"/>
          <w:szCs w:val="32"/>
          <w:u w:val="none"/>
          <w:lang w:val="en-US" w:eastAsia="zh-CN"/>
        </w:rPr>
        <w:t>发天桥土地发展</w:t>
      </w:r>
      <w:r>
        <w:rPr>
          <w:rFonts w:hint="eastAsia" w:ascii="仿宋_GB2312" w:hAnsi="仿宋_GB2312" w:eastAsia="仿宋_GB2312" w:cs="仿宋_GB2312"/>
          <w:sz w:val="32"/>
          <w:szCs w:val="32"/>
          <w:u w:val="none"/>
        </w:rPr>
        <w:t>有限公司</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房屋征收实施单位：济南市天桥区房屋征收服务中心</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房屋征收预评估机构：</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山东中旭土地房地产评估咨询有限公司</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山东信和土地房地产资产评估测绘有限公司</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山东中安土地房地产资产评估测绘有限公司</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四、征收补偿方式及标准</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征收补偿方式包括货币补偿和产权调换。</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被征收房屋和产权调换房屋的价值由评估机构评估确定，评估时点为房屋征收决定公告之日。</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（一）征收住宅房屋的补偿</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被征收的住宅房屋，补偿价值按照其所处区位新建普通商品住宅市场价格，结合被征收房屋的建筑结构、层次、朝向、新旧程度和装饰装修情况等因素评估确定。</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征收住宅房屋实行产权调换的，产权调换房屋的套内建筑面积一般不得少于被征收房屋的套内建筑面积。</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被征收人按照征收补偿方案规定的范围和标准选择的房屋，其公用分摊面积超出被征收房屋公用分摊面积部分的价款由房屋征收部门承担。</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被征收人超出征收补偿方案规定的范围和标准选择的房屋，其超出的套内建筑面积及其对应的公用分摊面积的价款按产权调换房屋评估价格计算，由被征收人承担。</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（二）征收按政府规定租金标准出租的公有住宅房屋，按下列方式予以补偿</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征收按政府规定租金标准出租的公有住宅房屋，被征收人与承租人达成协议的，房屋征收部门按照双方协议予以补偿；未达成协议的，按如下方式补偿：</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1、产权明晰的公有非成套住宅房屋（含无不动产证但有直管公房租赁证的），公有房屋承租人符合房改购房条件的，可在征收冻结通告发布之日</w:t>
      </w:r>
      <w:r>
        <w:rPr>
          <w:rFonts w:hint="eastAsia" w:ascii="仿宋_GB2312" w:hAnsi="仿宋_GB2312" w:eastAsia="仿宋_GB2312" w:cs="仿宋_GB2312"/>
          <w:sz w:val="32"/>
          <w:szCs w:val="32"/>
          <w:highlight w:val="none"/>
          <w:u w:val="none"/>
          <w:lang w:val="en-US" w:eastAsia="zh-CN"/>
        </w:rPr>
        <w:t>起</w:t>
      </w:r>
      <w:r>
        <w:rPr>
          <w:rFonts w:hint="eastAsia" w:ascii="仿宋_GB2312" w:hAnsi="仿宋_GB2312" w:eastAsia="仿宋_GB2312" w:cs="仿宋_GB2312"/>
          <w:sz w:val="32"/>
          <w:szCs w:val="32"/>
          <w:highlight w:val="none"/>
          <w:u w:val="none"/>
        </w:rPr>
        <w:t>30日内向房屋产权单位申请房改。房改后，原公有房屋承租人作为被征收人享受相关补偿。</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2、公有房屋承租人具备房改购房条件，房屋征收部门应当对其实行货币补偿或者房屋安置。</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选择货币补偿且被征收房屋为公有非成套住宅房屋（平房和简易楼房）的，对未在规定时间内向房屋产权单位申请房改的公有房屋承租人，其货币补偿金额为</w:t>
      </w:r>
      <w:r>
        <w:rPr>
          <w:rFonts w:hint="eastAsia" w:ascii="仿宋_GB2312" w:hAnsi="仿宋_GB2312" w:eastAsia="仿宋_GB2312" w:cs="仿宋_GB2312"/>
          <w:sz w:val="32"/>
          <w:szCs w:val="32"/>
          <w:highlight w:val="none"/>
          <w:u w:val="none"/>
          <w:lang w:val="en-US" w:eastAsia="zh-CN"/>
        </w:rPr>
        <w:t>该</w:t>
      </w:r>
      <w:r>
        <w:rPr>
          <w:rFonts w:hint="eastAsia" w:ascii="仿宋_GB2312" w:hAnsi="仿宋_GB2312" w:eastAsia="仿宋_GB2312" w:cs="仿宋_GB2312"/>
          <w:sz w:val="32"/>
          <w:szCs w:val="32"/>
          <w:highlight w:val="none"/>
          <w:u w:val="none"/>
        </w:rPr>
        <w:t>住宅房屋补偿价值的百分之九十，对被征收人，货币补偿金额为百分之十。</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被征收房屋为楼房的，不再进行房改。对公有房屋承租人的货币补偿金额为</w:t>
      </w:r>
      <w:r>
        <w:rPr>
          <w:rFonts w:hint="eastAsia" w:ascii="仿宋_GB2312" w:hAnsi="仿宋_GB2312" w:eastAsia="仿宋_GB2312" w:cs="仿宋_GB2312"/>
          <w:sz w:val="32"/>
          <w:szCs w:val="32"/>
          <w:highlight w:val="none"/>
          <w:u w:val="none"/>
          <w:lang w:val="en-US" w:eastAsia="zh-CN"/>
        </w:rPr>
        <w:t>该</w:t>
      </w:r>
      <w:r>
        <w:rPr>
          <w:rFonts w:hint="eastAsia" w:ascii="仿宋_GB2312" w:hAnsi="仿宋_GB2312" w:eastAsia="仿宋_GB2312" w:cs="仿宋_GB2312"/>
          <w:sz w:val="32"/>
          <w:szCs w:val="32"/>
          <w:highlight w:val="none"/>
          <w:u w:val="none"/>
        </w:rPr>
        <w:t>住宅房屋补偿价值的百分之八十五，对被征收人，货币补偿金额为百分之十五。</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选择房屋安置的，公有房屋承租人应当与房屋征收部门结清其货币补偿金额与安置房屋价值之间差价，结清差价后，安置房屋产权归承租人所有。</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实行货币补偿或者房屋安置后，公有房屋承租人不再享受房改购房资格。</w:t>
      </w:r>
    </w:p>
    <w:p>
      <w:pPr>
        <w:spacing w:line="560" w:lineRule="exact"/>
        <w:ind w:firstLine="640" w:firstLineChars="200"/>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3、公有房屋承租人不具备房改购房资格条件的，房屋征收部门应当对被征收人实行产权调换，原租赁关系不变。</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（三）征收非住宅房屋的补偿</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被征收非住宅房屋货币补偿价格，参照房屋征收决定公告之日被征收房屋所处区位类似房地产市场价格评估确定（以划拨方式取得土地使用权的，按规定扣除政府收益部分）。征收非住宅房屋实行货币补偿的，按照确定的价格向被征收人支付补偿金；对符合国家产业政策、土地供应政策和项目规划，可以实行产权调换的，应当按照产权调换房屋的评估价值与被征收房屋的评估价值结算价款。</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被征收非住宅房屋产权人选择土地收</w:t>
      </w:r>
      <w:r>
        <w:rPr>
          <w:rFonts w:hint="eastAsia" w:ascii="仿宋_GB2312" w:hAnsi="仿宋_GB2312" w:eastAsia="仿宋_GB2312" w:cs="仿宋_GB2312"/>
          <w:sz w:val="32"/>
          <w:szCs w:val="32"/>
          <w:u w:val="none"/>
          <w:lang w:val="en-US" w:eastAsia="zh-CN"/>
        </w:rPr>
        <w:t>购</w:t>
      </w:r>
      <w:r>
        <w:rPr>
          <w:rFonts w:hint="eastAsia" w:ascii="仿宋_GB2312" w:hAnsi="仿宋_GB2312" w:eastAsia="仿宋_GB2312" w:cs="仿宋_GB2312"/>
          <w:sz w:val="32"/>
          <w:szCs w:val="32"/>
          <w:u w:val="none"/>
        </w:rPr>
        <w:t>的，可以在房屋征收补偿方案公示后10日内向房屋征收部门提出申请，房屋征收部门收到申请后3日内转交</w:t>
      </w:r>
      <w:r>
        <w:rPr>
          <w:rFonts w:hint="eastAsia" w:ascii="仿宋_GB2312" w:hAnsi="仿宋_GB2312" w:eastAsia="仿宋_GB2312" w:cs="仿宋_GB2312"/>
          <w:sz w:val="32"/>
          <w:szCs w:val="32"/>
          <w:u w:val="none"/>
          <w:lang w:val="en-US" w:eastAsia="zh-CN"/>
        </w:rPr>
        <w:t>济南市天桥区自然资源局</w:t>
      </w:r>
      <w:r>
        <w:rPr>
          <w:rFonts w:hint="eastAsia" w:ascii="仿宋_GB2312" w:hAnsi="仿宋_GB2312" w:eastAsia="仿宋_GB2312" w:cs="仿宋_GB2312"/>
          <w:sz w:val="32"/>
          <w:szCs w:val="32"/>
          <w:u w:val="none"/>
        </w:rPr>
        <w:t>。同意</w:t>
      </w:r>
      <w:r>
        <w:rPr>
          <w:rFonts w:hint="eastAsia" w:ascii="仿宋_GB2312" w:hAnsi="仿宋_GB2312" w:eastAsia="仿宋_GB2312" w:cs="仿宋_GB2312"/>
          <w:sz w:val="32"/>
          <w:szCs w:val="32"/>
          <w:u w:val="none"/>
          <w:lang w:val="en-US" w:eastAsia="zh-CN"/>
        </w:rPr>
        <w:t>收购</w:t>
      </w:r>
      <w:r>
        <w:rPr>
          <w:rFonts w:hint="eastAsia" w:ascii="仿宋_GB2312" w:hAnsi="仿宋_GB2312" w:eastAsia="仿宋_GB2312" w:cs="仿宋_GB2312"/>
          <w:sz w:val="32"/>
          <w:szCs w:val="32"/>
          <w:u w:val="none"/>
        </w:rPr>
        <w:t>的，按《济南市土地储备办法》济政发〔2021〕</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号执行；不同意收购或是自收到申请之日起45日内不能签订收购合同的，按国有土地上房屋征收政策执行。</w:t>
      </w:r>
    </w:p>
    <w:p>
      <w:pPr>
        <w:spacing w:line="560" w:lineRule="exact"/>
        <w:ind w:firstLine="643" w:firstLineChars="200"/>
        <w:rPr>
          <w:rFonts w:hint="eastAsia" w:ascii="仿宋_GB2312" w:hAnsi="仿宋_GB2312" w:eastAsia="仿宋_GB2312" w:cs="仿宋_GB2312"/>
          <w:b/>
          <w:sz w:val="32"/>
          <w:szCs w:val="32"/>
          <w:highlight w:val="none"/>
          <w:u w:val="none"/>
        </w:rPr>
      </w:pPr>
      <w:r>
        <w:rPr>
          <w:rFonts w:hint="eastAsia" w:ascii="仿宋_GB2312" w:hAnsi="仿宋_GB2312" w:eastAsia="仿宋_GB2312" w:cs="仿宋_GB2312"/>
          <w:b/>
          <w:sz w:val="32"/>
          <w:szCs w:val="32"/>
          <w:highlight w:val="none"/>
          <w:u w:val="none"/>
        </w:rPr>
        <w:t>五、享受最低套型面积标准的补偿</w:t>
      </w:r>
    </w:p>
    <w:p>
      <w:pPr>
        <w:spacing w:line="560" w:lineRule="exact"/>
        <w:ind w:firstLine="640" w:firstLineChars="200"/>
        <w:rPr>
          <w:rFonts w:hint="eastAsia" w:ascii="仿宋_GB2312" w:hAnsi="仿宋_GB2312" w:eastAsia="仿宋_GB2312" w:cs="仿宋_GB2312"/>
          <w:color w:val="FF0000"/>
          <w:sz w:val="32"/>
          <w:szCs w:val="32"/>
          <w:highlight w:val="none"/>
          <w:u w:val="none"/>
        </w:rPr>
      </w:pPr>
      <w:r>
        <w:rPr>
          <w:rFonts w:hint="eastAsia" w:ascii="仿宋_GB2312" w:hAnsi="仿宋_GB2312" w:eastAsia="仿宋_GB2312" w:cs="仿宋_GB2312"/>
          <w:color w:val="000000"/>
          <w:sz w:val="32"/>
          <w:szCs w:val="32"/>
          <w:highlight w:val="none"/>
          <w:u w:val="none"/>
        </w:rPr>
        <w:t>（一）被征收人或公有房屋承租人</w:t>
      </w:r>
      <w:r>
        <w:rPr>
          <w:rFonts w:hint="eastAsia" w:ascii="仿宋" w:hAnsi="仿宋" w:eastAsia="仿宋" w:cs="微软雅黑"/>
          <w:color w:val="000000"/>
          <w:sz w:val="32"/>
          <w:szCs w:val="32"/>
          <w:highlight w:val="none"/>
          <w:u w:val="none"/>
        </w:rPr>
        <w:t>只</w:t>
      </w:r>
      <w:r>
        <w:rPr>
          <w:rFonts w:hint="eastAsia" w:ascii="仿宋_GB2312" w:hAnsi="___WRD_EMBED_SUB_40" w:eastAsia="仿宋_GB2312" w:cs="___WRD_EMBED_SUB_40"/>
          <w:color w:val="000000"/>
          <w:sz w:val="32"/>
          <w:szCs w:val="32"/>
          <w:highlight w:val="none"/>
          <w:u w:val="none"/>
        </w:rPr>
        <w:t>有一套住宅房屋，且建筑面积</w:t>
      </w:r>
      <w:r>
        <w:rPr>
          <w:rFonts w:hint="eastAsia" w:ascii="仿宋" w:hAnsi="仿宋" w:eastAsia="仿宋" w:cs="微软雅黑"/>
          <w:color w:val="000000"/>
          <w:sz w:val="32"/>
          <w:szCs w:val="32"/>
          <w:highlight w:val="none"/>
          <w:u w:val="none"/>
        </w:rPr>
        <w:t>小</w:t>
      </w:r>
      <w:r>
        <w:rPr>
          <w:rFonts w:hint="eastAsia" w:ascii="仿宋_GB2312" w:hAnsi="___WRD_EMBED_SUB_40" w:eastAsia="仿宋_GB2312" w:cs="___WRD_EMBED_SUB_40"/>
          <w:color w:val="000000"/>
          <w:sz w:val="32"/>
          <w:szCs w:val="32"/>
          <w:highlight w:val="none"/>
          <w:u w:val="none"/>
        </w:rPr>
        <w:t>于</w:t>
      </w:r>
      <w:r>
        <w:rPr>
          <w:rFonts w:hint="eastAsia" w:ascii="仿宋_GB2312" w:hAnsi="仿宋_GB2312" w:eastAsia="仿宋_GB2312" w:cs="仿宋_GB2312"/>
          <w:color w:val="000000"/>
          <w:sz w:val="32"/>
          <w:szCs w:val="32"/>
          <w:highlight w:val="none"/>
          <w:u w:val="none"/>
        </w:rPr>
        <w:t>46平方米的，房屋征收部门按照国家规定的住宅设计最低套型面积（以下简称最低套型面积标准）进行房屋安置或者按建筑面积46平方米进行货币补偿。</w:t>
      </w:r>
    </w:p>
    <w:p>
      <w:pPr>
        <w:spacing w:line="56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被征收人或者公有房屋承租人在同一征收项目内有2套及以上住宅房屋，合并计算面积仍达不到建筑面积46平方米的，房屋征收部门应按照享受最低套型面积标准资格相关规定予以货币补偿或者房屋安置。</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实行改建地段或就近地段安置的，最低套型面积标准之内的差价，由房屋征收部门承担；超出最低套型面积标准对应面积的价款，由被征收人或公有房屋承租人承担。</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享受住宅最低套型面积标准资格的被征收人或公有房屋承租人认定，由天桥区国有土地上房屋征收范围内房改资格和最低套型保障资格认定工作组按照被征收人或公有房屋承租人享受最低套型面积标准资格的有关规定予以认定，并在征收范围内进行公示，接受社会监督。</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六、未登记建筑的认定和处理</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征收范围内未登记建筑由天桥区国有土地上房屋征收范围内未登记建筑调查认定和处理工作组依据有关规定进行调查、认定和处理工作，出具认定意见，并在征收范围内公示，接受社会监督。对认定为合法建筑的，依法予以征收补偿；对认定为违法建筑的，不予补偿，并按违法建筑拆除规定予以拆除。</w:t>
      </w:r>
    </w:p>
    <w:p>
      <w:pPr>
        <w:numPr>
          <w:ilvl w:val="0"/>
          <w:numId w:val="1"/>
        </w:numPr>
        <w:adjustRightInd w:val="0"/>
        <w:spacing w:line="60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产权调换房屋的基本情况</w:t>
      </w:r>
    </w:p>
    <w:p>
      <w:pPr>
        <w:spacing w:line="560" w:lineRule="exact"/>
        <w:ind w:firstLine="640" w:firstLineChars="200"/>
        <w:rPr>
          <w:rFonts w:ascii="仿宋_GB2312" w:hAnsi="仿宋_GB2312" w:eastAsia="仿宋_GB2312" w:cs="仿宋_GB2312"/>
          <w:bCs/>
          <w:sz w:val="32"/>
          <w:szCs w:val="32"/>
          <w:u w:val="none"/>
        </w:rPr>
      </w:pPr>
      <w:r>
        <w:rPr>
          <w:rFonts w:hint="eastAsia" w:ascii="仿宋_GB2312" w:hAnsi="仿宋_GB2312" w:eastAsia="仿宋_GB2312" w:cs="仿宋_GB2312"/>
          <w:sz w:val="32"/>
          <w:szCs w:val="32"/>
          <w:u w:val="none"/>
          <w:lang w:val="en-US" w:eastAsia="zh-CN"/>
        </w:rPr>
        <w:t>根据</w:t>
      </w:r>
      <w:r>
        <w:rPr>
          <w:rFonts w:hint="eastAsia" w:ascii="仿宋_GB2312" w:hAnsi="仿宋_GB2312" w:eastAsia="仿宋_GB2312" w:cs="仿宋_GB2312"/>
          <w:sz w:val="32"/>
          <w:szCs w:val="32"/>
          <w:u w:val="none"/>
        </w:rPr>
        <w:t>济南城</w:t>
      </w:r>
      <w:r>
        <w:rPr>
          <w:rFonts w:hint="eastAsia" w:ascii="仿宋_GB2312" w:hAnsi="仿宋_GB2312" w:eastAsia="仿宋_GB2312" w:cs="仿宋_GB2312"/>
          <w:sz w:val="32"/>
          <w:szCs w:val="32"/>
          <w:u w:val="none"/>
          <w:lang w:val="en-US" w:eastAsia="zh-CN"/>
        </w:rPr>
        <w:t>发天桥土地发展</w:t>
      </w:r>
      <w:r>
        <w:rPr>
          <w:rFonts w:hint="eastAsia" w:ascii="仿宋_GB2312" w:hAnsi="仿宋_GB2312" w:eastAsia="仿宋_GB2312" w:cs="仿宋_GB2312"/>
          <w:sz w:val="32"/>
          <w:szCs w:val="32"/>
          <w:u w:val="none"/>
        </w:rPr>
        <w:t>有限公司提</w:t>
      </w:r>
      <w:r>
        <w:rPr>
          <w:rFonts w:hint="eastAsia" w:ascii="仿宋_GB2312" w:hAnsi="仿宋_GB2312" w:eastAsia="仿宋_GB2312" w:cs="仿宋_GB2312"/>
          <w:sz w:val="32"/>
          <w:szCs w:val="32"/>
          <w:u w:val="none"/>
          <w:lang w:val="en-US" w:eastAsia="zh-CN"/>
        </w:rPr>
        <w:t>供的</w:t>
      </w:r>
      <w:r>
        <w:rPr>
          <w:rFonts w:hint="eastAsia" w:ascii="仿宋_GB2312" w:hAnsi="仿宋_GB2312" w:eastAsia="仿宋_GB2312" w:cs="仿宋_GB2312"/>
          <w:bCs/>
          <w:sz w:val="32"/>
          <w:szCs w:val="32"/>
          <w:highlight w:val="none"/>
          <w:u w:val="none"/>
        </w:rPr>
        <w:t>该项目产权调换房屋为征收范围内</w:t>
      </w:r>
      <w:r>
        <w:rPr>
          <w:rFonts w:hint="eastAsia" w:ascii="仿宋_GB2312" w:hAnsi="仿宋_GB2312" w:eastAsia="仿宋_GB2312" w:cs="仿宋_GB2312"/>
          <w:sz w:val="32"/>
          <w:szCs w:val="32"/>
          <w:highlight w:val="none"/>
          <w:u w:val="none"/>
        </w:rPr>
        <w:t>改建地段</w:t>
      </w:r>
      <w:r>
        <w:rPr>
          <w:rFonts w:hint="eastAsia" w:ascii="仿宋_GB2312" w:hAnsi="仿宋_GB2312" w:eastAsia="仿宋_GB2312" w:cs="仿宋_GB2312"/>
          <w:bCs/>
          <w:sz w:val="32"/>
          <w:szCs w:val="32"/>
          <w:highlight w:val="none"/>
          <w:u w:val="none"/>
        </w:rPr>
        <w:t>待建的住宅楼808套，就近地段标山一期项目安置房164套。</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1、产权调换房屋具体情况详见现场公示；</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2、产权调换房屋最终规划设计方案和</w:t>
      </w:r>
      <w:r>
        <w:rPr>
          <w:rFonts w:hint="eastAsia" w:ascii="仿宋_GB2312" w:hAnsi="仿宋_GB2312" w:eastAsia="仿宋_GB2312" w:cs="仿宋_GB2312"/>
          <w:sz w:val="32"/>
          <w:szCs w:val="32"/>
          <w:highlight w:val="none"/>
          <w:u w:val="none"/>
          <w:lang w:val="en-US" w:eastAsia="zh-CN"/>
        </w:rPr>
        <w:t>就近地段</w:t>
      </w:r>
      <w:r>
        <w:rPr>
          <w:rFonts w:hint="eastAsia" w:ascii="仿宋_GB2312" w:hAnsi="仿宋_GB2312" w:eastAsia="仿宋_GB2312" w:cs="仿宋_GB2312"/>
          <w:sz w:val="32"/>
          <w:szCs w:val="32"/>
          <w:highlight w:val="none"/>
          <w:u w:val="none"/>
        </w:rPr>
        <w:t>房源以征收决定公告为准；</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3、选房对档表具体见选房前公示的《选房方案》。</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八、房屋征收补偿协议拟签约期限</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该项目签订房屋征收补偿协议的拟签约期限为60天。</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1、选择货币补偿的：自房屋征收决定公布后评估结果公示期满次日起，被征收人可与房屋征收部门签订货币补偿协议。</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2、选择产权调换的：自选房结束次日起，被征收人可与房屋征收部门签订产权调换协议。</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九、搬迁过渡方式、过渡期限及费用标准</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（一）搬迁过渡方式</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选择产权调换的，被征收人或者公有房屋承租人自行寻找过渡用房，房屋征收部门发放临时安置费。</w:t>
      </w:r>
    </w:p>
    <w:p>
      <w:pPr>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（二）过渡期限</w:t>
      </w:r>
    </w:p>
    <w:p>
      <w:pPr>
        <w:spacing w:line="560" w:lineRule="exact"/>
        <w:ind w:firstLine="640" w:firstLineChars="200"/>
        <w:rPr>
          <w:rFonts w:hint="eastAsia" w:ascii="仿宋_GB2312" w:hAnsi="宋体" w:eastAsia="仿宋_GB2312" w:cs="宋体"/>
          <w:color w:val="auto"/>
          <w:sz w:val="32"/>
          <w:szCs w:val="32"/>
          <w:highlight w:val="none"/>
          <w:u w:val="none"/>
        </w:rPr>
      </w:pPr>
      <w:r>
        <w:rPr>
          <w:rFonts w:hint="eastAsia" w:ascii="仿宋_GB2312" w:hAnsi="宋体" w:eastAsia="仿宋_GB2312" w:cs="宋体"/>
          <w:sz w:val="32"/>
          <w:szCs w:val="32"/>
          <w:highlight w:val="none"/>
          <w:u w:val="none"/>
        </w:rPr>
        <w:t>选择改建地段产权调换房屋的过渡期限</w:t>
      </w:r>
      <w:r>
        <w:rPr>
          <w:rFonts w:hint="eastAsia" w:ascii="仿宋_GB2312" w:hAnsi="宋体" w:eastAsia="仿宋_GB2312" w:cs="宋体"/>
          <w:sz w:val="32"/>
          <w:szCs w:val="32"/>
          <w:highlight w:val="none"/>
          <w:u w:val="none"/>
          <w:lang w:val="en-US" w:eastAsia="zh-CN"/>
        </w:rPr>
        <w:t>为</w:t>
      </w:r>
      <w:r>
        <w:rPr>
          <w:rFonts w:hint="eastAsia" w:ascii="仿宋_GB2312" w:hAnsi="宋体" w:eastAsia="仿宋_GB2312" w:cs="宋体"/>
          <w:sz w:val="32"/>
          <w:szCs w:val="32"/>
          <w:highlight w:val="none"/>
          <w:u w:val="none"/>
        </w:rPr>
        <w:t>自签订房屋征收补偿协议并交验空房之日起</w:t>
      </w:r>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sz w:val="32"/>
          <w:szCs w:val="32"/>
          <w:highlight w:val="none"/>
          <w:u w:val="none"/>
        </w:rPr>
        <w:t>拟定为36个月，</w:t>
      </w:r>
      <w:r>
        <w:rPr>
          <w:rFonts w:hint="eastAsia" w:ascii="仿宋_GB2312" w:hAnsi="宋体" w:eastAsia="仿宋_GB2312" w:cs="宋体"/>
          <w:color w:val="auto"/>
          <w:sz w:val="32"/>
          <w:szCs w:val="32"/>
          <w:highlight w:val="none"/>
          <w:u w:val="none"/>
        </w:rPr>
        <w:t>选择就近地段产权调换房屋的过渡期为签订产权调换协议并交验</w:t>
      </w:r>
      <w:r>
        <w:rPr>
          <w:rFonts w:ascii="仿宋_GB2312" w:hAnsi="宋体" w:eastAsia="仿宋_GB2312" w:cs="宋体"/>
          <w:color w:val="auto"/>
          <w:sz w:val="32"/>
          <w:szCs w:val="32"/>
          <w:highlight w:val="none"/>
          <w:u w:val="none"/>
        </w:rPr>
        <w:t>空房</w:t>
      </w:r>
      <w:r>
        <w:rPr>
          <w:rFonts w:hint="eastAsia" w:ascii="仿宋_GB2312" w:hAnsi="宋体" w:eastAsia="仿宋_GB2312" w:cs="宋体"/>
          <w:color w:val="auto"/>
          <w:sz w:val="32"/>
          <w:szCs w:val="32"/>
          <w:highlight w:val="none"/>
          <w:u w:val="none"/>
          <w:lang w:val="en-US" w:eastAsia="zh-CN"/>
        </w:rPr>
        <w:t>之日</w:t>
      </w:r>
      <w:r>
        <w:rPr>
          <w:rFonts w:ascii="仿宋_GB2312" w:hAnsi="宋体" w:eastAsia="仿宋_GB2312" w:cs="宋体"/>
          <w:color w:val="auto"/>
          <w:sz w:val="32"/>
          <w:szCs w:val="32"/>
          <w:highlight w:val="none"/>
          <w:u w:val="none"/>
        </w:rPr>
        <w:t>起</w:t>
      </w:r>
      <w:r>
        <w:rPr>
          <w:rFonts w:hint="eastAsia" w:ascii="仿宋_GB2312" w:hAnsi="宋体" w:eastAsia="仿宋_GB2312" w:cs="宋体"/>
          <w:color w:val="auto"/>
          <w:sz w:val="32"/>
          <w:szCs w:val="32"/>
          <w:highlight w:val="none"/>
          <w:u w:val="none"/>
        </w:rPr>
        <w:t>至2022年9月30日。</w:t>
      </w:r>
    </w:p>
    <w:p>
      <w:pPr>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（三）房屋搬迁费、临时安置费、逾期临时安置费及一次性停产停业</w:t>
      </w:r>
      <w:r>
        <w:rPr>
          <w:rFonts w:hint="eastAsia" w:ascii="仿宋_GB2312" w:hAnsi="仿宋_GB2312" w:eastAsia="仿宋_GB2312" w:cs="仿宋_GB2312"/>
          <w:sz w:val="32"/>
          <w:szCs w:val="32"/>
          <w:u w:val="none"/>
          <w:lang w:val="en-US" w:eastAsia="zh-CN"/>
        </w:rPr>
        <w:t>损失补偿费。</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1、房屋搬迁费</w:t>
      </w:r>
    </w:p>
    <w:p>
      <w:pPr>
        <w:spacing w:line="560" w:lineRule="exact"/>
        <w:ind w:firstLine="640" w:firstLineChars="200"/>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搬迁费按照被征收房屋建筑面积计算，住宅房屋每平方米30元，非住宅房屋每平方米35元；总额不足2000元的，按照2000元计发。因房屋征收部门提供的产权调换房屋为期房，被征收人需二次搬迁的，房屋征收部门应当按上述标准支付二次搬迁费。</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2、临时安置费</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在过渡期限内，征收住宅房屋每月临时安置费按被征收住宅房屋建筑面积每平方米30元计算，征收非住宅房屋每月临时安置费按被征收非住宅房屋建筑面积每平方米35元计算；每月总额不足1500元的，按1500元计发。选择货币补偿的，一次性支付6个月临时安置费。安置房按普通商品房标准装修的，自安置房交房之日当月起，房屋征收部门可按照每月临时安置费的标准，发放3个月临时安置补助。</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3、逾期临时安置费</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因房屋征收部门的责任使被征收人延长过渡期限的，对自行解决周转用房的，从逾期之月</w:t>
      </w:r>
      <w:r>
        <w:rPr>
          <w:rFonts w:hint="eastAsia" w:ascii="仿宋_GB2312" w:hAnsi="仿宋_GB2312" w:eastAsia="仿宋_GB2312" w:cs="仿宋_GB2312"/>
          <w:sz w:val="32"/>
          <w:szCs w:val="32"/>
          <w:u w:val="none"/>
          <w:lang w:val="en-US" w:eastAsia="zh-CN"/>
        </w:rPr>
        <w:t>起</w:t>
      </w:r>
      <w:r>
        <w:rPr>
          <w:rFonts w:hint="eastAsia" w:ascii="仿宋_GB2312" w:hAnsi="仿宋_GB2312" w:eastAsia="仿宋_GB2312" w:cs="仿宋_GB2312"/>
          <w:sz w:val="32"/>
          <w:szCs w:val="32"/>
          <w:u w:val="none"/>
        </w:rPr>
        <w:t>临时安置费增加一倍支付；对房屋征收部门提供周转用房的，从逾期之月起临时安置费按月支付；临时安置费每月不足1500元按1500元计发的，逾期临时安置费按照1500元加上被征收房屋建筑面积对应的临时安置费予以支付。</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4、一次性停产停业损失补偿费</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按被征收非住宅房屋建筑面积计算，营业、生产用房为每平方米400元，其他非住宅用房为每平方米300元。</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十、奖励与各类补助标准</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（一）按期搬迁奖励费与提前搬迁奖励费</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1、被征收房屋为住宅房屋</w:t>
      </w:r>
      <w:r>
        <w:rPr>
          <w:rFonts w:hint="eastAsia" w:ascii="仿宋_GB2312" w:hAnsi="仿宋_GB2312" w:eastAsia="仿宋_GB2312" w:cs="仿宋_GB2312"/>
          <w:sz w:val="32"/>
          <w:szCs w:val="32"/>
          <w:u w:val="none"/>
        </w:rPr>
        <w:t>：在签约期内前</w:t>
      </w:r>
      <w:r>
        <w:rPr>
          <w:rFonts w:hint="eastAsia" w:ascii="仿宋_GB2312" w:hAnsi="仿宋_GB2312" w:eastAsia="仿宋_GB2312" w:cs="仿宋_GB2312"/>
          <w:sz w:val="32"/>
          <w:szCs w:val="32"/>
          <w:u w:val="none"/>
          <w:lang w:val="en-US" w:eastAsia="zh-CN"/>
        </w:rPr>
        <w:t>50</w:t>
      </w:r>
      <w:r>
        <w:rPr>
          <w:rFonts w:hint="eastAsia" w:ascii="仿宋_GB2312" w:hAnsi="仿宋_GB2312" w:eastAsia="仿宋_GB2312" w:cs="仿宋_GB2312"/>
          <w:sz w:val="32"/>
          <w:szCs w:val="32"/>
          <w:u w:val="none"/>
        </w:rPr>
        <w:t>天签订征收补偿协议并交验空房的（以交验空房时间为准），给予每户按期和提前搬迁奖励费30000元；在签约期内第</w:t>
      </w:r>
      <w:r>
        <w:rPr>
          <w:rFonts w:hint="eastAsia" w:ascii="仿宋_GB2312" w:hAnsi="仿宋_GB2312" w:eastAsia="仿宋_GB2312" w:cs="仿宋_GB2312"/>
          <w:sz w:val="32"/>
          <w:szCs w:val="32"/>
          <w:u w:val="none"/>
          <w:lang w:val="en-US" w:eastAsia="zh-CN"/>
        </w:rPr>
        <w:t>51</w:t>
      </w:r>
      <w:r>
        <w:rPr>
          <w:rFonts w:hint="eastAsia" w:ascii="仿宋_GB2312" w:hAnsi="仿宋_GB2312" w:eastAsia="仿宋_GB2312" w:cs="仿宋_GB2312"/>
          <w:sz w:val="32"/>
          <w:szCs w:val="32"/>
          <w:u w:val="none"/>
        </w:rPr>
        <w:t>天到第60天签订征收补偿协议并交验空房的（以交验空房时间为准），每拖后1天扣减按期和提前搬迁奖励费1000元；逾期签约的不予奖励。</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2、被征收房屋为非住宅房屋：</w:t>
      </w:r>
      <w:r>
        <w:rPr>
          <w:rFonts w:hint="eastAsia" w:ascii="仿宋_GB2312" w:hAnsi="仿宋_GB2312" w:eastAsia="仿宋_GB2312" w:cs="仿宋_GB2312"/>
          <w:sz w:val="32"/>
          <w:szCs w:val="32"/>
          <w:u w:val="none"/>
        </w:rPr>
        <w:t>在签约期内签订征收补偿协议并交验空房的（以交验空房时间为准），每户按期搬迁奖励费与提前搬迁奖励费按被征收非住宅房屋价值的5％计算，最少不低于3万元、最多不超过300万元，逾期签约</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不予奖励。</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（二）货币补偿奖励费</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1、住宅房屋选择货币补偿</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征收住宅房屋，被征收人或者公有房屋承租人选择货币补偿方式的，根据签约和搬迁时间的不同，最高可给予不超过被征收房屋评估价值10%的货币补偿奖励。</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具体时间节点和奖励额度如下：</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在签约期内前</w:t>
      </w:r>
      <w:r>
        <w:rPr>
          <w:rFonts w:hint="eastAsia" w:ascii="仿宋_GB2312" w:hAnsi="仿宋_GB2312" w:eastAsia="仿宋_GB2312" w:cs="仿宋_GB2312"/>
          <w:sz w:val="32"/>
          <w:szCs w:val="32"/>
          <w:u w:val="none"/>
          <w:lang w:val="en-US" w:eastAsia="zh-CN"/>
        </w:rPr>
        <w:t>50</w:t>
      </w:r>
      <w:r>
        <w:rPr>
          <w:rFonts w:hint="eastAsia" w:ascii="仿宋_GB2312" w:hAnsi="仿宋_GB2312" w:eastAsia="仿宋_GB2312" w:cs="仿宋_GB2312"/>
          <w:sz w:val="32"/>
          <w:szCs w:val="32"/>
          <w:u w:val="none"/>
        </w:rPr>
        <w:t>天签订征收补偿协议并交验空房的（以交验空房时间为准），按其被征收房屋价值的10％给予奖励；在签约期内第</w:t>
      </w:r>
      <w:r>
        <w:rPr>
          <w:rFonts w:hint="eastAsia" w:ascii="仿宋_GB2312" w:hAnsi="仿宋_GB2312" w:eastAsia="仿宋_GB2312" w:cs="仿宋_GB2312"/>
          <w:sz w:val="32"/>
          <w:szCs w:val="32"/>
          <w:u w:val="none"/>
          <w:lang w:val="en-US" w:eastAsia="zh-CN"/>
        </w:rPr>
        <w:t>51</w:t>
      </w:r>
      <w:r>
        <w:rPr>
          <w:rFonts w:hint="eastAsia" w:ascii="仿宋_GB2312" w:hAnsi="仿宋_GB2312" w:eastAsia="仿宋_GB2312" w:cs="仿宋_GB2312"/>
          <w:sz w:val="32"/>
          <w:szCs w:val="32"/>
          <w:u w:val="none"/>
        </w:rPr>
        <w:t>天到第60天签订征收补偿协议并交验空房的（以交验空房时间为准），按其被征收房屋价值的5％给予奖励；超过签约期限签订征收补偿协议并交验空房的（以交验空房时间为准），按其被征收房屋价值的2％给予奖励。</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2、非住宅房屋选择货币补偿</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征收非住宅房屋，被征收人或公有房屋承租人选择货币补偿的，根据签约和搬迁时间的不同，最高可给予不超过被征收房屋评估价值10%的货币补偿奖励。</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具体时间和奖励幅度如下：</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在签约期限内签订征收补偿协议并交验空房的（以交验空房时间为准），按其被征收房屋价值的10％给予奖励；超过签约期限签订征收补偿协议并交验空房的（以交验空房时间为准），按其被征收房屋价值的2％给予奖励。</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（三）补助标准</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1、房屋征收部门对被征收人按照房屋征收补偿方案规定范围和标准选择房屋的公用分摊面积予以免交的差价款。</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2、房屋征收部门对享受最低套型面积标准资格的被征收人予以免交最低套型面积标准之内的差价款。</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十一、被征收住宅房屋室内装饰装修及附属物等补偿</w:t>
      </w:r>
    </w:p>
    <w:p>
      <w:pPr>
        <w:spacing w:line="560" w:lineRule="exact"/>
        <w:ind w:firstLine="643" w:firstLineChars="200"/>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（一）被征收住宅房屋室内装饰装修价值评估补偿</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被征收住宅房屋室内装饰装修补偿费由评估机构根据装修档次和成新评估确定，房屋征收部门按评估结果补偿。被征收人或者公有房屋承租人在征收决定发布后，可向评估机构申请装修部分的评估；自行拆除的，不予评估和补偿。</w:t>
      </w:r>
    </w:p>
    <w:p>
      <w:pPr>
        <w:spacing w:line="560" w:lineRule="exact"/>
        <w:ind w:firstLine="643" w:firstLineChars="200"/>
        <w:rPr>
          <w:rFonts w:hint="eastAsia" w:ascii="仿宋_GB2312" w:hAnsi="仿宋_GB2312" w:eastAsia="仿宋_GB2312" w:cs="仿宋_GB2312"/>
          <w:b/>
          <w:sz w:val="32"/>
          <w:szCs w:val="32"/>
          <w:highlight w:val="none"/>
          <w:u w:val="none"/>
        </w:rPr>
      </w:pPr>
      <w:r>
        <w:rPr>
          <w:rFonts w:hint="eastAsia" w:ascii="仿宋_GB2312" w:hAnsi="仿宋_GB2312" w:eastAsia="仿宋_GB2312" w:cs="仿宋_GB2312"/>
          <w:b/>
          <w:sz w:val="32"/>
          <w:szCs w:val="32"/>
          <w:highlight w:val="none"/>
          <w:u w:val="none"/>
        </w:rPr>
        <w:t>（二）设备迁移费及附属物、树木补偿</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highlight w:val="none"/>
          <w:u w:val="none"/>
        </w:rPr>
        <w:t>设备迁移费、被征收房屋的附属物、</w:t>
      </w:r>
      <w:r>
        <w:rPr>
          <w:rFonts w:hint="eastAsia" w:ascii="仿宋_GB2312" w:hAnsi="仿宋_GB2312" w:eastAsia="仿宋_GB2312" w:cs="仿宋_GB2312"/>
          <w:sz w:val="32"/>
          <w:szCs w:val="32"/>
          <w:u w:val="none"/>
        </w:rPr>
        <w:t>被征收房屋院落内的树木按照《济南市国有土地上房屋征收与补偿办法》实施细则（详见附件：1、征收房屋设备迁移费标准；2、征收房屋附属物补偿标准； 3、征收树木补偿标准）的规定进行补偿。</w:t>
      </w:r>
    </w:p>
    <w:p>
      <w:pPr>
        <w:ind w:firstLine="630" w:firstLineChars="196"/>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十二、其他有关事项</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（一）被征收人对房屋证载建筑面积有异议的，应在房屋征收决定公告发布后20日内委托房屋测绘机构对房屋合法建筑的面积进行测量，并出具报告。</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被征收人或者房屋征收部门对评估报告结果有异议的，应当自收到评估报告之日起10日内，向原评估机构书面申请复核评估；对原评估机构的复核结果有异议的，应当自收到复核结果之日起10日内，向济南市国有土地上房屋征收和拆迁评估专家委员会书面申请鉴定。</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若被征收房屋存在抵押、查封等问题，被征收人可与房屋征收部门签订房屋征收补偿协议，待抵押、查封等问题解决后，再发放房屋征收补偿费用；若被征收人故意隐瞒被征收房屋存在抵押、查封等问题，经查证属实的，所签征收补偿协议无效，应重新签订，并依法追究相关责任。</w:t>
      </w:r>
    </w:p>
    <w:p>
      <w:pPr>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（四）被征收人在签订国有土地上房屋征收补偿协议时，需将房屋所有权证及土地使用权证交房屋征收实施单位，办理相关所有权证注销登记手续。</w:t>
      </w:r>
      <w:r>
        <w:rPr>
          <w:rFonts w:hint="eastAsia" w:ascii="仿宋_GB2312" w:hAnsi="仿宋_GB2312" w:eastAsia="仿宋_GB2312" w:cs="仿宋_GB2312"/>
          <w:sz w:val="32"/>
          <w:szCs w:val="32"/>
          <w:u w:val="none"/>
          <w:lang w:val="en-US" w:eastAsia="zh-CN"/>
        </w:rPr>
        <w:t>被征收人未签订征收补偿协议的，市、区政府作出补偿决定后，房屋征收部门可提交补偿决定书、人民法院强制执行裁定书等相关材料，到不动产登记机构办理被征收房屋不动产证注销登记手续。在办理注销登记手续时，被征收房屋不动产证确无法收回的，由不动产登记机构公告作废。</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被征收人腾空房屋后，要保持原房屋结构完整，设施齐全，不得损坏和拆除门窗、暖气设施、煤气管网线及各类用表，以保证公共安全，防止煤气、水电等安全事故发生，如因被征收人及其亲属擅自毁坏，发生安全事故，造成损失的，由实际侵权人承担民事赔偿责任，构成犯罪的依法追究刑事责任。</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w:t>
      </w:r>
      <w:r>
        <w:rPr>
          <w:rFonts w:hint="eastAsia" w:ascii="仿宋_GB2312" w:hAnsi="仿宋_GB2312" w:eastAsia="仿宋_GB2312" w:cs="仿宋_GB2312"/>
          <w:sz w:val="32"/>
          <w:szCs w:val="32"/>
          <w:u w:val="none"/>
          <w:lang w:eastAsia="zh-CN"/>
        </w:rPr>
        <w:t>享受最低套型面积标准待遇的被征收人或公有房屋承租人，无正当理由未在签约期限内与房屋征收部门签订补偿协议的不享受本方案第五条第（一）款规定的标准。</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享受最低套型面积保障的被征收人，如果隐瞒相关房产信息，违规取得最低套型面积补偿资格的，所签协议视为作废，应重新签订。同时欢迎广大群众举报，如举报人举报，经调查属实的，对举报人奖励2000元（每户仅限奖励一人次）。</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房屋征收部门与被征收人在征收补偿方案确定的签约期限内达不成补偿协议，或者被征收房屋所有权人不明确的，由房屋征收部门报请区政府按照征收补偿方案作出补偿决定。被征收人在法定期限内不申请行政复议也不提起行政诉讼，在补偿决定规定的期限内又不搬迁的，由区人民政府依法申请人民法院强制执行。</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（八）参加房屋征收工作的相关人员在房屋征收与补偿工作中不履行职责，玩忽职守，徇私舞弊，造成损失的，依纪、依法追究纪律、法律责任；构成犯罪的，依法追究刑事责任。</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（九）《济南晨光纸业有限公司地块项目房屋征收补偿方案》（正式稿）作为征收决定公告的附件和征收决定一并公布。</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本方案未尽事项依据有关法律、法规和相关政策规定执行。</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1、征收房屋设备迁移费标准</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2、征收房屋附属物补偿标准</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3、征收树木补偿标准</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4、产权调换房屋位置及户型图</w:t>
      </w:r>
    </w:p>
    <w:p>
      <w:pPr>
        <w:spacing w:line="560" w:lineRule="exact"/>
        <w:ind w:firstLine="640" w:firstLineChars="200"/>
        <w:rPr>
          <w:rFonts w:hint="eastAsia" w:ascii="仿宋_GB2312" w:hAnsi="仿宋_GB2312" w:eastAsia="仿宋_GB2312" w:cs="仿宋_GB2312"/>
          <w:sz w:val="32"/>
          <w:szCs w:val="32"/>
          <w:u w:val="none"/>
        </w:rPr>
      </w:pPr>
    </w:p>
    <w:p>
      <w:pPr>
        <w:spacing w:line="560" w:lineRule="exact"/>
        <w:rPr>
          <w:rFonts w:hint="eastAsia" w:ascii="仿宋_GB2312" w:hAnsi="仿宋_GB2312" w:eastAsia="仿宋_GB2312" w:cs="仿宋_GB2312"/>
          <w:sz w:val="32"/>
          <w:szCs w:val="32"/>
          <w:u w:val="none"/>
        </w:rPr>
      </w:pPr>
    </w:p>
    <w:p>
      <w:pPr>
        <w:spacing w:line="560" w:lineRule="exact"/>
        <w:ind w:right="640" w:firstLine="3200" w:firstLineChars="10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济南市天桥区人民政府</w:t>
      </w:r>
    </w:p>
    <w:p>
      <w:pPr>
        <w:spacing w:line="560" w:lineRule="exact"/>
        <w:ind w:right="640" w:firstLine="3520" w:firstLineChars="11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2021年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日</w:t>
      </w:r>
    </w:p>
    <w:p>
      <w:pPr>
        <w:rPr>
          <w:rFonts w:hint="eastAsia" w:ascii="仿宋_GB2312" w:hAnsi="仿宋_GB2312" w:eastAsia="仿宋_GB2312" w:cs="仿宋_GB2312"/>
          <w:sz w:val="32"/>
          <w:szCs w:val="32"/>
          <w:u w:val="none"/>
        </w:rPr>
      </w:pPr>
      <w:r>
        <w:rPr>
          <w:rFonts w:hint="eastAsia" w:ascii="仿宋_GB2312" w:hAnsi="华文中宋" w:eastAsia="仿宋_GB2312" w:cs="仿宋_GB2312"/>
          <w:sz w:val="28"/>
          <w:szCs w:val="28"/>
          <w:u w:val="none"/>
        </w:rPr>
        <w:br w:type="page"/>
      </w:r>
      <w:r>
        <w:rPr>
          <w:rFonts w:hint="eastAsia" w:ascii="仿宋_GB2312" w:hAnsi="仿宋_GB2312" w:eastAsia="仿宋_GB2312" w:cs="仿宋_GB2312"/>
          <w:sz w:val="32"/>
          <w:szCs w:val="32"/>
          <w:u w:val="none"/>
        </w:rPr>
        <w:t>附件1</w:t>
      </w:r>
    </w:p>
    <w:p>
      <w:pPr>
        <w:rPr>
          <w:rFonts w:ascii="仿宋_GB2312" w:hAnsi="仿宋_GB2312" w:eastAsia="仿宋_GB2312" w:cs="仿宋_GB2312"/>
          <w:sz w:val="32"/>
          <w:szCs w:val="32"/>
          <w:highlight w:val="yellow"/>
          <w:u w:val="none"/>
        </w:rPr>
      </w:pPr>
    </w:p>
    <w:tbl>
      <w:tblPr>
        <w:tblStyle w:val="2"/>
        <w:tblpPr w:leftFromText="180" w:rightFromText="180" w:vertAnchor="text" w:horzAnchor="page" w:tblpX="2201" w:tblpY="374"/>
        <w:tblOverlap w:val="never"/>
        <w:tblW w:w="8364" w:type="dxa"/>
        <w:tblInd w:w="0" w:type="dxa"/>
        <w:tblLayout w:type="autofit"/>
        <w:tblCellMar>
          <w:top w:w="0" w:type="dxa"/>
          <w:left w:w="108" w:type="dxa"/>
          <w:bottom w:w="0" w:type="dxa"/>
          <w:right w:w="108" w:type="dxa"/>
        </w:tblCellMar>
      </w:tblPr>
      <w:tblGrid>
        <w:gridCol w:w="3648"/>
        <w:gridCol w:w="1881"/>
        <w:gridCol w:w="2835"/>
      </w:tblGrid>
      <w:tr>
        <w:tblPrEx>
          <w:tblCellMar>
            <w:top w:w="0" w:type="dxa"/>
            <w:left w:w="108" w:type="dxa"/>
            <w:bottom w:w="0" w:type="dxa"/>
            <w:right w:w="108" w:type="dxa"/>
          </w:tblCellMar>
        </w:tblPrEx>
        <w:trPr>
          <w:trHeight w:val="720" w:hRule="atLeast"/>
        </w:trPr>
        <w:tc>
          <w:tcPr>
            <w:tcW w:w="8364" w:type="dxa"/>
            <w:gridSpan w:val="3"/>
            <w:tcBorders>
              <w:top w:val="nil"/>
              <w:left w:val="nil"/>
              <w:bottom w:val="nil"/>
              <w:right w:val="nil"/>
            </w:tcBorders>
            <w:noWrap/>
            <w:vAlign w:val="center"/>
          </w:tcPr>
          <w:p>
            <w:pPr>
              <w:widowControl/>
              <w:jc w:val="center"/>
              <w:rPr>
                <w:rFonts w:hint="eastAsia" w:ascii="仿宋_GB2312" w:hAnsi="仿宋_GB2312" w:eastAsia="仿宋_GB2312" w:cs="仿宋_GB2312"/>
                <w:b/>
                <w:bCs/>
                <w:color w:val="000000"/>
                <w:kern w:val="0"/>
                <w:sz w:val="32"/>
                <w:szCs w:val="32"/>
                <w:u w:val="none"/>
              </w:rPr>
            </w:pPr>
            <w:r>
              <w:rPr>
                <w:rFonts w:hint="eastAsia" w:ascii="仿宋_GB2312" w:hAnsi="仿宋_GB2312" w:eastAsia="仿宋_GB2312" w:cs="仿宋_GB2312"/>
                <w:b/>
                <w:bCs/>
                <w:color w:val="000000"/>
                <w:kern w:val="0"/>
                <w:sz w:val="32"/>
                <w:szCs w:val="32"/>
                <w:u w:val="none"/>
              </w:rPr>
              <w:t xml:space="preserve">征收房屋设备迁移费标准 </w:t>
            </w:r>
          </w:p>
        </w:tc>
      </w:tr>
      <w:tr>
        <w:tblPrEx>
          <w:tblCellMar>
            <w:top w:w="0" w:type="dxa"/>
            <w:left w:w="108" w:type="dxa"/>
            <w:bottom w:w="0" w:type="dxa"/>
            <w:right w:w="108" w:type="dxa"/>
          </w:tblCellMar>
        </w:tblPrEx>
        <w:trPr>
          <w:trHeight w:val="499" w:hRule="atLeast"/>
        </w:trPr>
        <w:tc>
          <w:tcPr>
            <w:tcW w:w="36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名称</w:t>
            </w:r>
          </w:p>
        </w:tc>
        <w:tc>
          <w:tcPr>
            <w:tcW w:w="1881"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单位</w:t>
            </w:r>
          </w:p>
        </w:tc>
        <w:tc>
          <w:tcPr>
            <w:tcW w:w="283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补助费(元) </w:t>
            </w:r>
          </w:p>
        </w:tc>
      </w:tr>
      <w:tr>
        <w:tblPrEx>
          <w:tblCellMar>
            <w:top w:w="0" w:type="dxa"/>
            <w:left w:w="108" w:type="dxa"/>
            <w:bottom w:w="0" w:type="dxa"/>
            <w:right w:w="108" w:type="dxa"/>
          </w:tblCellMar>
        </w:tblPrEx>
        <w:trPr>
          <w:trHeight w:val="499" w:hRule="atLeast"/>
        </w:trPr>
        <w:tc>
          <w:tcPr>
            <w:tcW w:w="36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固定电话</w:t>
            </w:r>
          </w:p>
        </w:tc>
        <w:tc>
          <w:tcPr>
            <w:tcW w:w="188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部</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140</w:t>
            </w:r>
          </w:p>
        </w:tc>
      </w:tr>
      <w:tr>
        <w:tblPrEx>
          <w:tblCellMar>
            <w:top w:w="0" w:type="dxa"/>
            <w:left w:w="108" w:type="dxa"/>
            <w:bottom w:w="0" w:type="dxa"/>
            <w:right w:w="108" w:type="dxa"/>
          </w:tblCellMar>
        </w:tblPrEx>
        <w:trPr>
          <w:trHeight w:val="499" w:hRule="atLeast"/>
        </w:trPr>
        <w:tc>
          <w:tcPr>
            <w:tcW w:w="36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宽带网(住宅) </w:t>
            </w:r>
          </w:p>
        </w:tc>
        <w:tc>
          <w:tcPr>
            <w:tcW w:w="188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端</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180</w:t>
            </w:r>
          </w:p>
        </w:tc>
      </w:tr>
      <w:tr>
        <w:tblPrEx>
          <w:tblCellMar>
            <w:top w:w="0" w:type="dxa"/>
            <w:left w:w="108" w:type="dxa"/>
            <w:bottom w:w="0" w:type="dxa"/>
            <w:right w:w="108" w:type="dxa"/>
          </w:tblCellMar>
        </w:tblPrEx>
        <w:trPr>
          <w:trHeight w:val="499" w:hRule="atLeast"/>
        </w:trPr>
        <w:tc>
          <w:tcPr>
            <w:tcW w:w="36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宽带网(非住宅)</w:t>
            </w:r>
          </w:p>
        </w:tc>
        <w:tc>
          <w:tcPr>
            <w:tcW w:w="188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端</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380</w:t>
            </w:r>
          </w:p>
        </w:tc>
      </w:tr>
      <w:tr>
        <w:tblPrEx>
          <w:tblCellMar>
            <w:top w:w="0" w:type="dxa"/>
            <w:left w:w="108" w:type="dxa"/>
            <w:bottom w:w="0" w:type="dxa"/>
            <w:right w:w="108" w:type="dxa"/>
          </w:tblCellMar>
        </w:tblPrEx>
        <w:trPr>
          <w:trHeight w:val="499" w:hRule="atLeast"/>
        </w:trPr>
        <w:tc>
          <w:tcPr>
            <w:tcW w:w="36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空调 </w:t>
            </w:r>
          </w:p>
        </w:tc>
        <w:tc>
          <w:tcPr>
            <w:tcW w:w="188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台</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400</w:t>
            </w:r>
          </w:p>
        </w:tc>
      </w:tr>
      <w:tr>
        <w:tblPrEx>
          <w:tblCellMar>
            <w:top w:w="0" w:type="dxa"/>
            <w:left w:w="108" w:type="dxa"/>
            <w:bottom w:w="0" w:type="dxa"/>
            <w:right w:w="108" w:type="dxa"/>
          </w:tblCellMar>
        </w:tblPrEx>
        <w:trPr>
          <w:trHeight w:val="499" w:hRule="atLeast"/>
        </w:trPr>
        <w:tc>
          <w:tcPr>
            <w:tcW w:w="3648"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太阳能热水器 </w:t>
            </w:r>
          </w:p>
        </w:tc>
        <w:tc>
          <w:tcPr>
            <w:tcW w:w="188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台</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400</w:t>
            </w:r>
          </w:p>
        </w:tc>
      </w:tr>
      <w:tr>
        <w:tblPrEx>
          <w:tblCellMar>
            <w:top w:w="0" w:type="dxa"/>
            <w:left w:w="108" w:type="dxa"/>
            <w:bottom w:w="0" w:type="dxa"/>
            <w:right w:w="108" w:type="dxa"/>
          </w:tblCellMar>
        </w:tblPrEx>
        <w:trPr>
          <w:trHeight w:val="499" w:hRule="atLeast"/>
        </w:trPr>
        <w:tc>
          <w:tcPr>
            <w:tcW w:w="8364" w:type="dxa"/>
            <w:gridSpan w:val="3"/>
            <w:tcBorders>
              <w:top w:val="single" w:color="auto" w:sz="4" w:space="0"/>
              <w:left w:val="single" w:color="auto" w:sz="4" w:space="0"/>
              <w:bottom w:val="single" w:color="auto" w:sz="4" w:space="0"/>
              <w:right w:val="single" w:color="000000" w:sz="4" w:space="0"/>
            </w:tcBorders>
            <w:noWrap/>
            <w:vAlign w:val="center"/>
          </w:tcPr>
          <w:p>
            <w:pPr>
              <w:widowControl/>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注:其他大型设备设施迁移费及搬迁损失补偿费,由具有相关资质的评估机构评估确定。 </w:t>
            </w:r>
          </w:p>
        </w:tc>
      </w:tr>
    </w:tbl>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p>
      <w:pPr>
        <w:rPr>
          <w:rFonts w:ascii="仿宋_GB2312" w:hAnsi="仿宋_GB2312" w:eastAsia="仿宋_GB2312" w:cs="仿宋_GB2312"/>
          <w:sz w:val="32"/>
          <w:szCs w:val="32"/>
          <w:highlight w:val="yellow"/>
          <w:u w:val="none"/>
        </w:rPr>
      </w:pPr>
    </w:p>
    <w:tbl>
      <w:tblPr>
        <w:tblStyle w:val="2"/>
        <w:tblpPr w:leftFromText="180" w:rightFromText="180" w:vertAnchor="text" w:horzAnchor="page" w:tblpX="1736" w:tblpY="514"/>
        <w:tblOverlap w:val="never"/>
        <w:tblW w:w="8520" w:type="dxa"/>
        <w:tblInd w:w="0" w:type="dxa"/>
        <w:tblLayout w:type="autofit"/>
        <w:tblCellMar>
          <w:top w:w="0" w:type="dxa"/>
          <w:left w:w="108" w:type="dxa"/>
          <w:bottom w:w="0" w:type="dxa"/>
          <w:right w:w="108" w:type="dxa"/>
        </w:tblCellMar>
      </w:tblPr>
      <w:tblGrid>
        <w:gridCol w:w="3686"/>
        <w:gridCol w:w="1843"/>
        <w:gridCol w:w="2991"/>
      </w:tblGrid>
      <w:tr>
        <w:tblPrEx>
          <w:tblCellMar>
            <w:top w:w="0" w:type="dxa"/>
            <w:left w:w="108" w:type="dxa"/>
            <w:bottom w:w="0" w:type="dxa"/>
            <w:right w:w="108" w:type="dxa"/>
          </w:tblCellMar>
        </w:tblPrEx>
        <w:trPr>
          <w:trHeight w:val="615" w:hRule="atLeast"/>
        </w:trPr>
        <w:tc>
          <w:tcPr>
            <w:tcW w:w="8520" w:type="dxa"/>
            <w:gridSpan w:val="3"/>
            <w:tcBorders>
              <w:top w:val="nil"/>
              <w:left w:val="nil"/>
              <w:bottom w:val="nil"/>
              <w:right w:val="nil"/>
            </w:tcBorders>
            <w:noWrap/>
            <w:vAlign w:val="center"/>
          </w:tcPr>
          <w:p>
            <w:pPr>
              <w:widowControl/>
              <w:jc w:val="both"/>
              <w:rPr>
                <w:rFonts w:hint="eastAsia" w:ascii="仿宋_GB2312" w:hAnsi="仿宋_GB2312" w:eastAsia="仿宋_GB2312" w:cs="仿宋_GB2312"/>
                <w:b/>
                <w:bCs/>
                <w:color w:val="000000"/>
                <w:kern w:val="0"/>
                <w:sz w:val="32"/>
                <w:szCs w:val="32"/>
                <w:u w:val="none"/>
              </w:rPr>
            </w:pPr>
            <w:r>
              <w:rPr>
                <w:rFonts w:hint="eastAsia" w:ascii="仿宋_GB2312" w:hAnsi="仿宋_GB2312" w:eastAsia="仿宋_GB2312" w:cs="仿宋_GB2312"/>
                <w:sz w:val="32"/>
                <w:szCs w:val="32"/>
                <w:u w:val="none"/>
                <w:lang w:eastAsia="zh-CN"/>
              </w:rPr>
              <w:t>附件</w:t>
            </w:r>
            <w:r>
              <w:rPr>
                <w:rFonts w:hint="eastAsia" w:ascii="仿宋_GB2312" w:hAnsi="仿宋_GB2312" w:eastAsia="仿宋_GB2312" w:cs="仿宋_GB2312"/>
                <w:sz w:val="32"/>
                <w:szCs w:val="32"/>
                <w:u w:val="none"/>
                <w:lang w:val="en-US" w:eastAsia="zh-CN"/>
              </w:rPr>
              <w:t xml:space="preserve">2  </w:t>
            </w:r>
            <w:r>
              <w:rPr>
                <w:rFonts w:hint="eastAsia" w:ascii="仿宋_GB2312" w:hAnsi="仿宋_GB2312" w:eastAsia="仿宋_GB2312" w:cs="仿宋_GB2312"/>
                <w:b/>
                <w:bCs/>
                <w:color w:val="000000"/>
                <w:kern w:val="0"/>
                <w:sz w:val="32"/>
                <w:szCs w:val="32"/>
                <w:u w:val="none"/>
                <w:lang w:val="en-US" w:eastAsia="zh-CN"/>
              </w:rPr>
              <w:t xml:space="preserve">    </w:t>
            </w:r>
            <w:r>
              <w:rPr>
                <w:rFonts w:hint="eastAsia" w:ascii="仿宋_GB2312" w:hAnsi="仿宋_GB2312" w:eastAsia="仿宋_GB2312" w:cs="仿宋_GB2312"/>
                <w:b/>
                <w:bCs/>
                <w:color w:val="000000"/>
                <w:kern w:val="0"/>
                <w:sz w:val="32"/>
                <w:szCs w:val="32"/>
                <w:u w:val="none"/>
              </w:rPr>
              <w:t xml:space="preserve">征收房屋附属物补偿标准 </w:t>
            </w:r>
          </w:p>
        </w:tc>
      </w:tr>
      <w:tr>
        <w:tblPrEx>
          <w:tblCellMar>
            <w:top w:w="0" w:type="dxa"/>
            <w:left w:w="108" w:type="dxa"/>
            <w:bottom w:w="0" w:type="dxa"/>
            <w:right w:w="108" w:type="dxa"/>
          </w:tblCellMar>
        </w:tblPrEx>
        <w:trPr>
          <w:trHeight w:val="499" w:hRule="atLeast"/>
        </w:trPr>
        <w:tc>
          <w:tcPr>
            <w:tcW w:w="36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32"/>
                <w:szCs w:val="32"/>
                <w:u w:val="none"/>
              </w:rPr>
            </w:pPr>
            <w:r>
              <w:rPr>
                <w:rFonts w:hint="eastAsia" w:ascii="仿宋_GB2312" w:hAnsi="仿宋_GB2312" w:eastAsia="仿宋_GB2312" w:cs="仿宋_GB2312"/>
                <w:b/>
                <w:bCs/>
                <w:color w:val="000000"/>
                <w:kern w:val="0"/>
                <w:sz w:val="32"/>
                <w:szCs w:val="32"/>
                <w:u w:val="none"/>
              </w:rPr>
              <w:t>项目名称</w:t>
            </w: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000000"/>
                <w:kern w:val="0"/>
                <w:sz w:val="32"/>
                <w:szCs w:val="32"/>
                <w:u w:val="none"/>
              </w:rPr>
            </w:pPr>
            <w:r>
              <w:rPr>
                <w:rFonts w:hint="eastAsia" w:ascii="仿宋_GB2312" w:hAnsi="仿宋_GB2312" w:eastAsia="仿宋_GB2312" w:cs="仿宋_GB2312"/>
                <w:b/>
                <w:bCs/>
                <w:color w:val="000000"/>
                <w:kern w:val="0"/>
                <w:sz w:val="32"/>
                <w:szCs w:val="32"/>
                <w:u w:val="none"/>
              </w:rPr>
              <w:t>单位</w:t>
            </w:r>
          </w:p>
        </w:tc>
        <w:tc>
          <w:tcPr>
            <w:tcW w:w="2991"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000000"/>
                <w:kern w:val="0"/>
                <w:sz w:val="32"/>
                <w:szCs w:val="32"/>
                <w:u w:val="none"/>
              </w:rPr>
            </w:pPr>
            <w:r>
              <w:rPr>
                <w:rFonts w:hint="eastAsia" w:ascii="仿宋_GB2312" w:hAnsi="仿宋_GB2312" w:eastAsia="仿宋_GB2312" w:cs="仿宋_GB2312"/>
                <w:b/>
                <w:bCs/>
                <w:color w:val="000000"/>
                <w:kern w:val="0"/>
                <w:sz w:val="32"/>
                <w:szCs w:val="32"/>
                <w:u w:val="none"/>
              </w:rPr>
              <w:t>单价(元)</w:t>
            </w:r>
          </w:p>
        </w:tc>
      </w:tr>
      <w:tr>
        <w:trPr>
          <w:trHeight w:val="499" w:hRule="atLeast"/>
        </w:trPr>
        <w:tc>
          <w:tcPr>
            <w:tcW w:w="36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24 砖院墙 </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Segoe UI Emoji" w:hAnsi="Segoe UI Emoji" w:eastAsia="等线"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160-180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12 砖院墙</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80-100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砖石(乱石)院墙</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180-200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砖铺地面硬化</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60-80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水泥地面硬化 </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60-90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防盗网</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80-120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栅栏式防盗门 </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个</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300-500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实体和复合式防盗门</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个</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800-1200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塑钢、彩铝窗</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180-220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断桥铝窗</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300-400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卷帘门</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200-260 </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玻璃钢防雨罩</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60-90</w:t>
            </w:r>
          </w:p>
        </w:tc>
      </w:tr>
      <w:tr>
        <w:tblPrEx>
          <w:tblCellMar>
            <w:top w:w="0" w:type="dxa"/>
            <w:left w:w="108" w:type="dxa"/>
            <w:bottom w:w="0" w:type="dxa"/>
            <w:right w:w="108" w:type="dxa"/>
          </w:tblCellMar>
        </w:tblPrEx>
        <w:trPr>
          <w:trHeight w:val="499" w:hRule="atLeast"/>
        </w:trPr>
        <w:tc>
          <w:tcPr>
            <w:tcW w:w="3686"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雨搭 </w:t>
            </w:r>
          </w:p>
        </w:tc>
        <w:tc>
          <w:tcPr>
            <w:tcW w:w="1843"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Segoe UI Emoji" w:hAnsi="Segoe UI Emoji" w:eastAsia="Segoe UI Emoji" w:cs="仿宋_GB2312"/>
                <w:color w:val="000000"/>
                <w:kern w:val="0"/>
                <w:sz w:val="32"/>
                <w:szCs w:val="32"/>
                <w:u w:val="none"/>
              </w:rPr>
              <w:t>㎡</w:t>
            </w:r>
          </w:p>
        </w:tc>
        <w:tc>
          <w:tcPr>
            <w:tcW w:w="299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50-70 </w:t>
            </w:r>
          </w:p>
        </w:tc>
      </w:tr>
      <w:tr>
        <w:tblPrEx>
          <w:tblCellMar>
            <w:top w:w="0" w:type="dxa"/>
            <w:left w:w="108" w:type="dxa"/>
            <w:bottom w:w="0" w:type="dxa"/>
            <w:right w:w="108" w:type="dxa"/>
          </w:tblCellMar>
        </w:tblPrEx>
        <w:trPr>
          <w:trHeight w:val="1365" w:hRule="atLeast"/>
        </w:trPr>
        <w:tc>
          <w:tcPr>
            <w:tcW w:w="852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none"/>
              </w:rPr>
              <w:t>注:1、被征收人自行拆除的不予补偿。</w:t>
            </w:r>
          </w:p>
          <w:p>
            <w:pPr>
              <w:widowControl/>
              <w:jc w:val="left"/>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none"/>
              </w:rPr>
              <w:t xml:space="preserve">   2、被征收房屋装修部分评估中已包含的项目不再另行补偿。 </w:t>
            </w:r>
          </w:p>
          <w:p>
            <w:pPr>
              <w:widowControl/>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3、未列明的其他房屋附属物以及被征收人对参照以上房屋附属 物作价标准补偿有异议的,可委托具有相关资质的评估机构评估后予以补偿。  </w:t>
            </w:r>
          </w:p>
        </w:tc>
      </w:tr>
    </w:tbl>
    <w:tbl>
      <w:tblPr>
        <w:tblStyle w:val="2"/>
        <w:tblpPr w:leftFromText="180" w:rightFromText="180" w:vertAnchor="text" w:horzAnchor="page" w:tblpX="1946" w:tblpY="190"/>
        <w:tblOverlap w:val="never"/>
        <w:tblW w:w="8820" w:type="dxa"/>
        <w:tblInd w:w="0" w:type="dxa"/>
        <w:tblLayout w:type="autofit"/>
        <w:tblCellMar>
          <w:top w:w="0" w:type="dxa"/>
          <w:left w:w="108" w:type="dxa"/>
          <w:bottom w:w="0" w:type="dxa"/>
          <w:right w:w="108" w:type="dxa"/>
        </w:tblCellMar>
      </w:tblPr>
      <w:tblGrid>
        <w:gridCol w:w="993"/>
        <w:gridCol w:w="2835"/>
        <w:gridCol w:w="2268"/>
        <w:gridCol w:w="2724"/>
      </w:tblGrid>
      <w:tr>
        <w:tblPrEx>
          <w:tblCellMar>
            <w:top w:w="0" w:type="dxa"/>
            <w:left w:w="108" w:type="dxa"/>
            <w:bottom w:w="0" w:type="dxa"/>
            <w:right w:w="108" w:type="dxa"/>
          </w:tblCellMar>
        </w:tblPrEx>
        <w:trPr>
          <w:trHeight w:val="549" w:hRule="atLeast"/>
        </w:trPr>
        <w:tc>
          <w:tcPr>
            <w:tcW w:w="8820" w:type="dxa"/>
            <w:gridSpan w:val="4"/>
            <w:tcBorders>
              <w:top w:val="nil"/>
              <w:left w:val="nil"/>
              <w:bottom w:val="nil"/>
              <w:right w:val="nil"/>
            </w:tcBorders>
            <w:noWrap/>
            <w:vAlign w:val="center"/>
          </w:tcPr>
          <w:p>
            <w:pPr>
              <w:widowControl/>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lang w:eastAsia="zh-CN"/>
              </w:rPr>
              <w:t>附件</w:t>
            </w:r>
            <w:r>
              <w:rPr>
                <w:rFonts w:hint="eastAsia" w:ascii="仿宋_GB2312" w:hAnsi="仿宋_GB2312" w:eastAsia="仿宋_GB2312" w:cs="仿宋_GB2312"/>
                <w:color w:val="000000"/>
                <w:kern w:val="0"/>
                <w:sz w:val="32"/>
                <w:szCs w:val="32"/>
                <w:u w:val="none"/>
                <w:lang w:val="en-US" w:eastAsia="zh-CN"/>
              </w:rPr>
              <w:t xml:space="preserve">3          </w:t>
            </w:r>
            <w:r>
              <w:rPr>
                <w:rFonts w:hint="eastAsia" w:ascii="仿宋_GB2312" w:hAnsi="仿宋_GB2312" w:eastAsia="仿宋_GB2312" w:cs="仿宋_GB2312"/>
                <w:b/>
                <w:bCs/>
                <w:color w:val="000000"/>
                <w:kern w:val="0"/>
                <w:sz w:val="32"/>
                <w:szCs w:val="32"/>
                <w:u w:val="none"/>
                <w:lang w:val="en-US" w:eastAsia="zh-CN"/>
              </w:rPr>
              <w:t xml:space="preserve"> </w:t>
            </w:r>
            <w:r>
              <w:rPr>
                <w:rFonts w:hint="eastAsia" w:ascii="仿宋_GB2312" w:hAnsi="仿宋_GB2312" w:eastAsia="仿宋_GB2312" w:cs="仿宋_GB2312"/>
                <w:b/>
                <w:bCs/>
                <w:color w:val="000000"/>
                <w:kern w:val="0"/>
                <w:sz w:val="32"/>
                <w:szCs w:val="32"/>
                <w:u w:val="none"/>
              </w:rPr>
              <w:t>征收树木补偿标准</w:t>
            </w:r>
          </w:p>
        </w:tc>
      </w:tr>
      <w:tr>
        <w:tblPrEx>
          <w:tblCellMar>
            <w:top w:w="0" w:type="dxa"/>
            <w:left w:w="108" w:type="dxa"/>
            <w:bottom w:w="0" w:type="dxa"/>
            <w:right w:w="108" w:type="dxa"/>
          </w:tblCellMar>
        </w:tblPrEx>
        <w:trPr>
          <w:trHeight w:val="755" w:hRule="atLeast"/>
        </w:trPr>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名称</w:t>
            </w:r>
          </w:p>
        </w:tc>
        <w:tc>
          <w:tcPr>
            <w:tcW w:w="283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类别</w:t>
            </w:r>
          </w:p>
        </w:tc>
        <w:tc>
          <w:tcPr>
            <w:tcW w:w="226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补偿标准</w:t>
            </w:r>
          </w:p>
        </w:tc>
        <w:tc>
          <w:tcPr>
            <w:tcW w:w="2724"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备注</w:t>
            </w:r>
          </w:p>
        </w:tc>
      </w:tr>
      <w:tr>
        <w:tblPrEx>
          <w:tblCellMar>
            <w:top w:w="0" w:type="dxa"/>
            <w:left w:w="108" w:type="dxa"/>
            <w:bottom w:w="0" w:type="dxa"/>
            <w:right w:w="108" w:type="dxa"/>
          </w:tblCellMar>
        </w:tblPrEx>
        <w:trPr>
          <w:trHeight w:val="499" w:hRule="atLeast"/>
        </w:trPr>
        <w:tc>
          <w:tcPr>
            <w:tcW w:w="993" w:type="dxa"/>
            <w:vMerge w:val="restart"/>
            <w:tcBorders>
              <w:top w:val="nil"/>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乔木</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胸径5厘米以下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10-30元/棵</w:t>
            </w:r>
          </w:p>
        </w:tc>
        <w:tc>
          <w:tcPr>
            <w:tcW w:w="27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w:t>
            </w: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胸径6-10厘米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30-60元/棵 </w:t>
            </w:r>
          </w:p>
        </w:tc>
        <w:tc>
          <w:tcPr>
            <w:tcW w:w="27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w:t>
            </w: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胸径11-15厘米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60-70元/棵</w:t>
            </w:r>
          </w:p>
        </w:tc>
        <w:tc>
          <w:tcPr>
            <w:tcW w:w="27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w:t>
            </w: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胸径16一20厘米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70-120元/棵 </w:t>
            </w:r>
          </w:p>
        </w:tc>
        <w:tc>
          <w:tcPr>
            <w:tcW w:w="27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w:t>
            </w: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胸径21-25厘米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120-240元/棵 </w:t>
            </w:r>
          </w:p>
        </w:tc>
        <w:tc>
          <w:tcPr>
            <w:tcW w:w="27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w:t>
            </w:r>
          </w:p>
        </w:tc>
      </w:tr>
      <w:tr>
        <w:tblPrEx>
          <w:tblCellMar>
            <w:top w:w="0" w:type="dxa"/>
            <w:left w:w="108" w:type="dxa"/>
            <w:bottom w:w="0" w:type="dxa"/>
            <w:right w:w="108" w:type="dxa"/>
          </w:tblCellMar>
        </w:tblPrEx>
        <w:trPr>
          <w:trHeight w:val="1008"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胸径26-30厘米</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240-360元/棵 </w:t>
            </w:r>
          </w:p>
        </w:tc>
        <w:tc>
          <w:tcPr>
            <w:tcW w:w="27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w:t>
            </w: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胸径31-40厘米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360-480元/棵 </w:t>
            </w:r>
          </w:p>
        </w:tc>
        <w:tc>
          <w:tcPr>
            <w:tcW w:w="27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w:t>
            </w: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胸径40厘米以上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480-600元/棵 </w:t>
            </w:r>
          </w:p>
        </w:tc>
        <w:tc>
          <w:tcPr>
            <w:tcW w:w="27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w:t>
            </w:r>
          </w:p>
        </w:tc>
      </w:tr>
      <w:tr>
        <w:tblPrEx>
          <w:tblCellMar>
            <w:top w:w="0" w:type="dxa"/>
            <w:left w:w="108" w:type="dxa"/>
            <w:bottom w:w="0" w:type="dxa"/>
            <w:right w:w="108" w:type="dxa"/>
          </w:tblCellMar>
        </w:tblPrEx>
        <w:trPr>
          <w:trHeight w:val="499" w:hRule="atLeast"/>
        </w:trPr>
        <w:tc>
          <w:tcPr>
            <w:tcW w:w="993" w:type="dxa"/>
            <w:vMerge w:val="restart"/>
            <w:tcBorders>
              <w:top w:val="nil"/>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灌木</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一年生以内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10-20元/墩 </w:t>
            </w:r>
          </w:p>
        </w:tc>
        <w:tc>
          <w:tcPr>
            <w:tcW w:w="2724"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1.每墩出条数按 10-20 根计算。</w:t>
            </w:r>
          </w:p>
          <w:p>
            <w:pPr>
              <w:widowControl/>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2.观赏经济类可提高 40%-60%。 </w:t>
            </w: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一年生以上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20-30元/墩 </w:t>
            </w:r>
          </w:p>
        </w:tc>
        <w:tc>
          <w:tcPr>
            <w:tcW w:w="27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r>
      <w:tr>
        <w:tblPrEx>
          <w:tblCellMar>
            <w:top w:w="0" w:type="dxa"/>
            <w:left w:w="108" w:type="dxa"/>
            <w:bottom w:w="0" w:type="dxa"/>
            <w:right w:w="108" w:type="dxa"/>
          </w:tblCellMar>
        </w:tblPrEx>
        <w:trPr>
          <w:trHeight w:val="499" w:hRule="atLeast"/>
        </w:trPr>
        <w:tc>
          <w:tcPr>
            <w:tcW w:w="993" w:type="dxa"/>
            <w:vMerge w:val="restart"/>
            <w:tcBorders>
              <w:top w:val="nil"/>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果树</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幼龄期(区分树种)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60-90元/棵</w:t>
            </w:r>
          </w:p>
        </w:tc>
        <w:tc>
          <w:tcPr>
            <w:tcW w:w="27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 包括苹果、梨、桃、石 榴、山楂、杏、无花果、 枣、柿、樱桃、核桃等。 </w:t>
            </w: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初果期(区分树种)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200-300元/棵 </w:t>
            </w:r>
          </w:p>
        </w:tc>
        <w:tc>
          <w:tcPr>
            <w:tcW w:w="27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r>
      <w:tr>
        <w:tblPrEx>
          <w:tblCellMar>
            <w:top w:w="0" w:type="dxa"/>
            <w:left w:w="108" w:type="dxa"/>
            <w:bottom w:w="0" w:type="dxa"/>
            <w:right w:w="108" w:type="dxa"/>
          </w:tblCellMar>
        </w:tblPrEx>
        <w:trPr>
          <w:trHeight w:val="499"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盛果期(区分树种)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400-800元/棵 </w:t>
            </w:r>
          </w:p>
        </w:tc>
        <w:tc>
          <w:tcPr>
            <w:tcW w:w="27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衰老期(区分树种) </w:t>
            </w:r>
          </w:p>
        </w:tc>
        <w:tc>
          <w:tcPr>
            <w:tcW w:w="226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180-300元/棵 </w:t>
            </w:r>
          </w:p>
        </w:tc>
        <w:tc>
          <w:tcPr>
            <w:tcW w:w="27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32"/>
                <w:szCs w:val="32"/>
                <w:u w:val="none"/>
              </w:rPr>
            </w:pPr>
          </w:p>
        </w:tc>
      </w:tr>
      <w:tr>
        <w:tblPrEx>
          <w:tblCellMar>
            <w:top w:w="0" w:type="dxa"/>
            <w:left w:w="108" w:type="dxa"/>
            <w:bottom w:w="0" w:type="dxa"/>
            <w:right w:w="108" w:type="dxa"/>
          </w:tblCellMar>
        </w:tblPrEx>
        <w:trPr>
          <w:trHeight w:val="783" w:hRule="atLeast"/>
        </w:trPr>
        <w:tc>
          <w:tcPr>
            <w:tcW w:w="8820"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注:未列明的其他树木补偿标准,可由具有相关资质的评估机构评估确定。 </w:t>
            </w:r>
          </w:p>
        </w:tc>
      </w:tr>
    </w:tbl>
    <w:p>
      <w:r>
        <w:rPr>
          <w:rFonts w:hint="eastAsia" w:ascii="仿宋_GB2312" w:hAnsi="仿宋_GB2312" w:eastAsia="仿宋_GB2312" w:cs="仿宋_GB2312"/>
          <w:sz w:val="32"/>
          <w:szCs w:val="32"/>
          <w:u w:val="none"/>
          <w:lang w:val="en-US" w:eastAsia="zh-CN"/>
        </w:rPr>
        <w:t>附件</w:t>
      </w:r>
      <w:r>
        <w:rPr>
          <w:rFonts w:hint="eastAsia" w:ascii="仿宋_GB2312" w:hAnsi="仿宋_GB2312" w:eastAsia="仿宋_GB2312" w:cs="仿宋_GB2312"/>
          <w:sz w:val="32"/>
          <w:szCs w:val="32"/>
          <w:u w:val="none"/>
        </w:rPr>
        <w:t xml:space="preserve">4、产权调换房屋位置及户型图（现场公示）                </w:t>
      </w:r>
      <w:r>
        <w:rPr>
          <w:rFonts w:hint="eastAsia" w:ascii="仿宋_GB2312" w:eastAsia="仿宋_GB2312"/>
          <w:sz w:val="32"/>
          <w:szCs w:val="32"/>
          <w:u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__WRD_EMBED_SUB_40">
    <w:altName w:val="宋体"/>
    <w:panose1 w:val="02010609030101010101"/>
    <w:charset w:val="86"/>
    <w:family w:val="modern"/>
    <w:pitch w:val="default"/>
    <w:sig w:usb0="00000000" w:usb1="0000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72170"/>
    <w:multiLevelType w:val="singleLevel"/>
    <w:tmpl w:val="8327217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NjY0ZWE3YWUyOTEyM2NlNDk3YzgxODRjNzNhYTYifQ=="/>
  </w:docVars>
  <w:rsids>
    <w:rsidRoot w:val="2FA43810"/>
    <w:rsid w:val="2FA43810"/>
    <w:rsid w:val="45FB7E7A"/>
    <w:rsid w:val="5C8B6F09"/>
    <w:rsid w:val="632B265D"/>
    <w:rsid w:val="74F6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2021-12-13T08:19:00Z</dcterms:created>
  <dc:creator>幻影</dc:creator>
  <cp:lastModifiedBy>M-mmmxy</cp:lastModifiedBy>
  <dcterms:modified xsi:type="dcterms:W3CDTF">2023-09-14T00:36:43Z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C109688E82124963AFD5BBA2ECB52541_13</vt:lpwstr>
  </property>
</Properties>
</file>