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eastAsia="zh-CN"/>
        </w:rPr>
        <w:t>背景介绍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济南晨光纸业有限公司地块项目征收范围内房屋建成年代久远，配套设施不完善，为加快该地段配套设施建设，改善群众的生活居住条件，进一步完善城市功能，济南市天桥区人民政府拟对该项目建设用地范围内国有土地上房屋及附属物实施征收，制定本方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eastAsia="zh-CN"/>
        </w:rPr>
        <w:t>二、房屋征收与补偿的法律依据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1、《国有土地上房屋征收与补偿条例》（国务院令第590号）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2、《山东省国有土地上房屋征收与补偿条例》（山东省人大常委会公告第67号）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3、《济南市国有土地上房屋征收与补偿办法》（市政府令第248号）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4、《&lt;济南市国有土地上房屋征收与补偿办法&gt;实施细则》（济政办发〔2021〕2号）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w:t>
      </w:r>
      <w:bookmarkStart w:id="0" w:name="_Toc394326039"/>
      <w:r>
        <w:rPr>
          <w:rFonts w:hint="eastAsia" w:ascii="仿宋_GB2312" w:hAnsi="仿宋_GB2312" w:eastAsia="仿宋_GB2312" w:cs="仿宋_GB2312"/>
          <w:sz w:val="32"/>
          <w:szCs w:val="32"/>
          <w:u w:val="none"/>
        </w:rPr>
        <w:t>《济南市国有土地上房屋征收范围内未登记建筑认定和处理办法</w:t>
      </w:r>
      <w:bookmarkEnd w:id="0"/>
      <w:bookmarkStart w:id="1" w:name="_Toc339269978"/>
      <w:r>
        <w:rPr>
          <w:rFonts w:hint="eastAsia" w:ascii="仿宋_GB2312" w:hAnsi="仿宋_GB2312" w:eastAsia="仿宋_GB2312" w:cs="仿宋_GB2312"/>
          <w:sz w:val="32"/>
          <w:szCs w:val="32"/>
          <w:u w:val="none"/>
        </w:rPr>
        <w:t>》（济城执发〔2017〕4号）</w:t>
      </w:r>
      <w:bookmarkEnd w:id="1"/>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w:t>
      </w:r>
      <w:bookmarkStart w:id="2" w:name="_Toc339269986"/>
      <w:bookmarkStart w:id="3" w:name="_Toc394326042"/>
      <w:bookmarkStart w:id="4" w:name="_Toc395101391"/>
      <w:r>
        <w:rPr>
          <w:rFonts w:hint="eastAsia" w:ascii="仿宋_GB2312" w:hAnsi="仿宋_GB2312" w:eastAsia="仿宋_GB2312" w:cs="仿宋_GB2312"/>
          <w:sz w:val="32"/>
          <w:szCs w:val="32"/>
          <w:u w:val="none"/>
        </w:rPr>
        <w:t>《关于做好被拆迁人或公有房屋承租人享受最低套型面积标准资格认定工作的若干意见</w:t>
      </w:r>
      <w:bookmarkEnd w:id="2"/>
      <w:bookmarkStart w:id="5" w:name="_Toc339269987"/>
      <w:r>
        <w:rPr>
          <w:rFonts w:hint="eastAsia" w:ascii="仿宋_GB2312" w:hAnsi="仿宋_GB2312" w:eastAsia="仿宋_GB2312" w:cs="仿宋_GB2312"/>
          <w:sz w:val="32"/>
          <w:szCs w:val="32"/>
          <w:u w:val="none"/>
        </w:rPr>
        <w:t>》（济建发〔2011〕1号）</w:t>
      </w:r>
      <w:bookmarkEnd w:id="3"/>
      <w:bookmarkEnd w:id="4"/>
      <w:bookmarkEnd w:id="5"/>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、《济南市国有土地上房屋征收评估技术规范》（济建发〔2019〕26号）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lang w:eastAsia="zh-CN"/>
        </w:rPr>
        <w:t>三</w:t>
      </w:r>
      <w:r>
        <w:rPr>
          <w:rFonts w:hint="eastAsia" w:ascii="黑体" w:hAnsi="黑体" w:eastAsia="黑体" w:cs="黑体"/>
          <w:b w:val="0"/>
          <w:bCs w:val="0"/>
          <w:sz w:val="32"/>
          <w:szCs w:val="32"/>
          <w:u w:val="none"/>
        </w:rPr>
        <w:t>、房屋征收范围及征收范围内被征收房屋情况</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（一）房屋征收范围</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东至东工商河路，西至济泺路，南至交通厅街，北至中恒商城。</w:t>
      </w:r>
    </w:p>
    <w:p>
      <w:pPr>
        <w:keepNext w:val="0"/>
        <w:keepLines w:val="0"/>
        <w:pageBreakBefore w:val="0"/>
        <w:widowControl/>
        <w:kinsoku/>
        <w:wordWrap/>
        <w:overflowPunct/>
        <w:topLinePunct w:val="0"/>
        <w:autoSpaceDE/>
        <w:autoSpaceDN/>
        <w:bidi w:val="0"/>
        <w:adjustRightInd/>
        <w:snapToGrid/>
        <w:spacing w:line="590" w:lineRule="exact"/>
        <w:ind w:firstLine="643"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（二）房屋征收范围内被征收房屋情况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根据摸底调查情况，该项目涉及居民个人住宅807户建筑面积</w:t>
      </w:r>
      <w:r>
        <w:rPr>
          <w:rFonts w:hint="eastAsia" w:ascii="仿宋_GB2312" w:hAnsi="仿宋_GB2312" w:eastAsia="仿宋_GB2312" w:cs="仿宋_GB2312"/>
          <w:sz w:val="32"/>
          <w:szCs w:val="32"/>
          <w:u w:val="none"/>
          <w:lang w:val="en-US" w:eastAsia="zh-CN"/>
        </w:rPr>
        <w:t>36356.92</w:t>
      </w:r>
      <w:r>
        <w:rPr>
          <w:rFonts w:hint="eastAsia" w:ascii="仿宋_GB2312" w:hAnsi="仿宋_GB2312" w:eastAsia="仿宋_GB2312" w:cs="仿宋_GB2312"/>
          <w:sz w:val="32"/>
          <w:szCs w:val="32"/>
          <w:highlight w:val="none"/>
          <w:u w:val="none"/>
        </w:rPr>
        <w:t>平方米；非住宅1户，建筑面积</w:t>
      </w:r>
      <w:r>
        <w:rPr>
          <w:rFonts w:hint="eastAsia" w:ascii="仿宋_GB2312" w:hAnsi="仿宋_GB2312" w:eastAsia="仿宋_GB2312" w:cs="仿宋_GB2312"/>
          <w:sz w:val="32"/>
          <w:szCs w:val="32"/>
          <w:highlight w:val="none"/>
          <w:u w:val="none"/>
          <w:lang w:val="en-US" w:eastAsia="zh-CN"/>
        </w:rPr>
        <w:t>118999.18</w:t>
      </w:r>
      <w:r>
        <w:rPr>
          <w:rFonts w:hint="eastAsia" w:ascii="仿宋_GB2312" w:hAnsi="仿宋_GB2312" w:eastAsia="仿宋_GB2312" w:cs="仿宋_GB2312"/>
          <w:sz w:val="32"/>
          <w:szCs w:val="32"/>
          <w:highlight w:val="none"/>
          <w:u w:val="none"/>
        </w:rPr>
        <w:t>平方米(包含未登记面积</w:t>
      </w:r>
      <w:r>
        <w:rPr>
          <w:rFonts w:hint="eastAsia" w:ascii="仿宋_GB2312" w:hAnsi="仿宋_GB2312" w:eastAsia="仿宋_GB2312" w:cs="仿宋_GB2312"/>
          <w:sz w:val="32"/>
          <w:szCs w:val="32"/>
          <w:highlight w:val="none"/>
          <w:u w:val="none"/>
          <w:lang w:val="en-US" w:eastAsia="zh-CN"/>
        </w:rPr>
        <w:t>28491.09</w:t>
      </w:r>
      <w:r>
        <w:rPr>
          <w:rFonts w:hint="eastAsia" w:ascii="仿宋_GB2312" w:hAnsi="仿宋_GB2312" w:eastAsia="仿宋_GB2312" w:cs="仿宋_GB2312"/>
          <w:sz w:val="32"/>
          <w:szCs w:val="32"/>
          <w:highlight w:val="none"/>
          <w:u w:val="none"/>
        </w:rPr>
        <w:t>平方米,附属房产</w:t>
      </w:r>
      <w:r>
        <w:rPr>
          <w:rFonts w:hint="eastAsia" w:ascii="仿宋_GB2312" w:hAnsi="仿宋_GB2312" w:eastAsia="仿宋_GB2312" w:cs="仿宋_GB2312"/>
          <w:sz w:val="32"/>
          <w:szCs w:val="32"/>
          <w:highlight w:val="none"/>
          <w:u w:val="none"/>
          <w:lang w:val="en-US" w:eastAsia="zh-CN"/>
        </w:rPr>
        <w:t>44597.39</w:t>
      </w:r>
      <w:r>
        <w:rPr>
          <w:rFonts w:hint="eastAsia" w:ascii="仿宋_GB2312" w:hAnsi="仿宋_GB2312" w:eastAsia="仿宋_GB2312" w:cs="仿宋_GB2312"/>
          <w:sz w:val="32"/>
          <w:szCs w:val="32"/>
          <w:highlight w:val="none"/>
          <w:u w:val="none"/>
        </w:rPr>
        <w:t>平方米）。</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征收补偿方式</w:t>
      </w:r>
    </w:p>
    <w:p>
      <w:pPr>
        <w:keepNext w:val="0"/>
        <w:keepLines w:val="0"/>
        <w:pageBreakBefore w:val="0"/>
        <w:widowControl w:val="0"/>
        <w:numPr>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征收补偿方式</w:t>
      </w:r>
      <w:r>
        <w:rPr>
          <w:rFonts w:hint="eastAsia" w:ascii="仿宋_GB2312" w:hAnsi="仿宋_GB2312" w:eastAsia="仿宋_GB2312" w:cs="仿宋_GB2312"/>
          <w:sz w:val="32"/>
          <w:szCs w:val="32"/>
          <w:u w:val="none"/>
          <w:lang w:val="en-US" w:eastAsia="zh-CN"/>
        </w:rPr>
        <w:t>有</w:t>
      </w:r>
      <w:r>
        <w:rPr>
          <w:rFonts w:hint="eastAsia" w:ascii="仿宋_GB2312" w:hAnsi="仿宋_GB2312" w:eastAsia="仿宋_GB2312" w:cs="仿宋_GB2312"/>
          <w:sz w:val="32"/>
          <w:szCs w:val="32"/>
          <w:u w:val="none"/>
        </w:rPr>
        <w:t>货币补偿和产权调换</w:t>
      </w:r>
      <w:r>
        <w:rPr>
          <w:rFonts w:hint="eastAsia" w:ascii="仿宋_GB2312" w:hAnsi="仿宋_GB2312" w:eastAsia="仿宋_GB2312" w:cs="仿宋_GB2312"/>
          <w:sz w:val="32"/>
          <w:szCs w:val="32"/>
          <w:u w:val="none"/>
          <w:lang w:val="en-US" w:eastAsia="zh-CN"/>
        </w:rPr>
        <w:t>两种。</w:t>
      </w:r>
    </w:p>
    <w:p>
      <w:pPr>
        <w:keepNext w:val="0"/>
        <w:keepLines w:val="0"/>
        <w:pageBreakBefore w:val="0"/>
        <w:widowControl w:val="0"/>
        <w:numPr>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五、征收补偿标准</w:t>
      </w:r>
    </w:p>
    <w:p>
      <w:pPr>
        <w:spacing w:line="560" w:lineRule="exact"/>
        <w:ind w:firstLine="643" w:firstLineChars="200"/>
        <w:rPr>
          <w:rFonts w:hint="eastAsia"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lang w:eastAsia="zh-CN"/>
        </w:rPr>
        <w:t>（</w:t>
      </w:r>
      <w:r>
        <w:rPr>
          <w:rFonts w:hint="eastAsia" w:ascii="仿宋_GB2312" w:hAnsi="仿宋_GB2312" w:eastAsia="仿宋_GB2312" w:cs="仿宋_GB2312"/>
          <w:b/>
          <w:sz w:val="32"/>
          <w:szCs w:val="32"/>
          <w:u w:val="none"/>
        </w:rPr>
        <w:t>一）征收住宅房屋的补偿</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被征收的住宅房屋，补偿价值按照其所处区位新建普通商品住宅市场价格，结合被征收房屋的建筑结构、层次、朝向、新旧程度和装饰装修情况等因素评估确定。</w:t>
      </w:r>
    </w:p>
    <w:p>
      <w:pPr>
        <w:spacing w:line="560" w:lineRule="exact"/>
        <w:ind w:firstLine="643" w:firstLineChars="200"/>
        <w:rPr>
          <w:rFonts w:hint="eastAsia"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（二）征收按政府规定租金标准出租的公有住宅房屋，按下列方式予以补偿</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征收按政府规定租金标准出租的公有住宅房屋，被征收人与承租人达成协议的，房屋征收部门按照双方协议予以补偿；未达成协议的，按如下方式补偿：</w:t>
      </w:r>
    </w:p>
    <w:p>
      <w:pPr>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1、产权明晰的公有非成套住宅房屋（含无不动产证但有直管公房租赁证的），公有房屋承租人符合房改购房条件的，可在征收冻结通告发布之日</w:t>
      </w:r>
      <w:r>
        <w:rPr>
          <w:rFonts w:hint="eastAsia" w:ascii="仿宋_GB2312" w:hAnsi="仿宋_GB2312" w:eastAsia="仿宋_GB2312" w:cs="仿宋_GB2312"/>
          <w:sz w:val="32"/>
          <w:szCs w:val="32"/>
          <w:highlight w:val="none"/>
          <w:u w:val="none"/>
          <w:lang w:val="en-US" w:eastAsia="zh-CN"/>
        </w:rPr>
        <w:t>起</w:t>
      </w:r>
      <w:r>
        <w:rPr>
          <w:rFonts w:hint="eastAsia" w:ascii="仿宋_GB2312" w:hAnsi="仿宋_GB2312" w:eastAsia="仿宋_GB2312" w:cs="仿宋_GB2312"/>
          <w:sz w:val="32"/>
          <w:szCs w:val="32"/>
          <w:highlight w:val="none"/>
          <w:u w:val="none"/>
        </w:rPr>
        <w:t>30日内向房屋产权单位申请房改。房改后，原公有房屋承租人作为被征收人享受相关补偿。</w:t>
      </w:r>
    </w:p>
    <w:p>
      <w:pPr>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2、公有房屋承租人具备房改购房条件，房屋征收部门应当对其实行货币补偿或者房屋安置。</w:t>
      </w:r>
    </w:p>
    <w:p>
      <w:pPr>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选择货币补偿且被征收房屋为公有非成套住宅房屋（平房和简易楼房）的，对未在规定时间内向房屋产权单位申请房改的公有房屋承租人，其货币补偿金额为</w:t>
      </w:r>
      <w:r>
        <w:rPr>
          <w:rFonts w:hint="eastAsia" w:ascii="仿宋_GB2312" w:hAnsi="仿宋_GB2312" w:eastAsia="仿宋_GB2312" w:cs="仿宋_GB2312"/>
          <w:sz w:val="32"/>
          <w:szCs w:val="32"/>
          <w:highlight w:val="none"/>
          <w:u w:val="none"/>
          <w:lang w:val="en-US" w:eastAsia="zh-CN"/>
        </w:rPr>
        <w:t>该</w:t>
      </w:r>
      <w:r>
        <w:rPr>
          <w:rFonts w:hint="eastAsia" w:ascii="仿宋_GB2312" w:hAnsi="仿宋_GB2312" w:eastAsia="仿宋_GB2312" w:cs="仿宋_GB2312"/>
          <w:sz w:val="32"/>
          <w:szCs w:val="32"/>
          <w:highlight w:val="none"/>
          <w:u w:val="none"/>
        </w:rPr>
        <w:t>住宅房屋补偿价值的百分之九十，对被征收人，货币补偿金额为百分之十。</w:t>
      </w:r>
    </w:p>
    <w:p>
      <w:pPr>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实行货币补偿或者房屋安置后，公有房屋承租人不再享受房改购房资格。</w:t>
      </w:r>
    </w:p>
    <w:p>
      <w:pPr>
        <w:spacing w:line="560" w:lineRule="exact"/>
        <w:ind w:firstLine="640" w:firstLineChars="200"/>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3、公有房屋承租人不具备房改购房资格条件的，房屋征收部门应当对被征收人实行产权调换，原租赁关系不变。</w:t>
      </w:r>
    </w:p>
    <w:p>
      <w:pPr>
        <w:spacing w:line="560" w:lineRule="exact"/>
        <w:ind w:firstLine="643" w:firstLineChars="200"/>
        <w:rPr>
          <w:rFonts w:hint="eastAsia"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（三）征收非住宅房屋的补偿</w:t>
      </w:r>
    </w:p>
    <w:p>
      <w:pPr>
        <w:spacing w:line="560"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被征收非住宅房屋货币补偿价格，参照房屋征收决定公告之日被征收房屋所处区位类似房地产市场价格评估确定（以划拨方式取得土地使用权的，按规定扣除政府收益部分）。征收非住宅房屋实行货币补偿的，按照确定的价格向被征收人支付补偿金；对符合国家产业政策、土地供应政策和项目规划，可以实行产权调换的，应当按照产权调换房屋的评估价值与被征收房屋的评估价值结算价款。</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六、征收房屋设备迁移费标准</w:t>
      </w:r>
    </w:p>
    <w:tbl>
      <w:tblPr>
        <w:tblStyle w:val="2"/>
        <w:tblpPr w:leftFromText="180" w:rightFromText="180" w:vertAnchor="text" w:horzAnchor="page" w:tblpX="2201" w:tblpY="374"/>
        <w:tblOverlap w:val="never"/>
        <w:tblW w:w="8364" w:type="dxa"/>
        <w:tblInd w:w="0" w:type="dxa"/>
        <w:tblLayout w:type="autofit"/>
        <w:tblCellMar>
          <w:top w:w="0" w:type="dxa"/>
          <w:left w:w="108" w:type="dxa"/>
          <w:bottom w:w="0" w:type="dxa"/>
          <w:right w:w="108" w:type="dxa"/>
        </w:tblCellMar>
      </w:tblPr>
      <w:tblGrid>
        <w:gridCol w:w="3648"/>
        <w:gridCol w:w="1881"/>
        <w:gridCol w:w="2835"/>
      </w:tblGrid>
      <w:tr>
        <w:tblPrEx>
          <w:tblCellMar>
            <w:top w:w="0" w:type="dxa"/>
            <w:left w:w="108" w:type="dxa"/>
            <w:bottom w:w="0" w:type="dxa"/>
            <w:right w:w="108" w:type="dxa"/>
          </w:tblCellMar>
        </w:tblPrEx>
        <w:trPr>
          <w:trHeight w:val="720" w:hRule="atLeast"/>
        </w:trPr>
        <w:tc>
          <w:tcPr>
            <w:tcW w:w="8364" w:type="dxa"/>
            <w:gridSpan w:val="3"/>
            <w:tcBorders>
              <w:top w:val="nil"/>
              <w:left w:val="nil"/>
              <w:bottom w:val="nil"/>
              <w:right w:val="nil"/>
            </w:tcBorders>
            <w:noWrap/>
            <w:vAlign w:val="center"/>
          </w:tcPr>
          <w:p>
            <w:pPr>
              <w:widowControl/>
              <w:jc w:val="center"/>
              <w:rPr>
                <w:rFonts w:hint="eastAsia" w:ascii="仿宋_GB2312" w:hAnsi="仿宋_GB2312" w:eastAsia="仿宋_GB2312" w:cs="仿宋_GB2312"/>
                <w:b/>
                <w:bCs/>
                <w:color w:val="000000"/>
                <w:kern w:val="0"/>
                <w:sz w:val="32"/>
                <w:szCs w:val="32"/>
                <w:u w:val="none"/>
              </w:rPr>
            </w:pPr>
            <w:r>
              <w:rPr>
                <w:rFonts w:hint="eastAsia" w:ascii="仿宋_GB2312" w:hAnsi="仿宋_GB2312" w:eastAsia="仿宋_GB2312" w:cs="仿宋_GB2312"/>
                <w:b/>
                <w:bCs/>
                <w:color w:val="000000"/>
                <w:kern w:val="0"/>
                <w:sz w:val="32"/>
                <w:szCs w:val="32"/>
                <w:u w:val="none"/>
              </w:rPr>
              <w:t xml:space="preserve">征收房屋设备迁移费标准 </w:t>
            </w:r>
          </w:p>
        </w:tc>
      </w:tr>
      <w:tr>
        <w:tblPrEx>
          <w:tblCellMar>
            <w:top w:w="0" w:type="dxa"/>
            <w:left w:w="108" w:type="dxa"/>
            <w:bottom w:w="0" w:type="dxa"/>
            <w:right w:w="108" w:type="dxa"/>
          </w:tblCellMar>
        </w:tblPrEx>
        <w:trPr>
          <w:trHeight w:val="499" w:hRule="atLeast"/>
        </w:trPr>
        <w:tc>
          <w:tcPr>
            <w:tcW w:w="36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名称</w:t>
            </w:r>
          </w:p>
        </w:tc>
        <w:tc>
          <w:tcPr>
            <w:tcW w:w="188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单位</w:t>
            </w:r>
          </w:p>
        </w:tc>
        <w:tc>
          <w:tcPr>
            <w:tcW w:w="283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补助费(元) </w:t>
            </w:r>
          </w:p>
        </w:tc>
      </w:tr>
      <w:tr>
        <w:tblPrEx>
          <w:tblCellMar>
            <w:top w:w="0" w:type="dxa"/>
            <w:left w:w="108" w:type="dxa"/>
            <w:bottom w:w="0" w:type="dxa"/>
            <w:right w:w="108" w:type="dxa"/>
          </w:tblCellMar>
        </w:tblPrEx>
        <w:trPr>
          <w:trHeight w:val="499" w:hRule="atLeast"/>
        </w:trPr>
        <w:tc>
          <w:tcPr>
            <w:tcW w:w="36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固定电话</w:t>
            </w:r>
          </w:p>
        </w:tc>
        <w:tc>
          <w:tcPr>
            <w:tcW w:w="18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部</w:t>
            </w: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140</w:t>
            </w:r>
          </w:p>
        </w:tc>
      </w:tr>
      <w:tr>
        <w:tblPrEx>
          <w:tblCellMar>
            <w:top w:w="0" w:type="dxa"/>
            <w:left w:w="108" w:type="dxa"/>
            <w:bottom w:w="0" w:type="dxa"/>
            <w:right w:w="108" w:type="dxa"/>
          </w:tblCellMar>
        </w:tblPrEx>
        <w:trPr>
          <w:trHeight w:val="499" w:hRule="atLeast"/>
        </w:trPr>
        <w:tc>
          <w:tcPr>
            <w:tcW w:w="36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宽带网(住宅) </w:t>
            </w:r>
          </w:p>
        </w:tc>
        <w:tc>
          <w:tcPr>
            <w:tcW w:w="18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端</w:t>
            </w: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180</w:t>
            </w:r>
          </w:p>
        </w:tc>
      </w:tr>
      <w:tr>
        <w:tblPrEx>
          <w:tblCellMar>
            <w:top w:w="0" w:type="dxa"/>
            <w:left w:w="108" w:type="dxa"/>
            <w:bottom w:w="0" w:type="dxa"/>
            <w:right w:w="108" w:type="dxa"/>
          </w:tblCellMar>
        </w:tblPrEx>
        <w:trPr>
          <w:trHeight w:val="499" w:hRule="atLeast"/>
        </w:trPr>
        <w:tc>
          <w:tcPr>
            <w:tcW w:w="36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宽带网(非住宅)</w:t>
            </w:r>
          </w:p>
        </w:tc>
        <w:tc>
          <w:tcPr>
            <w:tcW w:w="18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端</w:t>
            </w: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380</w:t>
            </w:r>
          </w:p>
        </w:tc>
      </w:tr>
      <w:tr>
        <w:tblPrEx>
          <w:tblCellMar>
            <w:top w:w="0" w:type="dxa"/>
            <w:left w:w="108" w:type="dxa"/>
            <w:bottom w:w="0" w:type="dxa"/>
            <w:right w:w="108" w:type="dxa"/>
          </w:tblCellMar>
        </w:tblPrEx>
        <w:trPr>
          <w:trHeight w:val="499" w:hRule="atLeast"/>
        </w:trPr>
        <w:tc>
          <w:tcPr>
            <w:tcW w:w="36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空调 </w:t>
            </w:r>
          </w:p>
        </w:tc>
        <w:tc>
          <w:tcPr>
            <w:tcW w:w="18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台</w:t>
            </w: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400</w:t>
            </w:r>
          </w:p>
        </w:tc>
      </w:tr>
      <w:tr>
        <w:tblPrEx>
          <w:tblCellMar>
            <w:top w:w="0" w:type="dxa"/>
            <w:left w:w="108" w:type="dxa"/>
            <w:bottom w:w="0" w:type="dxa"/>
            <w:right w:w="108" w:type="dxa"/>
          </w:tblCellMar>
        </w:tblPrEx>
        <w:trPr>
          <w:trHeight w:val="499" w:hRule="atLeast"/>
        </w:trPr>
        <w:tc>
          <w:tcPr>
            <w:tcW w:w="36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太阳能热水器 </w:t>
            </w:r>
          </w:p>
        </w:tc>
        <w:tc>
          <w:tcPr>
            <w:tcW w:w="188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台</w:t>
            </w: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400</w:t>
            </w:r>
          </w:p>
        </w:tc>
      </w:tr>
      <w:tr>
        <w:tblPrEx>
          <w:tblCellMar>
            <w:top w:w="0" w:type="dxa"/>
            <w:left w:w="108" w:type="dxa"/>
            <w:bottom w:w="0" w:type="dxa"/>
            <w:right w:w="108" w:type="dxa"/>
          </w:tblCellMar>
        </w:tblPrEx>
        <w:trPr>
          <w:trHeight w:val="499" w:hRule="atLeast"/>
        </w:trPr>
        <w:tc>
          <w:tcPr>
            <w:tcW w:w="8364" w:type="dxa"/>
            <w:gridSpan w:val="3"/>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注:其他大型设备设施迁移费及搬迁损失补偿费,由具有相关资质的评估机构评估确定。 </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Chars="200"/>
        <w:jc w:val="both"/>
        <w:textAlignment w:val="auto"/>
        <w:rPr>
          <w:rFonts w:hint="eastAsia" w:ascii="仿宋_GB2312" w:hAnsi="仿宋_GB2312" w:eastAsia="仿宋_GB2312" w:cs="仿宋_GB2312"/>
          <w:b/>
          <w:bCs/>
          <w:color w:val="000000"/>
          <w:kern w:val="0"/>
          <w:sz w:val="32"/>
          <w:szCs w:val="32"/>
          <w:u w:val="none"/>
        </w:rPr>
      </w:pPr>
      <w:r>
        <w:rPr>
          <w:rFonts w:hint="eastAsia" w:ascii="仿宋_GB2312" w:hAnsi="仿宋_GB2312" w:eastAsia="仿宋_GB2312" w:cs="仿宋_GB2312"/>
          <w:b/>
          <w:bCs/>
          <w:color w:val="000000"/>
          <w:kern w:val="0"/>
          <w:sz w:val="32"/>
          <w:szCs w:val="32"/>
          <w:u w:val="none"/>
        </w:rPr>
        <w:t>征收房屋附属物补偿标准</w:t>
      </w:r>
    </w:p>
    <w:tbl>
      <w:tblPr>
        <w:tblStyle w:val="2"/>
        <w:tblpPr w:leftFromText="180" w:rightFromText="180" w:vertAnchor="text" w:horzAnchor="page" w:tblpX="1736" w:tblpY="514"/>
        <w:tblOverlap w:val="never"/>
        <w:tblW w:w="8520" w:type="dxa"/>
        <w:tblInd w:w="0" w:type="dxa"/>
        <w:tblLayout w:type="autofit"/>
        <w:tblCellMar>
          <w:top w:w="0" w:type="dxa"/>
          <w:left w:w="108" w:type="dxa"/>
          <w:bottom w:w="0" w:type="dxa"/>
          <w:right w:w="108" w:type="dxa"/>
        </w:tblCellMar>
      </w:tblPr>
      <w:tblGrid>
        <w:gridCol w:w="3686"/>
        <w:gridCol w:w="1843"/>
        <w:gridCol w:w="2991"/>
      </w:tblGrid>
      <w:tr>
        <w:tblPrEx>
          <w:tblCellMar>
            <w:top w:w="0" w:type="dxa"/>
            <w:left w:w="108" w:type="dxa"/>
            <w:bottom w:w="0" w:type="dxa"/>
            <w:right w:w="108" w:type="dxa"/>
          </w:tblCellMar>
        </w:tblPrEx>
        <w:trPr>
          <w:trHeight w:val="499" w:hRule="atLeast"/>
        </w:trPr>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32"/>
                <w:szCs w:val="32"/>
                <w:u w:val="none"/>
              </w:rPr>
            </w:pPr>
            <w:r>
              <w:rPr>
                <w:rFonts w:hint="eastAsia" w:ascii="仿宋_GB2312" w:hAnsi="仿宋_GB2312" w:eastAsia="仿宋_GB2312" w:cs="仿宋_GB2312"/>
                <w:b/>
                <w:bCs/>
                <w:color w:val="000000"/>
                <w:kern w:val="0"/>
                <w:sz w:val="32"/>
                <w:szCs w:val="32"/>
                <w:u w:val="none"/>
              </w:rPr>
              <w:t>项目名称</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color w:val="000000"/>
                <w:kern w:val="0"/>
                <w:sz w:val="32"/>
                <w:szCs w:val="32"/>
                <w:u w:val="none"/>
              </w:rPr>
            </w:pPr>
            <w:r>
              <w:rPr>
                <w:rFonts w:hint="eastAsia" w:ascii="仿宋_GB2312" w:hAnsi="仿宋_GB2312" w:eastAsia="仿宋_GB2312" w:cs="仿宋_GB2312"/>
                <w:b/>
                <w:bCs/>
                <w:color w:val="000000"/>
                <w:kern w:val="0"/>
                <w:sz w:val="32"/>
                <w:szCs w:val="32"/>
                <w:u w:val="none"/>
              </w:rPr>
              <w:t>单位</w:t>
            </w:r>
          </w:p>
        </w:tc>
        <w:tc>
          <w:tcPr>
            <w:tcW w:w="299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color w:val="000000"/>
                <w:kern w:val="0"/>
                <w:sz w:val="32"/>
                <w:szCs w:val="32"/>
                <w:u w:val="none"/>
              </w:rPr>
            </w:pPr>
            <w:r>
              <w:rPr>
                <w:rFonts w:hint="eastAsia" w:ascii="仿宋_GB2312" w:hAnsi="仿宋_GB2312" w:eastAsia="仿宋_GB2312" w:cs="仿宋_GB2312"/>
                <w:b/>
                <w:bCs/>
                <w:color w:val="000000"/>
                <w:kern w:val="0"/>
                <w:sz w:val="32"/>
                <w:szCs w:val="32"/>
                <w:u w:val="none"/>
              </w:rPr>
              <w:t>单价(元)</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24 砖院墙 </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Segoe UI Emoji" w:hAnsi="Segoe UI Emoji" w:eastAsia="等线"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160-180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12 砖院墙</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80-100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砖石(乱石)院墙</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180-200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砖铺地面硬化</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60-80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水泥地面硬化 </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60-90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防盗网</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80-120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栅栏式防盗门 </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个</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300-500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实体和复合式防盗门</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个</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800-1200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塑钢、彩铝窗</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180-220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断桥铝窗</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300-400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卷帘门</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200-260 </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玻璃钢防雨罩</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60-90</w:t>
            </w:r>
          </w:p>
        </w:tc>
      </w:tr>
      <w:tr>
        <w:tblPrEx>
          <w:tblCellMar>
            <w:top w:w="0" w:type="dxa"/>
            <w:left w:w="108" w:type="dxa"/>
            <w:bottom w:w="0" w:type="dxa"/>
            <w:right w:w="108" w:type="dxa"/>
          </w:tblCellMar>
        </w:tblPrEx>
        <w:trPr>
          <w:trHeight w:val="499" w:hRule="atLeast"/>
        </w:trPr>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雨搭 </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Segoe UI Emoji" w:hAnsi="Segoe UI Emoji" w:eastAsia="Segoe UI Emoji" w:cs="仿宋_GB2312"/>
                <w:color w:val="000000"/>
                <w:kern w:val="0"/>
                <w:sz w:val="32"/>
                <w:szCs w:val="32"/>
                <w:u w:val="none"/>
              </w:rPr>
              <w:t>㎡</w:t>
            </w:r>
          </w:p>
        </w:tc>
        <w:tc>
          <w:tcPr>
            <w:tcW w:w="299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50-70 </w:t>
            </w:r>
          </w:p>
        </w:tc>
      </w:tr>
      <w:tr>
        <w:tblPrEx>
          <w:tblCellMar>
            <w:top w:w="0" w:type="dxa"/>
            <w:left w:w="108" w:type="dxa"/>
            <w:bottom w:w="0" w:type="dxa"/>
            <w:right w:w="108" w:type="dxa"/>
          </w:tblCellMar>
        </w:tblPrEx>
        <w:trPr>
          <w:trHeight w:val="1365" w:hRule="atLeast"/>
        </w:trPr>
        <w:tc>
          <w:tcPr>
            <w:tcW w:w="852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color w:val="000000"/>
                <w:kern w:val="0"/>
                <w:sz w:val="32"/>
                <w:szCs w:val="32"/>
                <w:u w:val="none"/>
              </w:rPr>
              <w:t>注:1、被征收人自行拆除的不予补偿。</w:t>
            </w:r>
          </w:p>
          <w:p>
            <w:pPr>
              <w:widowControl/>
              <w:jc w:val="left"/>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color w:val="000000"/>
                <w:kern w:val="0"/>
                <w:sz w:val="32"/>
                <w:szCs w:val="32"/>
                <w:u w:val="none"/>
              </w:rPr>
              <w:t xml:space="preserve">   2、被征收房屋装修部分评估中已包含的项目不再另行补偿。 </w:t>
            </w:r>
          </w:p>
          <w:p>
            <w:pPr>
              <w:widowControl/>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3、未列明的其他房屋附属物以及被征收人对参照以上房屋附属 物作价标准补偿有异议的,可委托具有相关资质的评估机构评估后予以补偿。  </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420" w:leftChars="200" w:firstLine="0" w:firstLineChars="0"/>
        <w:jc w:val="both"/>
        <w:textAlignment w:val="auto"/>
        <w:rPr>
          <w:rFonts w:hint="eastAsia" w:ascii="仿宋_GB2312" w:hAnsi="仿宋_GB2312" w:eastAsia="仿宋_GB2312" w:cs="仿宋_GB2312"/>
          <w:b/>
          <w:bCs/>
          <w:color w:val="000000"/>
          <w:kern w:val="0"/>
          <w:sz w:val="32"/>
          <w:szCs w:val="32"/>
          <w:u w:val="none"/>
        </w:rPr>
      </w:pPr>
      <w:r>
        <w:rPr>
          <w:rFonts w:hint="eastAsia" w:ascii="仿宋_GB2312" w:hAnsi="仿宋_GB2312" w:eastAsia="仿宋_GB2312" w:cs="仿宋_GB2312"/>
          <w:b/>
          <w:bCs/>
          <w:color w:val="000000"/>
          <w:kern w:val="0"/>
          <w:sz w:val="32"/>
          <w:szCs w:val="32"/>
          <w:u w:val="none"/>
        </w:rPr>
        <w:t>征收树木补偿标准</w:t>
      </w:r>
    </w:p>
    <w:tbl>
      <w:tblPr>
        <w:tblStyle w:val="2"/>
        <w:tblpPr w:leftFromText="180" w:rightFromText="180" w:vertAnchor="text" w:horzAnchor="page" w:tblpX="1946" w:tblpY="190"/>
        <w:tblOverlap w:val="never"/>
        <w:tblW w:w="8820" w:type="dxa"/>
        <w:tblInd w:w="0" w:type="dxa"/>
        <w:tblLayout w:type="autofit"/>
        <w:tblCellMar>
          <w:top w:w="0" w:type="dxa"/>
          <w:left w:w="108" w:type="dxa"/>
          <w:bottom w:w="0" w:type="dxa"/>
          <w:right w:w="108" w:type="dxa"/>
        </w:tblCellMar>
      </w:tblPr>
      <w:tblGrid>
        <w:gridCol w:w="993"/>
        <w:gridCol w:w="2835"/>
        <w:gridCol w:w="2268"/>
        <w:gridCol w:w="2724"/>
      </w:tblGrid>
      <w:tr>
        <w:tblPrEx>
          <w:tblCellMar>
            <w:top w:w="0" w:type="dxa"/>
            <w:left w:w="108" w:type="dxa"/>
            <w:bottom w:w="0" w:type="dxa"/>
            <w:right w:w="108" w:type="dxa"/>
          </w:tblCellMar>
        </w:tblPrEx>
        <w:trPr>
          <w:trHeight w:val="755"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名称</w:t>
            </w:r>
          </w:p>
        </w:tc>
        <w:tc>
          <w:tcPr>
            <w:tcW w:w="283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类别</w:t>
            </w:r>
          </w:p>
        </w:tc>
        <w:tc>
          <w:tcPr>
            <w:tcW w:w="226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补偿标准</w:t>
            </w:r>
          </w:p>
        </w:tc>
        <w:tc>
          <w:tcPr>
            <w:tcW w:w="272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备注</w:t>
            </w:r>
          </w:p>
        </w:tc>
      </w:tr>
      <w:tr>
        <w:tblPrEx>
          <w:tblCellMar>
            <w:top w:w="0" w:type="dxa"/>
            <w:left w:w="108" w:type="dxa"/>
            <w:bottom w:w="0" w:type="dxa"/>
            <w:right w:w="108" w:type="dxa"/>
          </w:tblCellMar>
        </w:tblPrEx>
        <w:trPr>
          <w:trHeight w:val="499" w:hRule="atLeast"/>
        </w:trPr>
        <w:tc>
          <w:tcPr>
            <w:tcW w:w="993" w:type="dxa"/>
            <w:vMerge w:val="restart"/>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乔木</w:t>
            </w: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胸径5厘米以下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10-30元/棵</w:t>
            </w:r>
          </w:p>
        </w:tc>
        <w:tc>
          <w:tcPr>
            <w:tcW w:w="2724"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p>
        </w:tc>
      </w:tr>
      <w:tr>
        <w:tblPrEx>
          <w:tblCellMar>
            <w:top w:w="0" w:type="dxa"/>
            <w:left w:w="108" w:type="dxa"/>
            <w:bottom w:w="0" w:type="dxa"/>
            <w:right w:w="108" w:type="dxa"/>
          </w:tblCellMar>
        </w:tblPrEx>
        <w:trPr>
          <w:trHeight w:val="499"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胸径6-10厘米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30-60元/棵 </w:t>
            </w:r>
          </w:p>
        </w:tc>
        <w:tc>
          <w:tcPr>
            <w:tcW w:w="2724"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p>
        </w:tc>
      </w:tr>
      <w:tr>
        <w:tblPrEx>
          <w:tblCellMar>
            <w:top w:w="0" w:type="dxa"/>
            <w:left w:w="108" w:type="dxa"/>
            <w:bottom w:w="0" w:type="dxa"/>
            <w:right w:w="108" w:type="dxa"/>
          </w:tblCellMar>
        </w:tblPrEx>
        <w:trPr>
          <w:trHeight w:val="499"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胸径11-15厘米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60-70元/棵</w:t>
            </w:r>
          </w:p>
        </w:tc>
        <w:tc>
          <w:tcPr>
            <w:tcW w:w="2724"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p>
        </w:tc>
      </w:tr>
      <w:tr>
        <w:tblPrEx>
          <w:tblCellMar>
            <w:top w:w="0" w:type="dxa"/>
            <w:left w:w="108" w:type="dxa"/>
            <w:bottom w:w="0" w:type="dxa"/>
            <w:right w:w="108" w:type="dxa"/>
          </w:tblCellMar>
        </w:tblPrEx>
        <w:trPr>
          <w:trHeight w:val="499"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胸径16一20厘米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70-120元/棵 </w:t>
            </w:r>
          </w:p>
        </w:tc>
        <w:tc>
          <w:tcPr>
            <w:tcW w:w="2724"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p>
        </w:tc>
      </w:tr>
      <w:tr>
        <w:tblPrEx>
          <w:tblCellMar>
            <w:top w:w="0" w:type="dxa"/>
            <w:left w:w="108" w:type="dxa"/>
            <w:bottom w:w="0" w:type="dxa"/>
            <w:right w:w="108" w:type="dxa"/>
          </w:tblCellMar>
        </w:tblPrEx>
        <w:trPr>
          <w:trHeight w:val="499"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胸径21-25厘米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120-240元/棵 </w:t>
            </w:r>
          </w:p>
        </w:tc>
        <w:tc>
          <w:tcPr>
            <w:tcW w:w="2724"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p>
        </w:tc>
      </w:tr>
      <w:tr>
        <w:tblPrEx>
          <w:tblCellMar>
            <w:top w:w="0" w:type="dxa"/>
            <w:left w:w="108" w:type="dxa"/>
            <w:bottom w:w="0" w:type="dxa"/>
            <w:right w:w="108" w:type="dxa"/>
          </w:tblCellMar>
        </w:tblPrEx>
        <w:trPr>
          <w:trHeight w:val="1008"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胸径26-30厘米</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240-360元/棵 </w:t>
            </w:r>
          </w:p>
        </w:tc>
        <w:tc>
          <w:tcPr>
            <w:tcW w:w="2724"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p>
        </w:tc>
      </w:tr>
      <w:tr>
        <w:tblPrEx>
          <w:tblCellMar>
            <w:top w:w="0" w:type="dxa"/>
            <w:left w:w="108" w:type="dxa"/>
            <w:bottom w:w="0" w:type="dxa"/>
            <w:right w:w="108" w:type="dxa"/>
          </w:tblCellMar>
        </w:tblPrEx>
        <w:trPr>
          <w:trHeight w:val="499"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胸径31-40厘米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360-480元/棵 </w:t>
            </w:r>
          </w:p>
        </w:tc>
        <w:tc>
          <w:tcPr>
            <w:tcW w:w="2724"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p>
        </w:tc>
      </w:tr>
      <w:tr>
        <w:tblPrEx>
          <w:tblCellMar>
            <w:top w:w="0" w:type="dxa"/>
            <w:left w:w="108" w:type="dxa"/>
            <w:bottom w:w="0" w:type="dxa"/>
            <w:right w:w="108" w:type="dxa"/>
          </w:tblCellMar>
        </w:tblPrEx>
        <w:trPr>
          <w:trHeight w:val="499"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胸径40厘米以上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480-600元/棵 </w:t>
            </w:r>
          </w:p>
        </w:tc>
        <w:tc>
          <w:tcPr>
            <w:tcW w:w="2724"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p>
        </w:tc>
      </w:tr>
      <w:tr>
        <w:tblPrEx>
          <w:tblCellMar>
            <w:top w:w="0" w:type="dxa"/>
            <w:left w:w="108" w:type="dxa"/>
            <w:bottom w:w="0" w:type="dxa"/>
            <w:right w:w="108" w:type="dxa"/>
          </w:tblCellMar>
        </w:tblPrEx>
        <w:trPr>
          <w:trHeight w:val="499" w:hRule="atLeast"/>
        </w:trPr>
        <w:tc>
          <w:tcPr>
            <w:tcW w:w="993" w:type="dxa"/>
            <w:vMerge w:val="restart"/>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灌木</w:t>
            </w: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一年生以内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10-20元/墩 </w:t>
            </w:r>
          </w:p>
        </w:tc>
        <w:tc>
          <w:tcPr>
            <w:tcW w:w="2724" w:type="dxa"/>
            <w:vMerge w:val="restart"/>
            <w:tcBorders>
              <w:top w:val="nil"/>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1.每墩出条数按 10-20 根计算。</w:t>
            </w:r>
          </w:p>
          <w:p>
            <w:pPr>
              <w:widowControl/>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2.观赏经济类可提高 40%-60%。 </w:t>
            </w:r>
          </w:p>
        </w:tc>
      </w:tr>
      <w:tr>
        <w:tblPrEx>
          <w:tblCellMar>
            <w:top w:w="0" w:type="dxa"/>
            <w:left w:w="108" w:type="dxa"/>
            <w:bottom w:w="0" w:type="dxa"/>
            <w:right w:w="108" w:type="dxa"/>
          </w:tblCellMar>
        </w:tblPrEx>
        <w:trPr>
          <w:trHeight w:val="499"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一年生以上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20-30元/墩 </w:t>
            </w:r>
          </w:p>
        </w:tc>
        <w:tc>
          <w:tcPr>
            <w:tcW w:w="27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r>
      <w:tr>
        <w:tblPrEx>
          <w:tblCellMar>
            <w:top w:w="0" w:type="dxa"/>
            <w:left w:w="108" w:type="dxa"/>
            <w:bottom w:w="0" w:type="dxa"/>
            <w:right w:w="108" w:type="dxa"/>
          </w:tblCellMar>
        </w:tblPrEx>
        <w:trPr>
          <w:trHeight w:val="499" w:hRule="atLeast"/>
        </w:trPr>
        <w:tc>
          <w:tcPr>
            <w:tcW w:w="993" w:type="dxa"/>
            <w:vMerge w:val="restart"/>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果树</w:t>
            </w: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幼龄期(区分树种)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60-90元/棵</w:t>
            </w:r>
          </w:p>
        </w:tc>
        <w:tc>
          <w:tcPr>
            <w:tcW w:w="27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 包括苹果、梨、桃、石 榴、山楂、杏、无花果、 枣、柿、樱桃、核桃等。 </w:t>
            </w:r>
          </w:p>
        </w:tc>
      </w:tr>
      <w:tr>
        <w:tblPrEx>
          <w:tblCellMar>
            <w:top w:w="0" w:type="dxa"/>
            <w:left w:w="108" w:type="dxa"/>
            <w:bottom w:w="0" w:type="dxa"/>
            <w:right w:w="108" w:type="dxa"/>
          </w:tblCellMar>
        </w:tblPrEx>
        <w:trPr>
          <w:trHeight w:val="499"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初果期(区分树种)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200-300元/棵 </w:t>
            </w:r>
          </w:p>
        </w:tc>
        <w:tc>
          <w:tcPr>
            <w:tcW w:w="27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r>
      <w:tr>
        <w:tblPrEx>
          <w:tblCellMar>
            <w:top w:w="0" w:type="dxa"/>
            <w:left w:w="108" w:type="dxa"/>
            <w:bottom w:w="0" w:type="dxa"/>
            <w:right w:w="108" w:type="dxa"/>
          </w:tblCellMar>
        </w:tblPrEx>
        <w:trPr>
          <w:trHeight w:val="499"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盛果期(区分树种)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400-800元/棵 </w:t>
            </w:r>
          </w:p>
        </w:tc>
        <w:tc>
          <w:tcPr>
            <w:tcW w:w="27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r>
      <w:tr>
        <w:tblPrEx>
          <w:tblCellMar>
            <w:top w:w="0" w:type="dxa"/>
            <w:left w:w="108" w:type="dxa"/>
            <w:bottom w:w="0" w:type="dxa"/>
            <w:right w:w="108" w:type="dxa"/>
          </w:tblCellMar>
        </w:tblPrEx>
        <w:trPr>
          <w:trHeight w:val="90" w:hRule="atLeast"/>
        </w:trPr>
        <w:tc>
          <w:tcPr>
            <w:tcW w:w="99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c>
          <w:tcPr>
            <w:tcW w:w="2835"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衰老期(区分树种) </w:t>
            </w:r>
          </w:p>
        </w:tc>
        <w:tc>
          <w:tcPr>
            <w:tcW w:w="2268"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180-300元/棵 </w:t>
            </w:r>
          </w:p>
        </w:tc>
        <w:tc>
          <w:tcPr>
            <w:tcW w:w="27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32"/>
                <w:szCs w:val="32"/>
                <w:u w:val="none"/>
              </w:rPr>
            </w:pPr>
          </w:p>
        </w:tc>
      </w:tr>
      <w:tr>
        <w:tblPrEx>
          <w:tblCellMar>
            <w:top w:w="0" w:type="dxa"/>
            <w:left w:w="108" w:type="dxa"/>
            <w:bottom w:w="0" w:type="dxa"/>
            <w:right w:w="108" w:type="dxa"/>
          </w:tblCellMar>
        </w:tblPrEx>
        <w:trPr>
          <w:trHeight w:val="783" w:hRule="atLeast"/>
        </w:trPr>
        <w:tc>
          <w:tcPr>
            <w:tcW w:w="8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xml:space="preserve">注:未列明的其他树木补偿标准,可由具有相关资质的评估机构评估确定。 </w:t>
            </w:r>
          </w:p>
        </w:tc>
      </w:tr>
    </w:tbl>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200"/>
        <w:jc w:val="both"/>
        <w:textAlignment w:val="auto"/>
        <w:rPr>
          <w:rFonts w:hint="default" w:ascii="仿宋_GB2312" w:hAnsi="仿宋_GB2312" w:eastAsia="仿宋_GB2312" w:cs="仿宋_GB2312"/>
          <w:b/>
          <w:bCs/>
          <w:color w:val="000000"/>
          <w:kern w:val="0"/>
          <w:sz w:val="32"/>
          <w:szCs w:val="32"/>
          <w:u w:val="none"/>
          <w:lang w:val="en-US" w:eastAsia="zh-CN"/>
        </w:rPr>
      </w:pPr>
      <w:bookmarkStart w:id="6" w:name="_GoBack"/>
      <w:bookmarkEnd w:id="6"/>
    </w:p>
    <w:p>
      <w:pPr>
        <w:keepNext w:val="0"/>
        <w:keepLines w:val="0"/>
        <w:pageBreakBefore w:val="0"/>
        <w:widowControl w:val="0"/>
        <w:numPr>
          <w:numId w:val="0"/>
        </w:numPr>
        <w:kinsoku/>
        <w:wordWrap/>
        <w:overflowPunct/>
        <w:topLinePunct w:val="0"/>
        <w:autoSpaceDE/>
        <w:autoSpaceDN/>
        <w:bidi w:val="0"/>
        <w:adjustRightInd/>
        <w:snapToGrid/>
        <w:spacing w:line="590" w:lineRule="exact"/>
        <w:jc w:val="both"/>
        <w:textAlignment w:val="auto"/>
        <w:rPr>
          <w:rFonts w:hint="eastAsia" w:ascii="黑体" w:hAnsi="黑体" w:eastAsia="黑体" w:cs="黑体"/>
          <w:sz w:val="32"/>
          <w:szCs w:val="32"/>
          <w:highlight w:val="none"/>
          <w:u w:val="none"/>
          <w:lang w:val="en-US" w:eastAsia="zh-CN"/>
        </w:rPr>
      </w:pPr>
    </w:p>
    <w:p>
      <w:pPr>
        <w:keepNext w:val="0"/>
        <w:keepLines w:val="0"/>
        <w:pageBreakBefore w:val="0"/>
        <w:numPr>
          <w:numId w:val="0"/>
        </w:numPr>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sz w:val="32"/>
          <w:szCs w:val="32"/>
          <w:highlight w:val="none"/>
          <w:u w:val="none"/>
          <w:lang w:val="en-US" w:eastAsia="zh-CN"/>
        </w:rPr>
      </w:pPr>
    </w:p>
    <w:p>
      <w:pPr>
        <w:keepNext w:val="0"/>
        <w:keepLines w:val="0"/>
        <w:pageBreakBefore w:val="0"/>
        <w:kinsoku/>
        <w:wordWrap/>
        <w:overflowPunct/>
        <w:topLinePunct w:val="0"/>
        <w:autoSpaceDE/>
        <w:autoSpaceDN/>
        <w:bidi w:val="0"/>
        <w:adjustRightInd/>
        <w:snapToGrid/>
        <w:spacing w:line="59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FD3E3"/>
    <w:multiLevelType w:val="singleLevel"/>
    <w:tmpl w:val="811FD3E3"/>
    <w:lvl w:ilvl="0" w:tentative="0">
      <w:start w:val="1"/>
      <w:numFmt w:val="chineseCounting"/>
      <w:suff w:val="nothing"/>
      <w:lvlText w:val="%1、"/>
      <w:lvlJc w:val="left"/>
      <w:rPr>
        <w:rFonts w:hint="eastAsia"/>
      </w:rPr>
    </w:lvl>
  </w:abstractNum>
  <w:abstractNum w:abstractNumId="1">
    <w:nsid w:val="1A5226A7"/>
    <w:multiLevelType w:val="singleLevel"/>
    <w:tmpl w:val="1A5226A7"/>
    <w:lvl w:ilvl="0" w:tentative="0">
      <w:start w:val="7"/>
      <w:numFmt w:val="chineseCounting"/>
      <w:suff w:val="nothing"/>
      <w:lvlText w:val="%1、"/>
      <w:lvlJc w:val="left"/>
      <w:rPr>
        <w:rFonts w:hint="eastAsia"/>
      </w:rPr>
    </w:lvl>
  </w:abstractNum>
  <w:abstractNum w:abstractNumId="2">
    <w:nsid w:val="473BFF0A"/>
    <w:multiLevelType w:val="singleLevel"/>
    <w:tmpl w:val="473BFF0A"/>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jY0ZWE3YWUyOTEyM2NlNDk3YzgxODRjNzNhYTYifQ=="/>
  </w:docVars>
  <w:rsids>
    <w:rsidRoot w:val="547F3A7E"/>
    <w:rsid w:val="09532A47"/>
    <w:rsid w:val="1C461D1A"/>
    <w:rsid w:val="20D43A70"/>
    <w:rsid w:val="34F07218"/>
    <w:rsid w:val="40D10BAB"/>
    <w:rsid w:val="547F3A7E"/>
    <w:rsid w:val="64533BFB"/>
    <w:rsid w:val="68DC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1857</Words>
  <Characters>2094</Characters>
  <Lines>0</Lines>
  <Paragraphs>0</Paragraphs>
  <TotalTime>0</TotalTime>
  <ScaleCrop>false</ScaleCrop>
  <LinksUpToDate>false</LinksUpToDate>
  <CharactersWithSpaces>2185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2021-12-13T08:13:00Z</dcterms:created>
  <dc:creator>幻影</dc:creator>
  <cp:lastModifiedBy>M-mmmxy</cp:lastModifiedBy>
  <dcterms:modified xsi:type="dcterms:W3CDTF">2023-09-14T00:47:56Z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D876907C2C714D75A2763A9120DDD47F_13</vt:lpwstr>
  </property>
</Properties>
</file>