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A6B84">
      <w:pPr>
        <w:pStyle w:val="19"/>
        <w:spacing w:after="0" w:line="640" w:lineRule="exact"/>
        <w:ind w:left="0" w:leftChars="0" w:firstLine="640"/>
        <w:jc w:val="center"/>
        <w:rPr>
          <w:rFonts w:eastAsia="仿宋_GB2312"/>
        </w:rPr>
      </w:pPr>
      <w:bookmarkStart w:id="90" w:name="_GoBack"/>
      <w:bookmarkEnd w:id="90"/>
    </w:p>
    <w:p w14:paraId="662B971F">
      <w:pPr>
        <w:pStyle w:val="19"/>
        <w:spacing w:after="0" w:line="640" w:lineRule="exact"/>
        <w:ind w:left="0" w:leftChars="0" w:firstLine="640"/>
        <w:jc w:val="center"/>
        <w:rPr>
          <w:rFonts w:eastAsia="仿宋_GB2312"/>
        </w:rPr>
      </w:pPr>
    </w:p>
    <w:p w14:paraId="3B1237AC">
      <w:pPr>
        <w:pStyle w:val="19"/>
        <w:spacing w:after="0" w:line="640" w:lineRule="exact"/>
        <w:ind w:left="0" w:leftChars="0" w:firstLine="640"/>
        <w:jc w:val="center"/>
        <w:rPr>
          <w:rFonts w:eastAsia="仿宋_GB2312"/>
        </w:rPr>
      </w:pPr>
    </w:p>
    <w:p w14:paraId="35F55FC3">
      <w:pPr>
        <w:pStyle w:val="19"/>
        <w:spacing w:after="0" w:line="640" w:lineRule="exact"/>
        <w:ind w:left="0" w:leftChars="0" w:firstLine="640"/>
        <w:jc w:val="center"/>
        <w:rPr>
          <w:rFonts w:eastAsia="仿宋_GB2312"/>
        </w:rPr>
      </w:pPr>
    </w:p>
    <w:p w14:paraId="3F0F5C23">
      <w:pPr>
        <w:pStyle w:val="19"/>
        <w:spacing w:after="0" w:line="640" w:lineRule="exact"/>
        <w:ind w:left="0" w:leftChars="0" w:firstLine="640"/>
        <w:jc w:val="center"/>
        <w:rPr>
          <w:rFonts w:eastAsia="仿宋_GB2312"/>
        </w:rPr>
      </w:pPr>
    </w:p>
    <w:p w14:paraId="153B36BB">
      <w:pPr>
        <w:pStyle w:val="19"/>
        <w:spacing w:after="0" w:line="640" w:lineRule="exact"/>
        <w:ind w:left="0" w:leftChars="0" w:firstLine="640"/>
        <w:jc w:val="center"/>
        <w:rPr>
          <w:rFonts w:eastAsia="仿宋_GB2312"/>
        </w:rPr>
      </w:pPr>
    </w:p>
    <w:p w14:paraId="3A3EFC36">
      <w:pPr>
        <w:tabs>
          <w:tab w:val="left" w:pos="2500"/>
          <w:tab w:val="left" w:pos="4394"/>
        </w:tabs>
        <w:autoSpaceDE w:val="0"/>
        <w:autoSpaceDN w:val="0"/>
        <w:spacing w:line="590" w:lineRule="exact"/>
        <w:ind w:firstLine="640"/>
        <w:jc w:val="center"/>
        <w:rPr>
          <w:rFonts w:hint="eastAsia"/>
          <w:snapToGrid w:val="0"/>
          <w:szCs w:val="32"/>
        </w:rPr>
      </w:pPr>
      <w:r>
        <w:rPr>
          <w:rFonts w:hint="eastAsia"/>
          <w:snapToGrid w:val="0"/>
          <w:szCs w:val="32"/>
        </w:rPr>
        <w:t>济天政字〔</w:t>
      </w:r>
      <w:r>
        <w:rPr>
          <w:snapToGrid w:val="0"/>
          <w:szCs w:val="32"/>
        </w:rPr>
        <w:t>2023</w:t>
      </w:r>
      <w:r>
        <w:rPr>
          <w:rFonts w:hint="eastAsia"/>
          <w:snapToGrid w:val="0"/>
          <w:szCs w:val="32"/>
        </w:rPr>
        <w:t>〕15号</w:t>
      </w:r>
    </w:p>
    <w:p w14:paraId="00C7A77F">
      <w:pPr>
        <w:tabs>
          <w:tab w:val="left" w:pos="2500"/>
          <w:tab w:val="left" w:pos="4394"/>
        </w:tabs>
        <w:autoSpaceDE w:val="0"/>
        <w:autoSpaceDN w:val="0"/>
        <w:spacing w:line="590" w:lineRule="exact"/>
        <w:ind w:firstLine="880"/>
        <w:jc w:val="center"/>
        <w:rPr>
          <w:rFonts w:hint="eastAsia" w:eastAsia="方正小标宋_GBK"/>
          <w:snapToGrid w:val="0"/>
          <w:sz w:val="44"/>
          <w:szCs w:val="44"/>
        </w:rPr>
      </w:pPr>
    </w:p>
    <w:p w14:paraId="0C0DFB99">
      <w:pPr>
        <w:spacing w:line="57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济南市天桥区人民政府</w:t>
      </w:r>
    </w:p>
    <w:p w14:paraId="6F4EC1F4">
      <w:pPr>
        <w:spacing w:line="570"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关于印发《济南市天桥区“</w:t>
      </w:r>
      <w:r>
        <w:rPr>
          <w:rFonts w:hint="eastAsia" w:ascii="方正小标宋_GBK" w:hAnsi="方正小标宋_GBK" w:eastAsia="方正小标宋_GBK" w:cs="方正小标宋_GBK"/>
          <w:sz w:val="44"/>
          <w:szCs w:val="44"/>
          <w:lang w:eastAsia="zh-CN"/>
        </w:rPr>
        <w:t>“十四五”</w:t>
      </w:r>
      <w:r>
        <w:rPr>
          <w:rFonts w:hint="eastAsia" w:ascii="方正小标宋_GBK" w:hAnsi="方正小标宋_GBK" w:eastAsia="方正小标宋_GBK" w:cs="方正小标宋_GBK"/>
          <w:sz w:val="44"/>
          <w:szCs w:val="44"/>
        </w:rPr>
        <w:t>”畜禽养殖污染防治规划》的通知</w:t>
      </w:r>
    </w:p>
    <w:p w14:paraId="57C6A25C">
      <w:pPr>
        <w:spacing w:line="570" w:lineRule="exact"/>
        <w:ind w:firstLine="0" w:firstLineChars="0"/>
        <w:jc w:val="center"/>
        <w:rPr>
          <w:rFonts w:ascii="方正小标宋_GBK" w:hAnsi="方正小标宋_GBK" w:eastAsia="方正小标宋_GBK" w:cs="方正小标宋_GBK"/>
          <w:sz w:val="44"/>
          <w:szCs w:val="44"/>
        </w:rPr>
      </w:pPr>
    </w:p>
    <w:p w14:paraId="757BD5E6">
      <w:pPr>
        <w:spacing w:line="590" w:lineRule="exact"/>
        <w:ind w:firstLine="0" w:firstLineChars="0"/>
        <w:rPr>
          <w:rFonts w:hint="eastAsia"/>
          <w:szCs w:val="32"/>
        </w:rPr>
      </w:pPr>
      <w:r>
        <w:rPr>
          <w:rFonts w:hint="eastAsia"/>
          <w:szCs w:val="32"/>
        </w:rPr>
        <w:t>各街道办事处，区政府各部门（单位）：</w:t>
      </w:r>
    </w:p>
    <w:p w14:paraId="1DA52B90">
      <w:pPr>
        <w:spacing w:line="590" w:lineRule="exact"/>
        <w:ind w:firstLine="640"/>
        <w:rPr>
          <w:rFonts w:hAnsi="仿宋_GB2312" w:cs="仿宋_GB2312"/>
          <w:szCs w:val="32"/>
        </w:rPr>
      </w:pPr>
      <w:r>
        <w:rPr>
          <w:rFonts w:hint="eastAsia"/>
          <w:szCs w:val="32"/>
        </w:rPr>
        <w:t>现将《济南市天桥区“</w:t>
      </w:r>
      <w:r>
        <w:rPr>
          <w:rFonts w:hint="eastAsia"/>
          <w:szCs w:val="32"/>
          <w:lang w:eastAsia="zh-CN"/>
        </w:rPr>
        <w:t>“十四五”</w:t>
      </w:r>
      <w:r>
        <w:rPr>
          <w:rFonts w:hint="eastAsia"/>
          <w:szCs w:val="32"/>
        </w:rPr>
        <w:t>”畜禽养殖污染防治规划》印发给你们，请认真组织实施。</w:t>
      </w:r>
    </w:p>
    <w:p w14:paraId="7034E0EB">
      <w:pPr>
        <w:spacing w:line="590" w:lineRule="exact"/>
        <w:ind w:firstLine="640"/>
        <w:rPr>
          <w:rFonts w:hAnsi="仿宋_GB2312" w:cs="仿宋_GB2312"/>
          <w:szCs w:val="32"/>
        </w:rPr>
      </w:pPr>
    </w:p>
    <w:p w14:paraId="5F4330A2">
      <w:pPr>
        <w:spacing w:line="590" w:lineRule="exact"/>
        <w:ind w:firstLine="640"/>
        <w:rPr>
          <w:rFonts w:hAnsi="仿宋_GB2312" w:cs="仿宋_GB2312"/>
          <w:szCs w:val="32"/>
        </w:rPr>
      </w:pPr>
    </w:p>
    <w:p w14:paraId="2E6016B3">
      <w:pPr>
        <w:spacing w:line="590" w:lineRule="exact"/>
        <w:ind w:right="640" w:firstLine="640"/>
        <w:jc w:val="center"/>
        <w:rPr>
          <w:rFonts w:hAnsi="仿宋_GB2312" w:cs="仿宋_GB2312"/>
          <w:szCs w:val="32"/>
        </w:rPr>
      </w:pPr>
      <w:r>
        <w:rPr>
          <w:rFonts w:hint="eastAsia" w:hAnsi="仿宋_GB2312" w:cs="仿宋_GB2312"/>
          <w:szCs w:val="32"/>
        </w:rPr>
        <w:t xml:space="preserve">                          济南市天桥区人民政府       </w:t>
      </w:r>
    </w:p>
    <w:p w14:paraId="64B11100">
      <w:pPr>
        <w:tabs>
          <w:tab w:val="left" w:pos="2500"/>
          <w:tab w:val="left" w:pos="4394"/>
        </w:tabs>
        <w:autoSpaceDE w:val="0"/>
        <w:autoSpaceDN w:val="0"/>
        <w:spacing w:line="580" w:lineRule="exact"/>
        <w:ind w:firstLine="0" w:firstLineChars="0"/>
        <w:jc w:val="center"/>
        <w:rPr>
          <w:rFonts w:hAnsi="仿宋_GB2312" w:cs="仿宋_GB2312"/>
          <w:szCs w:val="32"/>
        </w:rPr>
      </w:pPr>
      <w:r>
        <w:rPr>
          <w:rFonts w:hint="eastAsia" w:ascii="Times New Roman" w:hAnsi="Times New Roman" w:cs="Times New Roman"/>
          <w:snapToGrid w:val="0"/>
          <w:szCs w:val="32"/>
        </w:rPr>
        <w:t xml:space="preserve">                          </w:t>
      </w:r>
      <w:r>
        <w:rPr>
          <w:rFonts w:ascii="Times New Roman" w:hAnsi="Times New Roman" w:cs="Times New Roman"/>
          <w:snapToGrid w:val="0"/>
          <w:szCs w:val="32"/>
        </w:rPr>
        <w:t>2023年4月18日</w:t>
      </w:r>
      <w:r>
        <w:rPr>
          <w:rFonts w:hint="eastAsia" w:ascii="Times New Roman" w:hAnsi="Times New Roman" w:cs="Times New Roman"/>
          <w:snapToGrid w:val="0"/>
          <w:szCs w:val="32"/>
        </w:rPr>
        <w:t xml:space="preserve"> </w:t>
      </w:r>
      <w:r>
        <w:rPr>
          <w:rFonts w:hint="eastAsia" w:hAnsi="仿宋_GB2312" w:cs="仿宋_GB2312"/>
          <w:szCs w:val="32"/>
        </w:rPr>
        <w:t xml:space="preserve">      </w:t>
      </w:r>
    </w:p>
    <w:p w14:paraId="2D22C829">
      <w:pPr>
        <w:spacing w:line="590" w:lineRule="exact"/>
        <w:ind w:firstLine="640"/>
        <w:rPr>
          <w:rFonts w:hAnsi="仿宋_GB2312" w:cs="仿宋_GB2312"/>
          <w:szCs w:val="32"/>
        </w:rPr>
      </w:pPr>
    </w:p>
    <w:p w14:paraId="48971988">
      <w:pPr>
        <w:spacing w:line="590" w:lineRule="exact"/>
        <w:ind w:firstLine="640"/>
        <w:rPr>
          <w:rFonts w:hAnsi="仿宋_GB2312" w:cs="仿宋_GB2312"/>
          <w:szCs w:val="32"/>
        </w:rPr>
      </w:pPr>
    </w:p>
    <w:p w14:paraId="318DF3A1">
      <w:pPr>
        <w:spacing w:line="590" w:lineRule="exact"/>
        <w:ind w:firstLine="640"/>
        <w:rPr>
          <w:rFonts w:hAnsi="仿宋_GB2312" w:cs="仿宋_GB231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4" w:right="1502" w:bottom="1814" w:left="1502" w:header="851" w:footer="992" w:gutter="0"/>
          <w:pgNumType w:start="0"/>
          <w:cols w:space="425" w:num="1"/>
          <w:titlePg/>
          <w:docGrid w:type="lines" w:linePitch="435" w:charSpace="0"/>
        </w:sectPr>
      </w:pPr>
    </w:p>
    <w:p w14:paraId="7E221533">
      <w:pPr>
        <w:spacing w:line="590" w:lineRule="exact"/>
        <w:ind w:firstLine="640"/>
        <w:rPr>
          <w:rFonts w:hAnsi="仿宋_GB2312" w:cs="仿宋_GB2312"/>
          <w:szCs w:val="32"/>
        </w:rPr>
      </w:pPr>
    </w:p>
    <w:p w14:paraId="31B6722C">
      <w:pPr>
        <w:spacing w:line="590" w:lineRule="exact"/>
        <w:ind w:firstLine="640"/>
        <w:rPr>
          <w:rFonts w:hAnsi="仿宋_GB2312" w:cs="仿宋_GB2312"/>
          <w:szCs w:val="32"/>
        </w:rPr>
      </w:pPr>
      <w:r>
        <w:rPr>
          <w:rFonts w:hint="eastAsia" w:hAnsi="仿宋_GB2312" w:cs="仿宋_GB2312"/>
          <w:szCs w:val="32"/>
        </w:rPr>
        <w:t>（联系电话：市生态环境局天桥分局管理一科，</w:t>
      </w:r>
      <w:r>
        <w:rPr>
          <w:rFonts w:hint="eastAsia" w:hAnsi="仿宋_GB2312" w:cs="仿宋_GB2312"/>
          <w:szCs w:val="32"/>
          <w:lang w:val="en-US" w:eastAsia="zh-CN"/>
        </w:rPr>
        <w:t>0531-</w:t>
      </w:r>
      <w:r>
        <w:rPr>
          <w:rFonts w:hint="eastAsia" w:ascii="Times New Roman" w:hAnsi="Times New Roman" w:cs="Times New Roman"/>
          <w:snapToGrid w:val="0"/>
          <w:szCs w:val="32"/>
        </w:rPr>
        <w:t>86163276</w:t>
      </w:r>
      <w:r>
        <w:rPr>
          <w:rFonts w:hint="eastAsia" w:hAnsi="仿宋_GB2312" w:cs="仿宋_GB2312"/>
          <w:szCs w:val="32"/>
        </w:rPr>
        <w:t>）</w:t>
      </w:r>
    </w:p>
    <w:p w14:paraId="659AEABF">
      <w:pPr>
        <w:spacing w:line="590" w:lineRule="exact"/>
        <w:ind w:firstLine="640"/>
        <w:rPr>
          <w:rFonts w:ascii="方正小标宋_GBK" w:hAnsi="方正小标宋_GBK" w:eastAsia="方正小标宋_GBK" w:cs="方正小标宋_GBK"/>
          <w:sz w:val="44"/>
          <w:szCs w:val="44"/>
        </w:rPr>
      </w:pPr>
      <w:r>
        <w:rPr>
          <w:rFonts w:hint="eastAsia" w:hAnsi="仿宋_GB2312" w:cs="仿宋_GB2312"/>
          <w:szCs w:val="32"/>
        </w:rPr>
        <w:t>（此件公开发布）</w:t>
      </w:r>
    </w:p>
    <w:p w14:paraId="69C9F47E">
      <w:pPr>
        <w:overflowPunct w:val="0"/>
        <w:spacing w:line="760" w:lineRule="exact"/>
        <w:ind w:firstLine="0" w:firstLineChars="0"/>
        <w:jc w:val="center"/>
        <w:rPr>
          <w:rFonts w:ascii="Times New Roman" w:hAnsi="Times New Roman" w:eastAsia="方正小标宋简体" w:cs="Times New Roman"/>
          <w:sz w:val="52"/>
          <w:szCs w:val="44"/>
        </w:rPr>
        <w:sectPr>
          <w:footerReference r:id="rId12" w:type="first"/>
          <w:footerReference r:id="rId11" w:type="default"/>
          <w:pgSz w:w="11906" w:h="16838"/>
          <w:pgMar w:top="1984" w:right="1502" w:bottom="1814" w:left="1502" w:header="851" w:footer="992" w:gutter="0"/>
          <w:pgNumType w:start="1"/>
          <w:cols w:space="425" w:num="1"/>
          <w:titlePg/>
          <w:docGrid w:type="lines" w:linePitch="435" w:charSpace="0"/>
        </w:sectPr>
      </w:pPr>
    </w:p>
    <w:p w14:paraId="41F4C3D1">
      <w:pPr>
        <w:overflowPunct w:val="0"/>
        <w:spacing w:line="760" w:lineRule="exact"/>
        <w:ind w:firstLine="0" w:firstLineChars="0"/>
        <w:jc w:val="center"/>
        <w:rPr>
          <w:rFonts w:ascii="Times New Roman" w:hAnsi="Times New Roman" w:eastAsia="方正小标宋简体" w:cs="Times New Roman"/>
          <w:sz w:val="52"/>
          <w:szCs w:val="44"/>
        </w:rPr>
      </w:pPr>
      <w:r>
        <w:rPr>
          <w:rFonts w:hint="eastAsia" w:ascii="Times New Roman" w:hAnsi="Times New Roman" w:eastAsia="方正小标宋简体" w:cs="Times New Roman"/>
          <w:sz w:val="52"/>
          <w:szCs w:val="44"/>
        </w:rPr>
        <w:t>济南市天桥区“</w:t>
      </w:r>
      <w:r>
        <w:rPr>
          <w:rFonts w:hint="eastAsia" w:ascii="Times New Roman" w:hAnsi="Times New Roman" w:eastAsia="方正小标宋简体" w:cs="Times New Roman"/>
          <w:sz w:val="52"/>
          <w:szCs w:val="44"/>
          <w:lang w:eastAsia="zh-CN"/>
        </w:rPr>
        <w:t>“十四五”</w:t>
      </w:r>
      <w:r>
        <w:rPr>
          <w:rFonts w:hint="eastAsia" w:ascii="Times New Roman" w:hAnsi="Times New Roman" w:eastAsia="方正小标宋简体" w:cs="Times New Roman"/>
          <w:sz w:val="52"/>
          <w:szCs w:val="44"/>
        </w:rPr>
        <w:t>”畜禽养殖污染防治规划</w:t>
      </w:r>
    </w:p>
    <w:p w14:paraId="7F913493">
      <w:pPr>
        <w:overflowPunct w:val="0"/>
        <w:ind w:firstLine="723"/>
        <w:rPr>
          <w:rFonts w:ascii="仿宋" w:hAnsi="仿宋" w:eastAsia="仿宋" w:cs="仿宋"/>
          <w:b/>
          <w:color w:val="000000"/>
          <w:sz w:val="36"/>
          <w:szCs w:val="30"/>
        </w:rPr>
      </w:pPr>
    </w:p>
    <w:p w14:paraId="61EDEE92">
      <w:pPr>
        <w:overflowPunct w:val="0"/>
        <w:ind w:firstLine="723"/>
        <w:rPr>
          <w:rFonts w:ascii="仿宋" w:hAnsi="仿宋" w:eastAsia="仿宋" w:cs="仿宋"/>
          <w:b/>
          <w:color w:val="000000"/>
          <w:sz w:val="36"/>
          <w:szCs w:val="30"/>
        </w:rPr>
      </w:pPr>
    </w:p>
    <w:p w14:paraId="3175326F">
      <w:pPr>
        <w:overflowPunct w:val="0"/>
        <w:ind w:firstLine="723"/>
        <w:rPr>
          <w:rFonts w:ascii="仿宋" w:hAnsi="仿宋" w:eastAsia="仿宋" w:cs="仿宋"/>
          <w:b/>
          <w:color w:val="000000"/>
          <w:sz w:val="36"/>
          <w:szCs w:val="30"/>
        </w:rPr>
      </w:pPr>
    </w:p>
    <w:p w14:paraId="0C364744">
      <w:pPr>
        <w:overflowPunct w:val="0"/>
        <w:ind w:firstLine="723"/>
        <w:rPr>
          <w:rFonts w:ascii="仿宋" w:hAnsi="仿宋" w:eastAsia="仿宋" w:cs="仿宋"/>
          <w:b/>
          <w:color w:val="000000"/>
          <w:sz w:val="36"/>
          <w:szCs w:val="30"/>
        </w:rPr>
      </w:pPr>
    </w:p>
    <w:p w14:paraId="3D530831">
      <w:pPr>
        <w:overflowPunct w:val="0"/>
        <w:ind w:firstLine="723"/>
        <w:rPr>
          <w:rFonts w:ascii="仿宋" w:hAnsi="仿宋" w:eastAsia="仿宋" w:cs="仿宋"/>
          <w:b/>
          <w:color w:val="000000"/>
          <w:sz w:val="36"/>
          <w:szCs w:val="30"/>
        </w:rPr>
      </w:pPr>
    </w:p>
    <w:p w14:paraId="0A68C74E">
      <w:pPr>
        <w:pStyle w:val="19"/>
        <w:ind w:left="640" w:firstLine="640"/>
      </w:pPr>
    </w:p>
    <w:p w14:paraId="033088DC">
      <w:pPr>
        <w:pStyle w:val="19"/>
        <w:ind w:left="640" w:firstLine="640"/>
      </w:pPr>
    </w:p>
    <w:p w14:paraId="1C6F7579">
      <w:pPr>
        <w:pStyle w:val="19"/>
        <w:ind w:left="640" w:firstLine="640"/>
      </w:pPr>
    </w:p>
    <w:p w14:paraId="511217AC">
      <w:pPr>
        <w:pStyle w:val="19"/>
        <w:ind w:left="0" w:leftChars="0" w:firstLine="640"/>
      </w:pPr>
    </w:p>
    <w:p w14:paraId="13B137CF">
      <w:pPr>
        <w:tabs>
          <w:tab w:val="left" w:pos="3246"/>
        </w:tabs>
        <w:overflowPunct w:val="0"/>
        <w:ind w:firstLine="0" w:firstLineChars="0"/>
        <w:jc w:val="center"/>
        <w:rPr>
          <w:rFonts w:ascii="Times New Roman" w:hAnsi="Times New Roman" w:eastAsia="楷体_GB2312" w:cs="Times New Roman"/>
          <w:bCs/>
          <w:color w:val="000000"/>
          <w:sz w:val="48"/>
          <w:szCs w:val="48"/>
        </w:rPr>
        <w:sectPr>
          <w:footerReference r:id="rId14" w:type="first"/>
          <w:footerReference r:id="rId13" w:type="default"/>
          <w:pgSz w:w="11906" w:h="16838"/>
          <w:pgMar w:top="1984" w:right="1502" w:bottom="1814" w:left="1502" w:header="0" w:footer="992" w:gutter="0"/>
          <w:pgNumType w:start="1"/>
          <w:cols w:space="425" w:num="1"/>
          <w:titlePg/>
          <w:docGrid w:type="lines" w:linePitch="435" w:charSpace="0"/>
        </w:sectPr>
      </w:pPr>
      <w:r>
        <w:rPr>
          <w:rFonts w:ascii="Times New Roman" w:hAnsi="Times New Roman" w:eastAsia="楷体_GB2312" w:cs="Times New Roman"/>
          <w:bCs/>
          <w:color w:val="000000"/>
          <w:sz w:val="48"/>
          <w:szCs w:val="48"/>
        </w:rPr>
        <w:t>2023年4月</w:t>
      </w:r>
    </w:p>
    <w:p w14:paraId="699F8D9E">
      <w:pPr>
        <w:pStyle w:val="62"/>
        <w:spacing w:before="0"/>
        <w:jc w:val="center"/>
        <w:rPr>
          <w:rFonts w:ascii="方正小标宋简体" w:eastAsia="方正小标宋简体"/>
          <w:color w:val="auto"/>
          <w:sz w:val="36"/>
          <w:szCs w:val="36"/>
          <w:lang w:val="zh-CN"/>
        </w:rPr>
      </w:pPr>
      <w:r>
        <w:rPr>
          <w:rFonts w:hint="eastAsia" w:ascii="方正小标宋简体" w:eastAsia="方正小标宋简体"/>
          <w:color w:val="auto"/>
          <w:sz w:val="36"/>
          <w:szCs w:val="36"/>
          <w:lang w:val="zh-CN"/>
        </w:rPr>
        <w:t>目 录</w:t>
      </w:r>
    </w:p>
    <w:p w14:paraId="7CA3E968">
      <w:pPr>
        <w:pStyle w:val="13"/>
        <w:rPr>
          <w:rFonts w:cstheme="minorBidi"/>
          <w:kern w:val="2"/>
        </w:rPr>
      </w:pPr>
      <w:r>
        <w:rPr>
          <w:rFonts w:eastAsia="楷体_GB2312"/>
          <w:bCs/>
          <w:color w:val="000000"/>
          <w:sz w:val="48"/>
          <w:szCs w:val="48"/>
        </w:rPr>
        <w:fldChar w:fldCharType="begin"/>
      </w:r>
      <w:r>
        <w:rPr>
          <w:rFonts w:eastAsia="楷体_GB2312"/>
          <w:bCs/>
          <w:color w:val="000000"/>
          <w:sz w:val="48"/>
          <w:szCs w:val="48"/>
        </w:rPr>
        <w:instrText xml:space="preserve"> TOC \o "1-2" \h \z \u </w:instrText>
      </w:r>
      <w:r>
        <w:rPr>
          <w:rFonts w:eastAsia="楷体_GB2312"/>
          <w:bCs/>
          <w:color w:val="000000"/>
          <w:sz w:val="48"/>
          <w:szCs w:val="48"/>
        </w:rPr>
        <w:fldChar w:fldCharType="separate"/>
      </w:r>
      <w:r>
        <w:fldChar w:fldCharType="begin"/>
      </w:r>
      <w:r>
        <w:instrText xml:space="preserve"> HYPERLINK \l "_Toc127540603" </w:instrText>
      </w:r>
      <w:r>
        <w:fldChar w:fldCharType="separate"/>
      </w:r>
      <w:r>
        <w:rPr>
          <w:rStyle w:val="24"/>
        </w:rPr>
        <w:t>一、 发展基础与面临形势</w:t>
      </w:r>
      <w:r>
        <w:rPr>
          <w:rStyle w:val="24"/>
          <w:rFonts w:ascii="楷体_GB2312" w:eastAsia="楷体_GB2312" w:hAnsiTheme="minorHAnsi"/>
        </w:rPr>
        <w:tab/>
      </w:r>
      <w:r>
        <w:rPr>
          <w:rStyle w:val="24"/>
          <w:rFonts w:ascii="楷体_GB2312" w:eastAsia="楷体_GB2312" w:hAnsiTheme="minorHAnsi"/>
        </w:rPr>
        <w:fldChar w:fldCharType="begin"/>
      </w:r>
      <w:r>
        <w:rPr>
          <w:rStyle w:val="24"/>
          <w:rFonts w:ascii="楷体_GB2312" w:eastAsia="楷体_GB2312" w:hAnsiTheme="minorHAnsi"/>
        </w:rPr>
        <w:instrText xml:space="preserve"> PAGEREF _Toc127540603 \h </w:instrText>
      </w:r>
      <w:r>
        <w:rPr>
          <w:rStyle w:val="24"/>
          <w:rFonts w:ascii="楷体_GB2312" w:eastAsia="楷体_GB2312" w:hAnsiTheme="minorHAnsi"/>
        </w:rPr>
        <w:fldChar w:fldCharType="separate"/>
      </w:r>
      <w:r>
        <w:rPr>
          <w:rStyle w:val="24"/>
          <w:rFonts w:ascii="楷体_GB2312" w:eastAsia="楷体_GB2312" w:hAnsiTheme="minorHAnsi"/>
        </w:rPr>
        <w:t>1</w:t>
      </w:r>
      <w:r>
        <w:rPr>
          <w:rStyle w:val="24"/>
          <w:rFonts w:ascii="楷体_GB2312" w:eastAsia="楷体_GB2312" w:hAnsiTheme="minorHAnsi"/>
        </w:rPr>
        <w:fldChar w:fldCharType="end"/>
      </w:r>
      <w:r>
        <w:rPr>
          <w:rStyle w:val="24"/>
          <w:rFonts w:ascii="楷体_GB2312" w:eastAsia="楷体_GB2312" w:hAnsiTheme="minorHAnsi"/>
        </w:rPr>
        <w:fldChar w:fldCharType="end"/>
      </w:r>
    </w:p>
    <w:p w14:paraId="3C5142FC">
      <w:pPr>
        <w:pStyle w:val="15"/>
        <w:rPr>
          <w:rFonts w:cstheme="minorBidi"/>
          <w:kern w:val="2"/>
        </w:rPr>
      </w:pPr>
      <w:r>
        <w:fldChar w:fldCharType="begin"/>
      </w:r>
      <w:r>
        <w:instrText xml:space="preserve"> HYPERLINK \l "_Toc127540604" </w:instrText>
      </w:r>
      <w:r>
        <w:fldChar w:fldCharType="separate"/>
      </w:r>
      <w:r>
        <w:rPr>
          <w:rStyle w:val="24"/>
          <w:rFonts w:hint="eastAsia"/>
        </w:rPr>
        <w:t>（一）天桥区畜禽养殖污染防治现状</w:t>
      </w:r>
      <w:r>
        <w:rPr>
          <w:rFonts w:hint="eastAsia"/>
        </w:rPr>
        <w:tab/>
      </w:r>
      <w:r>
        <w:rPr>
          <w:rFonts w:hint="eastAsia"/>
        </w:rPr>
        <w:fldChar w:fldCharType="begin"/>
      </w:r>
      <w:r>
        <w:rPr>
          <w:rFonts w:hint="eastAsia"/>
        </w:rPr>
        <w:instrText xml:space="preserve"> PAGEREF _Toc127540604 \h </w:instrText>
      </w:r>
      <w:r>
        <w:rPr>
          <w:rFonts w:hint="eastAsia"/>
        </w:rPr>
        <w:fldChar w:fldCharType="separate"/>
      </w:r>
      <w:r>
        <w:t>1</w:t>
      </w:r>
      <w:r>
        <w:rPr>
          <w:rFonts w:hint="eastAsia"/>
        </w:rPr>
        <w:fldChar w:fldCharType="end"/>
      </w:r>
      <w:r>
        <w:rPr>
          <w:rFonts w:hint="eastAsia"/>
        </w:rPr>
        <w:fldChar w:fldCharType="end"/>
      </w:r>
    </w:p>
    <w:p w14:paraId="03395837">
      <w:pPr>
        <w:pStyle w:val="15"/>
        <w:rPr>
          <w:rFonts w:cstheme="minorBidi"/>
          <w:kern w:val="2"/>
          <w:sz w:val="21"/>
        </w:rPr>
      </w:pPr>
      <w:r>
        <w:fldChar w:fldCharType="begin"/>
      </w:r>
      <w:r>
        <w:instrText xml:space="preserve"> HYPERLINK \l "_Toc127540605" </w:instrText>
      </w:r>
      <w:r>
        <w:fldChar w:fldCharType="separate"/>
      </w:r>
      <w:r>
        <w:rPr>
          <w:rStyle w:val="24"/>
        </w:rPr>
        <w:t>（二）面临的形势</w:t>
      </w:r>
      <w:r>
        <w:tab/>
      </w:r>
      <w:r>
        <w:fldChar w:fldCharType="begin"/>
      </w:r>
      <w:r>
        <w:instrText xml:space="preserve"> PAGEREF _Toc127540605 \h </w:instrText>
      </w:r>
      <w:r>
        <w:fldChar w:fldCharType="separate"/>
      </w:r>
      <w:r>
        <w:t>4</w:t>
      </w:r>
      <w:r>
        <w:fldChar w:fldCharType="end"/>
      </w:r>
      <w:r>
        <w:fldChar w:fldCharType="end"/>
      </w:r>
    </w:p>
    <w:p w14:paraId="4F18D0A2">
      <w:pPr>
        <w:pStyle w:val="13"/>
        <w:rPr>
          <w:rFonts w:cstheme="minorBidi"/>
          <w:kern w:val="2"/>
          <w:sz w:val="21"/>
        </w:rPr>
      </w:pPr>
      <w:r>
        <w:fldChar w:fldCharType="begin"/>
      </w:r>
      <w:r>
        <w:instrText xml:space="preserve"> HYPERLINK \l "_Toc127540606" </w:instrText>
      </w:r>
      <w:r>
        <w:fldChar w:fldCharType="separate"/>
      </w:r>
      <w:r>
        <w:rPr>
          <w:rStyle w:val="24"/>
        </w:rPr>
        <w:t>二、</w:t>
      </w:r>
      <w:r>
        <w:rPr>
          <w:rStyle w:val="24"/>
          <w:rFonts w:ascii="Times New Roman" w:hAnsi="Times New Roman"/>
        </w:rPr>
        <w:t xml:space="preserve"> 规划指标与目标</w:t>
      </w:r>
      <w:r>
        <w:rPr>
          <w:rStyle w:val="24"/>
          <w:rFonts w:ascii="楷体_GB2312" w:eastAsia="楷体_GB2312" w:hAnsiTheme="minorHAnsi"/>
        </w:rPr>
        <w:tab/>
      </w:r>
      <w:r>
        <w:rPr>
          <w:rStyle w:val="24"/>
          <w:rFonts w:ascii="楷体_GB2312" w:eastAsia="楷体_GB2312" w:hAnsiTheme="minorHAnsi"/>
        </w:rPr>
        <w:fldChar w:fldCharType="begin"/>
      </w:r>
      <w:r>
        <w:rPr>
          <w:rStyle w:val="24"/>
          <w:rFonts w:ascii="楷体_GB2312" w:eastAsia="楷体_GB2312" w:hAnsiTheme="minorHAnsi"/>
        </w:rPr>
        <w:instrText xml:space="preserve"> PAGEREF _Toc127540606 \h </w:instrText>
      </w:r>
      <w:r>
        <w:rPr>
          <w:rStyle w:val="24"/>
          <w:rFonts w:ascii="楷体_GB2312" w:eastAsia="楷体_GB2312" w:hAnsiTheme="minorHAnsi"/>
        </w:rPr>
        <w:fldChar w:fldCharType="separate"/>
      </w:r>
      <w:r>
        <w:rPr>
          <w:rStyle w:val="24"/>
          <w:rFonts w:ascii="楷体_GB2312" w:eastAsia="楷体_GB2312" w:hAnsiTheme="minorHAnsi"/>
        </w:rPr>
        <w:t>6</w:t>
      </w:r>
      <w:r>
        <w:rPr>
          <w:rStyle w:val="24"/>
          <w:rFonts w:ascii="楷体_GB2312" w:eastAsia="楷体_GB2312" w:hAnsiTheme="minorHAnsi"/>
        </w:rPr>
        <w:fldChar w:fldCharType="end"/>
      </w:r>
      <w:r>
        <w:rPr>
          <w:rStyle w:val="24"/>
          <w:rFonts w:ascii="楷体_GB2312" w:eastAsia="楷体_GB2312" w:hAnsiTheme="minorHAnsi"/>
        </w:rPr>
        <w:fldChar w:fldCharType="end"/>
      </w:r>
    </w:p>
    <w:p w14:paraId="5005317C">
      <w:pPr>
        <w:pStyle w:val="15"/>
        <w:rPr>
          <w:rFonts w:cstheme="minorBidi"/>
          <w:kern w:val="2"/>
          <w:sz w:val="21"/>
        </w:rPr>
      </w:pPr>
      <w:r>
        <w:fldChar w:fldCharType="begin"/>
      </w:r>
      <w:r>
        <w:instrText xml:space="preserve"> HYPERLINK \l "_Toc127540607" </w:instrText>
      </w:r>
      <w:r>
        <w:fldChar w:fldCharType="separate"/>
      </w:r>
      <w:r>
        <w:rPr>
          <w:rStyle w:val="24"/>
        </w:rPr>
        <w:t>（一）指导思想</w:t>
      </w:r>
      <w:r>
        <w:tab/>
      </w:r>
      <w:r>
        <w:fldChar w:fldCharType="begin"/>
      </w:r>
      <w:r>
        <w:instrText xml:space="preserve"> PAGEREF _Toc127540607 \h </w:instrText>
      </w:r>
      <w:r>
        <w:fldChar w:fldCharType="separate"/>
      </w:r>
      <w:r>
        <w:t>6</w:t>
      </w:r>
      <w:r>
        <w:fldChar w:fldCharType="end"/>
      </w:r>
      <w:r>
        <w:fldChar w:fldCharType="end"/>
      </w:r>
    </w:p>
    <w:p w14:paraId="660A39DC">
      <w:pPr>
        <w:pStyle w:val="15"/>
        <w:rPr>
          <w:rFonts w:cstheme="minorBidi"/>
          <w:kern w:val="2"/>
          <w:sz w:val="21"/>
        </w:rPr>
      </w:pPr>
      <w:r>
        <w:fldChar w:fldCharType="begin"/>
      </w:r>
      <w:r>
        <w:instrText xml:space="preserve"> HYPERLINK \l "_Toc127540608" </w:instrText>
      </w:r>
      <w:r>
        <w:fldChar w:fldCharType="separate"/>
      </w:r>
      <w:r>
        <w:rPr>
          <w:rStyle w:val="24"/>
        </w:rPr>
        <w:t>（二）编制原则</w:t>
      </w:r>
      <w:r>
        <w:tab/>
      </w:r>
      <w:r>
        <w:fldChar w:fldCharType="begin"/>
      </w:r>
      <w:r>
        <w:instrText xml:space="preserve"> PAGEREF _Toc127540608 \h </w:instrText>
      </w:r>
      <w:r>
        <w:fldChar w:fldCharType="separate"/>
      </w:r>
      <w:r>
        <w:t>7</w:t>
      </w:r>
      <w:r>
        <w:fldChar w:fldCharType="end"/>
      </w:r>
      <w:r>
        <w:fldChar w:fldCharType="end"/>
      </w:r>
    </w:p>
    <w:p w14:paraId="28853AF1">
      <w:pPr>
        <w:pStyle w:val="15"/>
        <w:rPr>
          <w:rFonts w:cstheme="minorBidi"/>
          <w:kern w:val="2"/>
          <w:sz w:val="21"/>
        </w:rPr>
      </w:pPr>
      <w:r>
        <w:fldChar w:fldCharType="begin"/>
      </w:r>
      <w:r>
        <w:instrText xml:space="preserve"> HYPERLINK \l "_Toc127540609" </w:instrText>
      </w:r>
      <w:r>
        <w:fldChar w:fldCharType="separate"/>
      </w:r>
      <w:r>
        <w:rPr>
          <w:rStyle w:val="24"/>
        </w:rPr>
        <w:t>（三）规划时间和范围</w:t>
      </w:r>
      <w:r>
        <w:tab/>
      </w:r>
      <w:r>
        <w:fldChar w:fldCharType="begin"/>
      </w:r>
      <w:r>
        <w:instrText xml:space="preserve"> PAGEREF _Toc127540609 \h </w:instrText>
      </w:r>
      <w:r>
        <w:fldChar w:fldCharType="separate"/>
      </w:r>
      <w:r>
        <w:t>8</w:t>
      </w:r>
      <w:r>
        <w:fldChar w:fldCharType="end"/>
      </w:r>
      <w:r>
        <w:fldChar w:fldCharType="end"/>
      </w:r>
    </w:p>
    <w:p w14:paraId="4BFFC741">
      <w:pPr>
        <w:pStyle w:val="15"/>
        <w:rPr>
          <w:rFonts w:cstheme="minorBidi"/>
          <w:kern w:val="2"/>
          <w:sz w:val="21"/>
        </w:rPr>
      </w:pPr>
      <w:r>
        <w:fldChar w:fldCharType="begin"/>
      </w:r>
      <w:r>
        <w:instrText xml:space="preserve"> HYPERLINK \l "_Toc127540610" </w:instrText>
      </w:r>
      <w:r>
        <w:fldChar w:fldCharType="separate"/>
      </w:r>
      <w:r>
        <w:rPr>
          <w:rStyle w:val="24"/>
        </w:rPr>
        <w:t>（四）规划目标</w:t>
      </w:r>
      <w:r>
        <w:tab/>
      </w:r>
      <w:r>
        <w:fldChar w:fldCharType="begin"/>
      </w:r>
      <w:r>
        <w:instrText xml:space="preserve"> PAGEREF _Toc127540610 \h </w:instrText>
      </w:r>
      <w:r>
        <w:fldChar w:fldCharType="separate"/>
      </w:r>
      <w:r>
        <w:t>8</w:t>
      </w:r>
      <w:r>
        <w:fldChar w:fldCharType="end"/>
      </w:r>
      <w:r>
        <w:fldChar w:fldCharType="end"/>
      </w:r>
    </w:p>
    <w:p w14:paraId="22A1CECC">
      <w:pPr>
        <w:pStyle w:val="13"/>
        <w:rPr>
          <w:rStyle w:val="24"/>
          <w:rFonts w:ascii="Times New Roman" w:hAnsi="Times New Roman"/>
        </w:rPr>
      </w:pPr>
      <w:r>
        <w:fldChar w:fldCharType="begin"/>
      </w:r>
      <w:r>
        <w:instrText xml:space="preserve"> HYPERLINK \l "_Toc127540611" </w:instrText>
      </w:r>
      <w:r>
        <w:fldChar w:fldCharType="separate"/>
      </w:r>
      <w:r>
        <w:rPr>
          <w:rStyle w:val="24"/>
          <w:rFonts w:ascii="Times New Roman" w:hAnsi="Times New Roman"/>
        </w:rPr>
        <w:t>三、 主要任务</w:t>
      </w:r>
      <w:r>
        <w:rPr>
          <w:rFonts w:ascii="楷体_GB2312" w:eastAsia="楷体_GB2312" w:hAnsiTheme="minorHAnsi"/>
        </w:rPr>
        <w:tab/>
      </w:r>
      <w:r>
        <w:rPr>
          <w:rFonts w:ascii="楷体_GB2312" w:eastAsia="楷体_GB2312" w:hAnsiTheme="minorHAnsi"/>
        </w:rPr>
        <w:fldChar w:fldCharType="begin"/>
      </w:r>
      <w:r>
        <w:rPr>
          <w:rFonts w:ascii="楷体_GB2312" w:eastAsia="楷体_GB2312" w:hAnsiTheme="minorHAnsi"/>
        </w:rPr>
        <w:instrText xml:space="preserve"> PAGEREF _Toc127540611 \h </w:instrText>
      </w:r>
      <w:r>
        <w:rPr>
          <w:rFonts w:ascii="楷体_GB2312" w:eastAsia="楷体_GB2312" w:hAnsiTheme="minorHAnsi"/>
        </w:rPr>
        <w:fldChar w:fldCharType="separate"/>
      </w:r>
      <w:r>
        <w:rPr>
          <w:rFonts w:ascii="楷体_GB2312" w:eastAsia="楷体_GB2312" w:hAnsiTheme="minorHAnsi"/>
        </w:rPr>
        <w:t>9</w:t>
      </w:r>
      <w:r>
        <w:rPr>
          <w:rFonts w:ascii="楷体_GB2312" w:eastAsia="楷体_GB2312" w:hAnsiTheme="minorHAnsi"/>
        </w:rPr>
        <w:fldChar w:fldCharType="end"/>
      </w:r>
      <w:r>
        <w:rPr>
          <w:rFonts w:ascii="楷体_GB2312" w:eastAsia="楷体_GB2312" w:hAnsiTheme="minorHAnsi"/>
        </w:rPr>
        <w:fldChar w:fldCharType="end"/>
      </w:r>
    </w:p>
    <w:p w14:paraId="57B17DA8">
      <w:pPr>
        <w:pStyle w:val="15"/>
        <w:rPr>
          <w:rFonts w:cstheme="minorBidi"/>
          <w:kern w:val="2"/>
          <w:sz w:val="21"/>
        </w:rPr>
      </w:pPr>
      <w:r>
        <w:fldChar w:fldCharType="begin"/>
      </w:r>
      <w:r>
        <w:instrText xml:space="preserve"> HYPERLINK \l "_Toc127540612" </w:instrText>
      </w:r>
      <w:r>
        <w:fldChar w:fldCharType="separate"/>
      </w:r>
      <w:r>
        <w:rPr>
          <w:rStyle w:val="24"/>
        </w:rPr>
        <w:t>（一）坚持分区分类管理，促进畜牧业高质量发展</w:t>
      </w:r>
      <w:r>
        <w:tab/>
      </w:r>
      <w:r>
        <w:fldChar w:fldCharType="begin"/>
      </w:r>
      <w:r>
        <w:instrText xml:space="preserve"> PAGEREF _Toc127540612 \h </w:instrText>
      </w:r>
      <w:r>
        <w:fldChar w:fldCharType="separate"/>
      </w:r>
      <w:r>
        <w:t>9</w:t>
      </w:r>
      <w:r>
        <w:fldChar w:fldCharType="end"/>
      </w:r>
      <w:r>
        <w:fldChar w:fldCharType="end"/>
      </w:r>
    </w:p>
    <w:p w14:paraId="226E08A7">
      <w:pPr>
        <w:pStyle w:val="15"/>
        <w:rPr>
          <w:rFonts w:cstheme="minorBidi"/>
          <w:kern w:val="2"/>
          <w:sz w:val="21"/>
        </w:rPr>
      </w:pPr>
      <w:r>
        <w:fldChar w:fldCharType="begin"/>
      </w:r>
      <w:r>
        <w:instrText xml:space="preserve"> HYPERLINK \l "_Toc127540613" </w:instrText>
      </w:r>
      <w:r>
        <w:fldChar w:fldCharType="separate"/>
      </w:r>
      <w:r>
        <w:rPr>
          <w:rStyle w:val="24"/>
        </w:rPr>
        <w:t>（二）强化精准治污，完善粪污处理和利用设施。</w:t>
      </w:r>
      <w:r>
        <w:tab/>
      </w:r>
      <w:r>
        <w:fldChar w:fldCharType="begin"/>
      </w:r>
      <w:r>
        <w:instrText xml:space="preserve"> PAGEREF _Toc127540613 \h </w:instrText>
      </w:r>
      <w:r>
        <w:fldChar w:fldCharType="separate"/>
      </w:r>
      <w:r>
        <w:t>10</w:t>
      </w:r>
      <w:r>
        <w:fldChar w:fldCharType="end"/>
      </w:r>
      <w:r>
        <w:fldChar w:fldCharType="end"/>
      </w:r>
    </w:p>
    <w:p w14:paraId="3E6A0470">
      <w:pPr>
        <w:pStyle w:val="15"/>
        <w:rPr>
          <w:rFonts w:cstheme="minorBidi"/>
          <w:kern w:val="2"/>
          <w:sz w:val="21"/>
        </w:rPr>
      </w:pPr>
      <w:r>
        <w:fldChar w:fldCharType="begin"/>
      </w:r>
      <w:r>
        <w:instrText xml:space="preserve"> HYPERLINK \l "_Toc127540614" </w:instrText>
      </w:r>
      <w:r>
        <w:fldChar w:fldCharType="separate"/>
      </w:r>
      <w:r>
        <w:rPr>
          <w:rStyle w:val="24"/>
        </w:rPr>
        <w:t>（三）推进种养结合，持续提升资源化利用水平</w:t>
      </w:r>
      <w:r>
        <w:tab/>
      </w:r>
      <w:r>
        <w:fldChar w:fldCharType="begin"/>
      </w:r>
      <w:r>
        <w:instrText xml:space="preserve"> PAGEREF _Toc127540614 \h </w:instrText>
      </w:r>
      <w:r>
        <w:fldChar w:fldCharType="separate"/>
      </w:r>
      <w:r>
        <w:t>11</w:t>
      </w:r>
      <w:r>
        <w:fldChar w:fldCharType="end"/>
      </w:r>
      <w:r>
        <w:fldChar w:fldCharType="end"/>
      </w:r>
    </w:p>
    <w:p w14:paraId="2AD1C8E1">
      <w:pPr>
        <w:pStyle w:val="15"/>
        <w:rPr>
          <w:rFonts w:cstheme="minorBidi"/>
          <w:kern w:val="2"/>
          <w:sz w:val="21"/>
        </w:rPr>
      </w:pPr>
      <w:r>
        <w:fldChar w:fldCharType="begin"/>
      </w:r>
      <w:r>
        <w:instrText xml:space="preserve"> HYPERLINK \l "_Toc127540615" </w:instrText>
      </w:r>
      <w:r>
        <w:fldChar w:fldCharType="separate"/>
      </w:r>
      <w:r>
        <w:rPr>
          <w:rStyle w:val="24"/>
        </w:rPr>
        <w:t>（四）健全台账管理制度，强化信息共享。</w:t>
      </w:r>
      <w:r>
        <w:tab/>
      </w:r>
      <w:r>
        <w:fldChar w:fldCharType="begin"/>
      </w:r>
      <w:r>
        <w:instrText xml:space="preserve"> PAGEREF _Toc127540615 \h </w:instrText>
      </w:r>
      <w:r>
        <w:fldChar w:fldCharType="separate"/>
      </w:r>
      <w:r>
        <w:t>12</w:t>
      </w:r>
      <w:r>
        <w:fldChar w:fldCharType="end"/>
      </w:r>
      <w:r>
        <w:fldChar w:fldCharType="end"/>
      </w:r>
    </w:p>
    <w:p w14:paraId="7A47743B">
      <w:pPr>
        <w:pStyle w:val="15"/>
        <w:rPr>
          <w:rFonts w:cstheme="minorBidi"/>
          <w:kern w:val="2"/>
          <w:sz w:val="21"/>
        </w:rPr>
      </w:pPr>
      <w:r>
        <w:fldChar w:fldCharType="begin"/>
      </w:r>
      <w:r>
        <w:instrText xml:space="preserve"> HYPERLINK \l "_Toc127540616" </w:instrText>
      </w:r>
      <w:r>
        <w:fldChar w:fldCharType="separate"/>
      </w:r>
      <w:r>
        <w:rPr>
          <w:rStyle w:val="24"/>
        </w:rPr>
        <w:t>（五）强化环境监管，加持创新技术推广</w:t>
      </w:r>
      <w:r>
        <w:tab/>
      </w:r>
      <w:r>
        <w:fldChar w:fldCharType="begin"/>
      </w:r>
      <w:r>
        <w:instrText xml:space="preserve"> PAGEREF _Toc127540616 \h </w:instrText>
      </w:r>
      <w:r>
        <w:fldChar w:fldCharType="separate"/>
      </w:r>
      <w:r>
        <w:t>13</w:t>
      </w:r>
      <w:r>
        <w:fldChar w:fldCharType="end"/>
      </w:r>
      <w:r>
        <w:fldChar w:fldCharType="end"/>
      </w:r>
    </w:p>
    <w:p w14:paraId="2204C20E">
      <w:pPr>
        <w:pStyle w:val="13"/>
        <w:rPr>
          <w:rFonts w:cstheme="minorBidi"/>
          <w:kern w:val="2"/>
          <w:sz w:val="21"/>
        </w:rPr>
      </w:pPr>
      <w:r>
        <w:fldChar w:fldCharType="begin"/>
      </w:r>
      <w:r>
        <w:instrText xml:space="preserve"> HYPERLINK \l "_Toc127540617" </w:instrText>
      </w:r>
      <w:r>
        <w:fldChar w:fldCharType="separate"/>
      </w:r>
      <w:r>
        <w:rPr>
          <w:rStyle w:val="24"/>
        </w:rPr>
        <w:t>四、</w:t>
      </w:r>
      <w:r>
        <w:rPr>
          <w:rStyle w:val="24"/>
          <w:rFonts w:ascii="Times New Roman" w:hAnsi="Times New Roman"/>
        </w:rPr>
        <w:t xml:space="preserve"> 保障措施</w:t>
      </w:r>
      <w:r>
        <w:rPr>
          <w:rStyle w:val="24"/>
          <w:rFonts w:ascii="楷体_GB2312" w:eastAsia="楷体_GB2312" w:hAnsiTheme="minorHAnsi"/>
        </w:rPr>
        <w:tab/>
      </w:r>
      <w:r>
        <w:rPr>
          <w:rStyle w:val="24"/>
          <w:rFonts w:ascii="楷体_GB2312" w:eastAsia="楷体_GB2312" w:hAnsiTheme="minorHAnsi"/>
        </w:rPr>
        <w:fldChar w:fldCharType="begin"/>
      </w:r>
      <w:r>
        <w:rPr>
          <w:rStyle w:val="24"/>
          <w:rFonts w:ascii="楷体_GB2312" w:eastAsia="楷体_GB2312" w:hAnsiTheme="minorHAnsi"/>
        </w:rPr>
        <w:instrText xml:space="preserve"> PAGEREF _Toc127540617 \h </w:instrText>
      </w:r>
      <w:r>
        <w:rPr>
          <w:rStyle w:val="24"/>
          <w:rFonts w:ascii="楷体_GB2312" w:eastAsia="楷体_GB2312" w:hAnsiTheme="minorHAnsi"/>
        </w:rPr>
        <w:fldChar w:fldCharType="separate"/>
      </w:r>
      <w:r>
        <w:rPr>
          <w:rStyle w:val="24"/>
          <w:rFonts w:ascii="楷体_GB2312" w:eastAsia="楷体_GB2312" w:hAnsiTheme="minorHAnsi"/>
        </w:rPr>
        <w:t>14</w:t>
      </w:r>
      <w:r>
        <w:rPr>
          <w:rStyle w:val="24"/>
          <w:rFonts w:ascii="楷体_GB2312" w:eastAsia="楷体_GB2312" w:hAnsiTheme="minorHAnsi"/>
        </w:rPr>
        <w:fldChar w:fldCharType="end"/>
      </w:r>
      <w:r>
        <w:rPr>
          <w:rStyle w:val="24"/>
          <w:rFonts w:ascii="楷体_GB2312" w:eastAsia="楷体_GB2312" w:hAnsiTheme="minorHAnsi"/>
        </w:rPr>
        <w:fldChar w:fldCharType="end"/>
      </w:r>
    </w:p>
    <w:p w14:paraId="424CBF81">
      <w:pPr>
        <w:pStyle w:val="15"/>
        <w:rPr>
          <w:rFonts w:cstheme="minorBidi"/>
          <w:kern w:val="2"/>
          <w:sz w:val="21"/>
        </w:rPr>
      </w:pPr>
      <w:r>
        <w:fldChar w:fldCharType="begin"/>
      </w:r>
      <w:r>
        <w:instrText xml:space="preserve"> HYPERLINK \l "_Toc127540618" </w:instrText>
      </w:r>
      <w:r>
        <w:fldChar w:fldCharType="separate"/>
      </w:r>
      <w:r>
        <w:rPr>
          <w:rStyle w:val="24"/>
        </w:rPr>
        <w:t>（一）加强组织领导，细化责任分工</w:t>
      </w:r>
      <w:r>
        <w:tab/>
      </w:r>
      <w:r>
        <w:fldChar w:fldCharType="begin"/>
      </w:r>
      <w:r>
        <w:instrText xml:space="preserve"> PAGEREF _Toc127540618 \h </w:instrText>
      </w:r>
      <w:r>
        <w:fldChar w:fldCharType="separate"/>
      </w:r>
      <w:r>
        <w:t>14</w:t>
      </w:r>
      <w:r>
        <w:fldChar w:fldCharType="end"/>
      </w:r>
      <w:r>
        <w:fldChar w:fldCharType="end"/>
      </w:r>
    </w:p>
    <w:p w14:paraId="150BCFA6">
      <w:pPr>
        <w:pStyle w:val="15"/>
        <w:rPr>
          <w:rFonts w:cstheme="minorBidi"/>
          <w:kern w:val="2"/>
          <w:sz w:val="21"/>
        </w:rPr>
      </w:pPr>
      <w:r>
        <w:fldChar w:fldCharType="begin"/>
      </w:r>
      <w:r>
        <w:instrText xml:space="preserve"> HYPERLINK \l "_Toc127540619" </w:instrText>
      </w:r>
      <w:r>
        <w:fldChar w:fldCharType="separate"/>
      </w:r>
      <w:r>
        <w:rPr>
          <w:rStyle w:val="24"/>
        </w:rPr>
        <w:t>（二）完善畜禽养殖污染防治体系，强化监督执法</w:t>
      </w:r>
      <w:r>
        <w:tab/>
      </w:r>
      <w:r>
        <w:fldChar w:fldCharType="begin"/>
      </w:r>
      <w:r>
        <w:instrText xml:space="preserve"> PAGEREF _Toc127540619 \h </w:instrText>
      </w:r>
      <w:r>
        <w:fldChar w:fldCharType="separate"/>
      </w:r>
      <w:r>
        <w:t>15</w:t>
      </w:r>
      <w:r>
        <w:fldChar w:fldCharType="end"/>
      </w:r>
      <w:r>
        <w:fldChar w:fldCharType="end"/>
      </w:r>
    </w:p>
    <w:p w14:paraId="093225BD">
      <w:pPr>
        <w:pStyle w:val="15"/>
        <w:rPr>
          <w:rFonts w:cstheme="minorBidi"/>
          <w:kern w:val="2"/>
          <w:sz w:val="21"/>
        </w:rPr>
      </w:pPr>
      <w:r>
        <w:fldChar w:fldCharType="begin"/>
      </w:r>
      <w:r>
        <w:instrText xml:space="preserve"> HYPERLINK \l "_Toc127540620" </w:instrText>
      </w:r>
      <w:r>
        <w:fldChar w:fldCharType="separate"/>
      </w:r>
      <w:r>
        <w:rPr>
          <w:rStyle w:val="24"/>
        </w:rPr>
        <w:t>（三）加强扶持激励，强化技术支持</w:t>
      </w:r>
      <w:r>
        <w:tab/>
      </w:r>
      <w:r>
        <w:fldChar w:fldCharType="begin"/>
      </w:r>
      <w:r>
        <w:instrText xml:space="preserve"> PAGEREF _Toc127540620 \h </w:instrText>
      </w:r>
      <w:r>
        <w:fldChar w:fldCharType="separate"/>
      </w:r>
      <w:r>
        <w:t>15</w:t>
      </w:r>
      <w:r>
        <w:fldChar w:fldCharType="end"/>
      </w:r>
      <w:r>
        <w:fldChar w:fldCharType="end"/>
      </w:r>
    </w:p>
    <w:p w14:paraId="126DA84C">
      <w:pPr>
        <w:pStyle w:val="15"/>
        <w:rPr>
          <w:rFonts w:cstheme="minorBidi"/>
          <w:kern w:val="2"/>
          <w:sz w:val="21"/>
        </w:rPr>
      </w:pPr>
      <w:r>
        <w:fldChar w:fldCharType="begin"/>
      </w:r>
      <w:r>
        <w:instrText xml:space="preserve"> HYPERLINK \l "_Toc127540621" </w:instrText>
      </w:r>
      <w:r>
        <w:fldChar w:fldCharType="separate"/>
      </w:r>
      <w:r>
        <w:rPr>
          <w:rStyle w:val="24"/>
        </w:rPr>
        <w:t>（四）加大宣传教育，形成社会合力</w:t>
      </w:r>
      <w:r>
        <w:tab/>
      </w:r>
      <w:r>
        <w:fldChar w:fldCharType="begin"/>
      </w:r>
      <w:r>
        <w:instrText xml:space="preserve"> PAGEREF _Toc127540621 \h </w:instrText>
      </w:r>
      <w:r>
        <w:fldChar w:fldCharType="separate"/>
      </w:r>
      <w:r>
        <w:t>16</w:t>
      </w:r>
      <w:r>
        <w:fldChar w:fldCharType="end"/>
      </w:r>
      <w:r>
        <w:fldChar w:fldCharType="end"/>
      </w:r>
    </w:p>
    <w:p w14:paraId="0FDCA94F">
      <w:pPr>
        <w:tabs>
          <w:tab w:val="left" w:pos="3246"/>
        </w:tabs>
        <w:overflowPunct w:val="0"/>
        <w:ind w:firstLine="0" w:firstLineChars="0"/>
        <w:jc w:val="center"/>
        <w:rPr>
          <w:rFonts w:ascii="Times New Roman" w:hAnsi="Times New Roman" w:eastAsia="楷体_GB2312" w:cs="Times New Roman"/>
          <w:bCs/>
          <w:color w:val="000000"/>
          <w:sz w:val="48"/>
          <w:szCs w:val="48"/>
        </w:rPr>
        <w:sectPr>
          <w:footerReference r:id="rId16" w:type="first"/>
          <w:footerReference r:id="rId15" w:type="default"/>
          <w:pgSz w:w="11906" w:h="16838"/>
          <w:pgMar w:top="2098" w:right="1531" w:bottom="1531" w:left="1531" w:header="851" w:footer="992" w:gutter="0"/>
          <w:cols w:space="425" w:num="1"/>
          <w:titlePg/>
          <w:docGrid w:type="lines" w:linePitch="435" w:charSpace="0"/>
        </w:sectPr>
      </w:pPr>
      <w:r>
        <w:rPr>
          <w:rFonts w:ascii="Times New Roman" w:hAnsi="Times New Roman" w:eastAsia="楷体_GB2312" w:cs="Times New Roman"/>
          <w:bCs/>
          <w:color w:val="000000"/>
          <w:sz w:val="48"/>
          <w:szCs w:val="48"/>
        </w:rPr>
        <w:fldChar w:fldCharType="end"/>
      </w:r>
    </w:p>
    <w:p w14:paraId="66BAF8E0">
      <w:pPr>
        <w:spacing w:line="360" w:lineRule="auto"/>
        <w:ind w:firstLine="640"/>
        <w:rPr>
          <w:rFonts w:ascii="Times New Roman" w:hAnsi="Times New Roman" w:cs="Times New Roman"/>
          <w:szCs w:val="32"/>
        </w:rPr>
      </w:pPr>
      <w:r>
        <w:rPr>
          <w:rFonts w:ascii="Times New Roman" w:hAnsi="Times New Roman" w:cs="Times New Roman"/>
          <w:szCs w:val="32"/>
        </w:rPr>
        <w:t>为进一步促进天桥区畜禽养殖业健康可持续发展，支撑全区农业农村生态文明建设，根据《中华人民共和国畜牧法》、《畜禽规模养殖污染防治条例》、《山东畜禽养殖管理办法》等法律法规要求和区委、区政府有关乡村振兴重大决策部署，结合天桥区实际，制定本规划。</w:t>
      </w:r>
    </w:p>
    <w:p w14:paraId="09A2DB2D">
      <w:pPr>
        <w:pStyle w:val="50"/>
      </w:pPr>
      <w:bookmarkStart w:id="0" w:name="_Toc127540603"/>
      <w:bookmarkStart w:id="1" w:name="_Toc127201320"/>
      <w:bookmarkStart w:id="2" w:name="_Toc117758901"/>
      <w:r>
        <w:t>发展基础与面临形势</w:t>
      </w:r>
      <w:bookmarkEnd w:id="0"/>
      <w:bookmarkEnd w:id="1"/>
      <w:bookmarkEnd w:id="2"/>
    </w:p>
    <w:p w14:paraId="2A4B36FB">
      <w:pPr>
        <w:pStyle w:val="40"/>
      </w:pPr>
      <w:bookmarkStart w:id="3" w:name="_Toc127540604"/>
      <w:r>
        <w:rPr>
          <w:rFonts w:hint="eastAsia"/>
        </w:rPr>
        <w:t>天桥区畜禽养殖污染防治现状</w:t>
      </w:r>
      <w:bookmarkEnd w:id="3"/>
    </w:p>
    <w:p w14:paraId="10D1BFC5">
      <w:pPr>
        <w:pStyle w:val="43"/>
      </w:pPr>
      <w:bookmarkStart w:id="4" w:name="_Toc112942634"/>
      <w:r>
        <w:t>“十三五”以来，天桥区认真贯彻落实中央和山东省、济南市关于打好农业农村污染治理攻坚战、畜牧业转型升级以及乡村振兴决策部署，以“优供给、强安全、保生态”为目标，加快推进畜禽养殖粪污处理设施配建改造提升，全面提高畜禽养殖废弃物资源化利用水平，在畜禽养殖污染防治方面取得了突出成绩。</w:t>
      </w:r>
    </w:p>
    <w:p w14:paraId="05DB14E6">
      <w:pPr>
        <w:pStyle w:val="41"/>
        <w:numPr>
          <w:ilvl w:val="2"/>
          <w:numId w:val="2"/>
        </w:numPr>
        <w:ind w:left="0" w:firstLine="643"/>
      </w:pPr>
      <w:r>
        <w:t>畜禽养殖业整体布局更加合理</w:t>
      </w:r>
    </w:p>
    <w:p w14:paraId="079C899C">
      <w:pPr>
        <w:pStyle w:val="43"/>
      </w:pPr>
      <w:r>
        <w:t>“十三五”期间，天桥区根据《水污染防治法》、《畜禽规模养殖污染防治条例》和《山东省畜禽养殖管理办法》、《畜禽养殖禁养区划定技术指南》等法律法规规定，对畜禽养殖业布局进行了优化调整，完成畜禽禁养区、限养区和适养区“三区”划定。于2017年完成了禁养区内养殖场（小区）和养殖专业户的关闭搬迁工作，并通过省级现场检查验收。</w:t>
      </w:r>
    </w:p>
    <w:p w14:paraId="7142E3B5">
      <w:pPr>
        <w:pStyle w:val="43"/>
      </w:pPr>
      <w:r>
        <w:t>为贯彻中央、省、市决策部署，落实《关于进一步规范畜禽养殖禁养区划定和管理促进生猪生产发展的通知》（环办土壤〔2019〕55号）文件精神，天桥区结合实际情况，于2020年印发《天桥区畜禽养殖禁养区优化调整方案》，对天桥区畜禽养殖禁养区范围进行优化调整，为全区畜牧业发展腾出发展空间。</w:t>
      </w:r>
    </w:p>
    <w:p w14:paraId="1E7F9F71">
      <w:pPr>
        <w:pStyle w:val="41"/>
        <w:numPr>
          <w:ilvl w:val="2"/>
          <w:numId w:val="2"/>
        </w:numPr>
        <w:ind w:left="0" w:firstLine="643" w:firstLineChars="200"/>
      </w:pPr>
      <w:bookmarkStart w:id="5" w:name="_Toc112942643"/>
      <w:r>
        <w:t>建立了良好的组织和政策保障体系</w:t>
      </w:r>
      <w:bookmarkEnd w:id="5"/>
    </w:p>
    <w:p w14:paraId="71B29739">
      <w:pPr>
        <w:pStyle w:val="43"/>
      </w:pPr>
      <w:r>
        <w:t>根据市政府办公厅《关于印发济南市畜禽养殖污染防治专项整治工作实施方案的通知》（济政办字〔2017〕57号）和《关于印发济南市加快推进畜禽养殖废弃物资源化利用工作方案的通知》（济政办发〔2018〕1号）文件要求，结合天桥区畜牧业发展和环境保护实际，区农业农村局联合市生态环境局天桥分局下发了《关于加快建立畜禽粪污资源化利用与养殖污染防治监管工作长效机制的通知》，制定并印发《济南市天桥区规模以下畜禽养殖污染治理工作方案》。为全面做好畜禽粪污处理和资源化利用工作提供了组织领导和政策保障。</w:t>
      </w:r>
    </w:p>
    <w:p w14:paraId="0DCCDEC4">
      <w:pPr>
        <w:pStyle w:val="41"/>
        <w:numPr>
          <w:ilvl w:val="2"/>
          <w:numId w:val="2"/>
        </w:numPr>
        <w:ind w:left="0" w:firstLine="643" w:firstLineChars="200"/>
      </w:pPr>
      <w:r>
        <w:t>落实畜禽养殖污染防治主体责任</w:t>
      </w:r>
    </w:p>
    <w:p w14:paraId="61134ECD">
      <w:pPr>
        <w:pStyle w:val="43"/>
      </w:pPr>
      <w:r>
        <w:t>区农业农村局组织人员对畜禽规模养殖场进行“一场一策”全面排查，对粪污综合利用情况与粪污设施设备现有基础进行调查摸底，并填写基本情况表建立台账。按照“填平补齐”原则，对粪污资源化利用设施设备不匹配的养殖场按养殖品种进行分类治理，因场施策，对每个畜禽规模养殖场提出改造建设内容，向桑梓店街道拨付专项资金用于治理粪污综合利用工作并建设粪污综合利用设施。目前，全区2家规模养殖场场均通过环评备案，治污设施完善。13家专业户建立了粪污综合利用设施。规模养殖场粪污综合利用配建率达到100%。</w:t>
      </w:r>
    </w:p>
    <w:p w14:paraId="39369CAF">
      <w:pPr>
        <w:pStyle w:val="41"/>
        <w:numPr>
          <w:ilvl w:val="2"/>
          <w:numId w:val="2"/>
        </w:numPr>
        <w:ind w:left="0" w:firstLine="643" w:firstLineChars="200"/>
      </w:pPr>
      <w:r>
        <w:t>建立完善畜禽粪污资源化利用与养殖污染防治监管工作长效机制</w:t>
      </w:r>
    </w:p>
    <w:p w14:paraId="6E20F612">
      <w:pPr>
        <w:pStyle w:val="43"/>
      </w:pPr>
      <w:r>
        <w:t>天桥区坚持以畜禽规模养殖污染防治为重点，以畜禽粪污资源化利用为目标，以畜禽粪污资源化利用设施建设为抓手，落实规模养殖场污染防治主体责任，构建“纵向到底，横向到边”的区、街道、村（居）三级监管体系，形成“全覆盖、无死角、零缝隙”的监管网络，建立完善畜禽粪污资源化利用与养殖污染防治监管工作长效机制。</w:t>
      </w:r>
    </w:p>
    <w:p w14:paraId="5C65024C">
      <w:pPr>
        <w:pStyle w:val="41"/>
        <w:numPr>
          <w:ilvl w:val="2"/>
          <w:numId w:val="2"/>
        </w:numPr>
        <w:ind w:left="0" w:firstLine="643" w:firstLineChars="200"/>
      </w:pPr>
      <w:bookmarkStart w:id="6" w:name="_Toc112942641"/>
      <w:bookmarkStart w:id="7" w:name="_Toc115104683"/>
      <w:r>
        <w:t>规模化养殖场排污许可情况</w:t>
      </w:r>
      <w:bookmarkEnd w:id="6"/>
      <w:bookmarkEnd w:id="7"/>
    </w:p>
    <w:p w14:paraId="779724FD">
      <w:pPr>
        <w:pStyle w:val="43"/>
      </w:pPr>
      <w:r>
        <w:t>按照《排污许可证申请与核发技术规范畜禽养殖行业》以及《固定污染源排污许可分类管理名录》（2019版）,牲畜饲养031，家禽饲养032行业中“设有污水排放口的规模化畜禽养殖场、养殖小区”应当申请排污许可证，“无污水排放口的规模化畜禽养殖场、养殖小区，设有污水排放口的规模以下畜禽养殖场、养殖小区”应当进行排污登记；其他畜牧业039行业中（蜜蜂、梅花鹿饲养等）“设有污水排放口的养殖场、养殖小区”应当进行排污登记。其他类畜禽养殖场、养殖小区均不需要纳入排污许可管理。至2020年底，天桥区规模化养殖场共2家，均完成排污许可登记，排污许可发证登记率为100%。</w:t>
      </w:r>
    </w:p>
    <w:bookmarkEnd w:id="4"/>
    <w:p w14:paraId="74EC7D1C">
      <w:pPr>
        <w:pStyle w:val="40"/>
      </w:pPr>
      <w:bookmarkStart w:id="8" w:name="_Toc127201322"/>
      <w:bookmarkStart w:id="9" w:name="_Toc127540605"/>
      <w:bookmarkStart w:id="10" w:name="_Toc117758903"/>
      <w:r>
        <w:t>面临的形势</w:t>
      </w:r>
      <w:bookmarkEnd w:id="8"/>
      <w:bookmarkEnd w:id="9"/>
      <w:bookmarkEnd w:id="10"/>
    </w:p>
    <w:p w14:paraId="2BC2D679">
      <w:pPr>
        <w:pStyle w:val="43"/>
      </w:pPr>
      <w:r>
        <w:t>“</w:t>
      </w:r>
      <w:r>
        <w:rPr>
          <w:rFonts w:hint="eastAsia"/>
          <w:lang w:eastAsia="zh-CN"/>
        </w:rPr>
        <w:t>“十四五”</w:t>
      </w:r>
      <w:r>
        <w:t>”期间，天桥区将按照国家、省、市要求，加快实施乡村振兴战略，坚持把解决好“三农”问题作为重中之重，加快推进农业农村现代化。综合来看，“</w:t>
      </w:r>
      <w:r>
        <w:rPr>
          <w:rFonts w:hint="eastAsia"/>
          <w:lang w:eastAsia="zh-CN"/>
        </w:rPr>
        <w:t>“十四五”</w:t>
      </w:r>
      <w:r>
        <w:t>”时期天桥区畜禽养殖污染防治面临新的机遇和挑战。</w:t>
      </w:r>
    </w:p>
    <w:p w14:paraId="5C2395AA">
      <w:pPr>
        <w:pStyle w:val="41"/>
        <w:numPr>
          <w:ilvl w:val="2"/>
          <w:numId w:val="2"/>
        </w:numPr>
        <w:ind w:left="0" w:firstLine="643" w:firstLineChars="200"/>
      </w:pPr>
      <w:bookmarkStart w:id="11" w:name="_Toc97824140"/>
      <w:bookmarkStart w:id="12" w:name="_Toc115104690"/>
      <w:bookmarkStart w:id="13" w:name="_Toc112942649"/>
      <w:r>
        <w:t>机遇和有利条件</w:t>
      </w:r>
      <w:bookmarkEnd w:id="11"/>
      <w:bookmarkEnd w:id="12"/>
      <w:bookmarkEnd w:id="13"/>
    </w:p>
    <w:p w14:paraId="7052F311">
      <w:pPr>
        <w:pStyle w:val="43"/>
        <w:ind w:firstLine="643"/>
      </w:pPr>
      <w:r>
        <w:rPr>
          <w:b/>
          <w:bCs/>
        </w:rPr>
        <w:t>畜禽养殖业在国民经济中的地位作用更加突出。</w:t>
      </w:r>
      <w:r>
        <w:rPr>
          <w:rFonts w:hint="eastAsia"/>
          <w:lang w:eastAsia="zh-CN"/>
        </w:rPr>
        <w:t>“十四五”</w:t>
      </w:r>
      <w:r>
        <w:t>时期，济南市将进一步深入实施乡村振兴战略。畜禽养殖业基础性地位将更加突出，绿色生态功能拓展，主要畜产品自给率要求显著提高，在经济社会发展中位置更高、重视程度更强、发挥作用更大。同时，国家、省、市级层面陆续出台推进畜禽养殖业绿色发展的扶持政策，为畜牧业绿色发展提供了重要保障。</w:t>
      </w:r>
    </w:p>
    <w:p w14:paraId="7B9C9164">
      <w:pPr>
        <w:pStyle w:val="43"/>
        <w:ind w:firstLine="643"/>
      </w:pPr>
      <w:r>
        <w:rPr>
          <w:b/>
          <w:bCs/>
        </w:rPr>
        <w:t>畜禽养殖规模化发展面临新格局。</w:t>
      </w:r>
      <w:r>
        <w:t>随着天桥区完成新一轮禁养区规范调整和畜禽养殖优化布局，全区畜禽养殖业规模化、集约化程度将进一步提高。同时，社会整体对畜产品需求量进一步扩大，为畜牧业规模化发展带来契机。</w:t>
      </w:r>
    </w:p>
    <w:p w14:paraId="082A4928">
      <w:pPr>
        <w:pStyle w:val="43"/>
        <w:ind w:firstLine="643"/>
      </w:pPr>
      <w:r>
        <w:rPr>
          <w:b/>
          <w:bCs/>
        </w:rPr>
        <w:t>畜禽养殖业高质量发展面临新前景。</w:t>
      </w:r>
      <w:r>
        <w:t>随着区域城镇化进程加快和人民群众对人居环境要求的不断提高，对畜禽养殖的绿色、高质量、可持续发展提出了更高要求。技术的进步将使畜禽养殖废弃物治理水平将不断提升，管控措施将更加先进，对有力推动畜牧业有机更新、迭代升级创造了有利条件。</w:t>
      </w:r>
    </w:p>
    <w:p w14:paraId="370F0223">
      <w:pPr>
        <w:pStyle w:val="41"/>
        <w:numPr>
          <w:ilvl w:val="2"/>
          <w:numId w:val="2"/>
        </w:numPr>
        <w:ind w:left="0" w:firstLine="643" w:firstLineChars="200"/>
      </w:pPr>
      <w:r>
        <w:t>压力与挑战</w:t>
      </w:r>
    </w:p>
    <w:p w14:paraId="55B440CD">
      <w:pPr>
        <w:pStyle w:val="43"/>
        <w:ind w:firstLine="643"/>
      </w:pPr>
      <w:r>
        <w:rPr>
          <w:b/>
          <w:bCs/>
        </w:rPr>
        <w:t>科学规划和合理布局仍不够深入。</w:t>
      </w:r>
      <w:r>
        <w:t>对区域内土壤畜禽粪污承载能力的论证仍不充分，早期畜禽养殖业布局对畜禽粪污的资源属性考虑不足，部分畜禽养殖项目配套建设粪污处理设施区域设置不合理，内部循环利用难度较大。</w:t>
      </w:r>
    </w:p>
    <w:p w14:paraId="5D9C407A">
      <w:pPr>
        <w:pStyle w:val="43"/>
        <w:ind w:firstLine="643"/>
      </w:pPr>
      <w:r>
        <w:rPr>
          <w:b/>
          <w:bCs/>
        </w:rPr>
        <w:t>畜禽粪污资源化利用模式有待创新。</w:t>
      </w:r>
      <w:r>
        <w:t>畜禽粪污治理设施投资与运行成本相对较高，而传统养殖方式利润率较低，部分养殖专业户和散养户采用较简陋的设备。资源化利用方式多为简单发酵后还田或直接还田利用，实际利用效果较差。同时，由于养殖人员普遍技术水平不高，对于畜禽粪污资源化的了解程度也有偏差，在畜禽养殖废弃物资源化利用模式的选择上，需要政府及相关部门根据情况予以引导。</w:t>
      </w:r>
    </w:p>
    <w:p w14:paraId="5C68E1A7">
      <w:pPr>
        <w:pStyle w:val="43"/>
        <w:ind w:firstLine="643"/>
      </w:pPr>
      <w:r>
        <w:rPr>
          <w:b/>
          <w:bCs/>
        </w:rPr>
        <w:t>粪污资源化利用设施建设规范文件实用性、指导性不强。</w:t>
      </w:r>
      <w:r>
        <w:t>规模养殖场配套的粪污全量化处理利用设施是否与规模相匹配，需要相关标准的界定。2018年1月11日农业部办公厅出台了《畜禽规模养殖场粪污资源化利用设施建设规范（试行）》，具有一定的指导意义，但相关措施的进一步落地需要与天桥区实际情况相结合，如沼气池、氧化塘、贮存池容积建设标准为同一标准，且未明确固液分离的建设要求。</w:t>
      </w:r>
    </w:p>
    <w:p w14:paraId="33E0C391">
      <w:pPr>
        <w:pStyle w:val="43"/>
        <w:ind w:firstLine="643"/>
      </w:pPr>
      <w:r>
        <w:rPr>
          <w:b/>
          <w:bCs/>
        </w:rPr>
        <w:t>养殖场（户）对粪污资源化利用工作的积极性不强。</w:t>
      </w:r>
      <w:r>
        <w:t>当前粪污资源化利用工作，主要关注粪污收集、处理等前端和中端环节，对末端资源化产品，如沼气、沼肥、有机肥如何利用，缺少相应的政策支撑，导致有机肥施用劳动强度大、施用成本高，影响农民使用有机肥的积极性；另外，在有机肥如何施用方面，缺少具体、有针对性且适宜农户操作的技术规范，因施肥不当导致的效益不佳现象时有发生，进一步影响农户使用有机肥的积极性。</w:t>
      </w:r>
    </w:p>
    <w:p w14:paraId="312E3EE5">
      <w:pPr>
        <w:pStyle w:val="43"/>
        <w:ind w:firstLine="643"/>
      </w:pPr>
      <w:r>
        <w:rPr>
          <w:b/>
          <w:bCs/>
        </w:rPr>
        <w:t>台账规范化建设待落实。</w:t>
      </w:r>
      <w:r>
        <w:t>天桥区两家养殖企业的生产经营情况、养殖档案、兽药采购使用记录情况、休药期情况仍存在记录不完善不规范现象。规模以下养殖场（户）畜禽粪污资源化利用计划和台账管理有待加强。</w:t>
      </w:r>
    </w:p>
    <w:p w14:paraId="3C0406BD">
      <w:pPr>
        <w:pStyle w:val="43"/>
        <w:ind w:firstLine="643"/>
        <w:rPr>
          <w:bCs/>
        </w:rPr>
      </w:pPr>
      <w:r>
        <w:rPr>
          <w:b/>
          <w:bCs/>
        </w:rPr>
        <w:t>治污合力尚未形成。</w:t>
      </w:r>
      <w:r>
        <w:t>一是粪污治理思想有待科学提升，部分养殖主体的环境管理水平和环保意识不足，畜禽养殖污染物资源化转化或治理达标的专业技能缺乏；二是养殖污染治理产业受到的支持力度仍显不足，在畜禽养殖废弃物收集、运输及有机肥生产使用、集中处置或技术运维等环节还缺乏相应的政策扶持；三是畜禽养殖业及相关产业补偿常态机制也尚未建立</w:t>
      </w:r>
      <w:r>
        <w:rPr>
          <w:bCs/>
        </w:rPr>
        <w:t>。</w:t>
      </w:r>
    </w:p>
    <w:p w14:paraId="7D878A9C">
      <w:pPr>
        <w:pStyle w:val="50"/>
      </w:pPr>
      <w:bookmarkStart w:id="14" w:name="_Toc127201323"/>
      <w:bookmarkStart w:id="15" w:name="_Toc127540606"/>
      <w:bookmarkStart w:id="16" w:name="_Toc117758904"/>
      <w:r>
        <w:t>规划指标与目标</w:t>
      </w:r>
      <w:bookmarkEnd w:id="14"/>
      <w:bookmarkEnd w:id="15"/>
      <w:bookmarkEnd w:id="16"/>
    </w:p>
    <w:p w14:paraId="6976736C">
      <w:pPr>
        <w:pStyle w:val="40"/>
      </w:pPr>
      <w:bookmarkStart w:id="17" w:name="_Toc127201324"/>
      <w:bookmarkStart w:id="18" w:name="_Toc127540607"/>
      <w:bookmarkStart w:id="19" w:name="_Toc115104693"/>
      <w:r>
        <w:t>指导思想</w:t>
      </w:r>
      <w:bookmarkEnd w:id="17"/>
      <w:bookmarkEnd w:id="18"/>
      <w:bookmarkEnd w:id="19"/>
    </w:p>
    <w:p w14:paraId="2108FCAF">
      <w:pPr>
        <w:pStyle w:val="43"/>
      </w:pPr>
      <w:r>
        <w:t>以习近平生态文明思想为指导，统筹环境保护与畜牧业发展，紧紧围绕农业高质量发展新要求，以畜牧业绿色循环发展和农业面源污染治理为主要目标，以种养结合为抓手，以畜禽粪肥就地就近科学还田利用为主攻方向，坚持政府主导、企业主体、市场化运作，完善畜禽粪污资源化利用机制，强化畜禽养殖污染防治监管，保护和改善环境，加快构建种养结合、农牧循环的新型种养关系，从而促进畜禽养殖业的持续健康发展。为天桥区乡村振兴战略的实施提供有力支撑。</w:t>
      </w:r>
    </w:p>
    <w:p w14:paraId="4D87AF22">
      <w:pPr>
        <w:pStyle w:val="40"/>
      </w:pPr>
      <w:bookmarkStart w:id="20" w:name="_Toc127201325"/>
      <w:bookmarkStart w:id="21" w:name="_Toc127540608"/>
      <w:r>
        <w:t>编制原则</w:t>
      </w:r>
      <w:bookmarkEnd w:id="20"/>
      <w:bookmarkEnd w:id="21"/>
    </w:p>
    <w:p w14:paraId="672EF5EF">
      <w:pPr>
        <w:pStyle w:val="41"/>
        <w:numPr>
          <w:ilvl w:val="2"/>
          <w:numId w:val="2"/>
        </w:numPr>
        <w:ind w:left="0" w:firstLine="643" w:firstLineChars="200"/>
      </w:pPr>
      <w:r>
        <w:t>统筹兼顾，有序推进</w:t>
      </w:r>
    </w:p>
    <w:p w14:paraId="6EFDD1B8">
      <w:pPr>
        <w:pStyle w:val="43"/>
      </w:pPr>
      <w:r>
        <w:t>综合考虑畜禽粪污环境承载力、畜牧业发展需求、种养结合基础和经济发展状况等因素，明确畜禽养殖污染防治目标任务。统筹推进畜牧业发展和环境保护，加快畜牧业转型升级和绿色发展。</w:t>
      </w:r>
    </w:p>
    <w:p w14:paraId="68592837">
      <w:pPr>
        <w:pStyle w:val="41"/>
        <w:numPr>
          <w:ilvl w:val="2"/>
          <w:numId w:val="2"/>
        </w:numPr>
        <w:ind w:left="0" w:firstLine="643" w:firstLineChars="200"/>
      </w:pPr>
      <w:r>
        <w:t>因地制宜、分区施策</w:t>
      </w:r>
    </w:p>
    <w:p w14:paraId="20019AA2">
      <w:pPr>
        <w:pStyle w:val="43"/>
      </w:pPr>
      <w:r>
        <w:t>统筹考虑自然环境、畜禽养殖类型、结构和空间布局，种植类型与规模、耕地质量、环境承载力、人居环境影响等因素，因地制宜、分区分类探索畜禽养殖污染防治路径。</w:t>
      </w:r>
    </w:p>
    <w:p w14:paraId="377F4599">
      <w:pPr>
        <w:pStyle w:val="41"/>
        <w:numPr>
          <w:ilvl w:val="2"/>
          <w:numId w:val="2"/>
        </w:numPr>
        <w:ind w:left="0" w:firstLine="643" w:firstLineChars="200"/>
      </w:pPr>
      <w:r>
        <w:t>种养结合、协同减排</w:t>
      </w:r>
    </w:p>
    <w:p w14:paraId="199E3F37">
      <w:pPr>
        <w:pStyle w:val="43"/>
      </w:pPr>
      <w:r>
        <w:t>以畜禽粪肥就近就地利用为重点，协同推进畜禽养殖污染治理与农业面源污染防治。结合种植规模和结构，科学测算畜禽粪肥养分供需情况，系统评估畜禽粪肥还田利用的经济性和可行性，合理选择畜禽养殖污染防治模式。</w:t>
      </w:r>
    </w:p>
    <w:p w14:paraId="0FFCAD07">
      <w:pPr>
        <w:pStyle w:val="41"/>
        <w:numPr>
          <w:ilvl w:val="2"/>
          <w:numId w:val="2"/>
        </w:numPr>
        <w:ind w:left="0" w:firstLine="643" w:firstLineChars="200"/>
      </w:pPr>
      <w:r>
        <w:t>强化监督、多方联动</w:t>
      </w:r>
    </w:p>
    <w:p w14:paraId="3902A2C8">
      <w:pPr>
        <w:pStyle w:val="43"/>
      </w:pPr>
      <w:r>
        <w:t>加大环境监管执法力度，发挥监督执法倒逼作用。完善多方协调联动机制，强化地方政府主导、企业主体、社会组织和公众共同参与的畜禽养殖污染防治体系。拓宽投融资渠道，加大对畜禽养殖污染防治的扶持力度，推动第三方治理等社会化运营模式健康发展。</w:t>
      </w:r>
    </w:p>
    <w:p w14:paraId="385D7D59">
      <w:pPr>
        <w:pStyle w:val="40"/>
      </w:pPr>
      <w:bookmarkStart w:id="22" w:name="_Toc127540609"/>
      <w:bookmarkStart w:id="23" w:name="_Toc127201326"/>
      <w:bookmarkStart w:id="24" w:name="_Toc120543885"/>
      <w:r>
        <w:t>规划时间和范围</w:t>
      </w:r>
      <w:bookmarkEnd w:id="22"/>
      <w:bookmarkEnd w:id="23"/>
      <w:bookmarkEnd w:id="24"/>
    </w:p>
    <w:p w14:paraId="19B0DC5A">
      <w:pPr>
        <w:pStyle w:val="43"/>
      </w:pPr>
      <w:r>
        <w:t>规划基准年为2020年，规划时限为2021-2025年。规划范围为天桥区管辖区域。规划对象包括辖区范围内的规模化畜禽养殖场和养殖户。</w:t>
      </w:r>
    </w:p>
    <w:p w14:paraId="373C12C4">
      <w:pPr>
        <w:pStyle w:val="40"/>
      </w:pPr>
      <w:bookmarkStart w:id="25" w:name="_Toc127540610"/>
      <w:bookmarkStart w:id="26" w:name="_Toc127201327"/>
      <w:bookmarkStart w:id="27" w:name="_Toc115104696"/>
      <w:r>
        <w:t>规划目标</w:t>
      </w:r>
      <w:bookmarkEnd w:id="25"/>
      <w:bookmarkEnd w:id="26"/>
      <w:bookmarkEnd w:id="27"/>
      <w:bookmarkStart w:id="28" w:name="_Toc99132359"/>
    </w:p>
    <w:p w14:paraId="528FC94C">
      <w:pPr>
        <w:pStyle w:val="43"/>
      </w:pPr>
      <w:r>
        <w:t>畜禽养殖业污染防治规划的总体目标：以区域总体规划和其他规划为基础、依据和引导，大力倡导发展生态养殖业，因地制宜地建设粪污收集、贮存、处理、利用设施，实现粪污资源化利用，从而促进畜禽养殖业的持续健康发展。</w:t>
      </w:r>
    </w:p>
    <w:p w14:paraId="1A033DE6">
      <w:pPr>
        <w:widowControl/>
        <w:adjustRightInd/>
        <w:snapToGrid/>
        <w:spacing w:line="240" w:lineRule="auto"/>
        <w:ind w:firstLine="0" w:firstLineChars="0"/>
        <w:jc w:val="left"/>
        <w:rPr>
          <w:rFonts w:ascii="Times New Roman" w:hAnsi="Times New Roman" w:eastAsia="黑体" w:cs="Times New Roman"/>
          <w:bCs/>
          <w:sz w:val="24"/>
          <w:szCs w:val="24"/>
        </w:rPr>
      </w:pPr>
      <w:r>
        <w:rPr>
          <w:rFonts w:ascii="Times New Roman" w:hAnsi="Times New Roman" w:cs="Times New Roman"/>
        </w:rPr>
        <w:br w:type="page"/>
      </w:r>
    </w:p>
    <w:p w14:paraId="3FD50D19">
      <w:pPr>
        <w:pStyle w:val="57"/>
        <w:rPr>
          <w:rFonts w:ascii="Times New Roman" w:hAnsi="Times New Roman" w:eastAsia="楷体_GB2312" w:cs="Times New Roman"/>
          <w:bCs w:val="0"/>
          <w:color w:val="000000"/>
          <w:sz w:val="28"/>
          <w:szCs w:val="28"/>
        </w:rPr>
      </w:pPr>
      <w:r>
        <w:rPr>
          <w:rFonts w:ascii="Times New Roman" w:hAnsi="Times New Roman" w:eastAsia="楷体_GB2312" w:cs="Times New Roman"/>
          <w:bCs w:val="0"/>
          <w:color w:val="000000"/>
          <w:sz w:val="28"/>
          <w:szCs w:val="28"/>
        </w:rPr>
        <w:t>畜禽养殖污染防治规划指标体系</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41"/>
        <w:gridCol w:w="764"/>
        <w:gridCol w:w="1357"/>
        <w:gridCol w:w="1875"/>
        <w:gridCol w:w="1324"/>
      </w:tblGrid>
      <w:tr w14:paraId="003B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25" w:type="pct"/>
            <w:tcBorders>
              <w:top w:val="single" w:color="auto" w:sz="4" w:space="0"/>
              <w:left w:val="single" w:color="auto" w:sz="4" w:space="0"/>
              <w:right w:val="single" w:color="auto" w:sz="4" w:space="0"/>
            </w:tcBorders>
            <w:shd w:val="clear" w:color="auto" w:fill="auto"/>
            <w:vAlign w:val="center"/>
          </w:tcPr>
          <w:p w14:paraId="12362BC6">
            <w:pPr>
              <w:pStyle w:val="54"/>
              <w:rPr>
                <w:rFonts w:eastAsia="仿宋_GB2312" w:cs="Times New Roman"/>
                <w:b/>
                <w:bCs/>
                <w:color w:val="auto"/>
                <w:kern w:val="2"/>
                <w:szCs w:val="24"/>
              </w:rPr>
            </w:pPr>
            <w:r>
              <w:rPr>
                <w:rFonts w:eastAsia="仿宋_GB2312" w:cs="Times New Roman"/>
                <w:b/>
                <w:bCs/>
                <w:color w:val="auto"/>
                <w:kern w:val="2"/>
                <w:szCs w:val="24"/>
              </w:rPr>
              <w:t>序号</w:t>
            </w:r>
          </w:p>
        </w:tc>
        <w:tc>
          <w:tcPr>
            <w:tcW w:w="1558" w:type="pct"/>
            <w:tcBorders>
              <w:top w:val="single" w:color="auto" w:sz="4" w:space="0"/>
              <w:left w:val="nil"/>
              <w:bottom w:val="single" w:color="auto" w:sz="4" w:space="0"/>
              <w:right w:val="single" w:color="auto" w:sz="4" w:space="0"/>
            </w:tcBorders>
            <w:shd w:val="clear" w:color="auto" w:fill="auto"/>
            <w:vAlign w:val="center"/>
          </w:tcPr>
          <w:p w14:paraId="60B88891">
            <w:pPr>
              <w:pStyle w:val="54"/>
              <w:rPr>
                <w:rFonts w:eastAsia="仿宋_GB2312" w:cs="Times New Roman"/>
                <w:b/>
                <w:bCs/>
                <w:color w:val="auto"/>
                <w:kern w:val="2"/>
                <w:szCs w:val="24"/>
              </w:rPr>
            </w:pPr>
            <w:r>
              <w:rPr>
                <w:rFonts w:eastAsia="仿宋_GB2312" w:cs="Times New Roman"/>
                <w:b/>
                <w:bCs/>
                <w:color w:val="auto"/>
                <w:kern w:val="2"/>
                <w:szCs w:val="24"/>
              </w:rPr>
              <w:t>指标名称</w:t>
            </w:r>
          </w:p>
        </w:tc>
        <w:tc>
          <w:tcPr>
            <w:tcW w:w="419" w:type="pct"/>
            <w:tcBorders>
              <w:top w:val="single" w:color="auto" w:sz="4" w:space="0"/>
              <w:left w:val="nil"/>
              <w:bottom w:val="single" w:color="auto" w:sz="4" w:space="0"/>
              <w:right w:val="single" w:color="auto" w:sz="4" w:space="0"/>
            </w:tcBorders>
            <w:shd w:val="clear" w:color="auto" w:fill="auto"/>
            <w:vAlign w:val="center"/>
          </w:tcPr>
          <w:p w14:paraId="62BFCEBA">
            <w:pPr>
              <w:pStyle w:val="54"/>
              <w:rPr>
                <w:rFonts w:eastAsia="仿宋_GB2312" w:cs="Times New Roman"/>
                <w:b/>
                <w:bCs/>
                <w:color w:val="auto"/>
                <w:kern w:val="2"/>
                <w:szCs w:val="24"/>
              </w:rPr>
            </w:pPr>
            <w:r>
              <w:rPr>
                <w:rFonts w:eastAsia="仿宋_GB2312" w:cs="Times New Roman"/>
                <w:b/>
                <w:bCs/>
                <w:color w:val="auto"/>
                <w:kern w:val="2"/>
                <w:szCs w:val="24"/>
              </w:rPr>
              <w:t>单位</w:t>
            </w:r>
          </w:p>
        </w:tc>
        <w:tc>
          <w:tcPr>
            <w:tcW w:w="744" w:type="pct"/>
            <w:tcBorders>
              <w:top w:val="single" w:color="auto" w:sz="4" w:space="0"/>
              <w:left w:val="nil"/>
              <w:bottom w:val="single" w:color="auto" w:sz="4" w:space="0"/>
              <w:right w:val="single" w:color="auto" w:sz="4" w:space="0"/>
            </w:tcBorders>
            <w:shd w:val="clear" w:color="auto" w:fill="auto"/>
            <w:vAlign w:val="center"/>
          </w:tcPr>
          <w:p w14:paraId="716A6C4C">
            <w:pPr>
              <w:pStyle w:val="54"/>
              <w:rPr>
                <w:rFonts w:eastAsia="仿宋_GB2312" w:cs="Times New Roman"/>
                <w:b/>
                <w:bCs/>
                <w:color w:val="auto"/>
                <w:kern w:val="2"/>
                <w:szCs w:val="24"/>
              </w:rPr>
            </w:pPr>
            <w:r>
              <w:rPr>
                <w:rFonts w:eastAsia="仿宋_GB2312" w:cs="Times New Roman"/>
                <w:b/>
                <w:bCs/>
                <w:color w:val="auto"/>
                <w:kern w:val="2"/>
                <w:szCs w:val="24"/>
              </w:rPr>
              <w:t>指标现状</w:t>
            </w:r>
          </w:p>
        </w:tc>
        <w:tc>
          <w:tcPr>
            <w:tcW w:w="1028" w:type="pct"/>
            <w:tcBorders>
              <w:top w:val="single" w:color="auto" w:sz="4" w:space="0"/>
              <w:left w:val="nil"/>
              <w:right w:val="single" w:color="auto" w:sz="4" w:space="0"/>
            </w:tcBorders>
            <w:shd w:val="clear" w:color="auto" w:fill="auto"/>
            <w:vAlign w:val="center"/>
          </w:tcPr>
          <w:p w14:paraId="53DA585F">
            <w:pPr>
              <w:pStyle w:val="54"/>
              <w:rPr>
                <w:rFonts w:eastAsia="仿宋_GB2312" w:cs="Times New Roman"/>
                <w:b/>
                <w:bCs/>
                <w:color w:val="auto"/>
                <w:kern w:val="2"/>
                <w:szCs w:val="24"/>
              </w:rPr>
            </w:pPr>
            <w:r>
              <w:rPr>
                <w:rFonts w:eastAsia="仿宋_GB2312" w:cs="Times New Roman"/>
                <w:b/>
                <w:bCs/>
                <w:color w:val="auto"/>
                <w:kern w:val="2"/>
                <w:szCs w:val="24"/>
              </w:rPr>
              <w:t>目标值</w:t>
            </w:r>
          </w:p>
        </w:tc>
        <w:tc>
          <w:tcPr>
            <w:tcW w:w="726" w:type="pct"/>
            <w:tcBorders>
              <w:top w:val="single" w:color="auto" w:sz="4" w:space="0"/>
              <w:left w:val="nil"/>
              <w:bottom w:val="single" w:color="auto" w:sz="4" w:space="0"/>
              <w:right w:val="single" w:color="auto" w:sz="4" w:space="0"/>
            </w:tcBorders>
            <w:shd w:val="clear" w:color="auto" w:fill="auto"/>
            <w:vAlign w:val="center"/>
          </w:tcPr>
          <w:p w14:paraId="2C36D810">
            <w:pPr>
              <w:pStyle w:val="54"/>
              <w:rPr>
                <w:rFonts w:eastAsia="仿宋_GB2312" w:cs="Times New Roman"/>
                <w:b/>
                <w:bCs/>
                <w:color w:val="auto"/>
                <w:kern w:val="2"/>
                <w:szCs w:val="24"/>
              </w:rPr>
            </w:pPr>
            <w:r>
              <w:rPr>
                <w:rFonts w:eastAsia="仿宋_GB2312" w:cs="Times New Roman"/>
                <w:b/>
                <w:bCs/>
                <w:color w:val="auto"/>
                <w:kern w:val="2"/>
                <w:szCs w:val="24"/>
              </w:rPr>
              <w:t>指标属性</w:t>
            </w:r>
          </w:p>
        </w:tc>
      </w:tr>
      <w:tr w14:paraId="662C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tcBorders>
              <w:top w:val="nil"/>
              <w:left w:val="single" w:color="auto" w:sz="4" w:space="0"/>
              <w:bottom w:val="single" w:color="auto" w:sz="4" w:space="0"/>
              <w:right w:val="single" w:color="auto" w:sz="4" w:space="0"/>
            </w:tcBorders>
            <w:shd w:val="clear" w:color="auto" w:fill="auto"/>
            <w:vAlign w:val="center"/>
          </w:tcPr>
          <w:p w14:paraId="16FC5148">
            <w:pPr>
              <w:pStyle w:val="54"/>
              <w:rPr>
                <w:rFonts w:eastAsia="仿宋_GB2312" w:cs="Times New Roman"/>
                <w:color w:val="auto"/>
                <w:kern w:val="2"/>
                <w:szCs w:val="24"/>
              </w:rPr>
            </w:pPr>
            <w:r>
              <w:rPr>
                <w:rFonts w:eastAsia="仿宋_GB2312" w:cs="Times New Roman"/>
                <w:color w:val="auto"/>
                <w:kern w:val="2"/>
                <w:szCs w:val="24"/>
              </w:rPr>
              <w:t>1</w:t>
            </w:r>
          </w:p>
        </w:tc>
        <w:tc>
          <w:tcPr>
            <w:tcW w:w="1558" w:type="pct"/>
            <w:tcBorders>
              <w:top w:val="single" w:color="auto" w:sz="4" w:space="0"/>
              <w:left w:val="nil"/>
              <w:bottom w:val="single" w:color="auto" w:sz="4" w:space="0"/>
              <w:right w:val="single" w:color="auto" w:sz="4" w:space="0"/>
            </w:tcBorders>
            <w:shd w:val="clear" w:color="auto" w:fill="auto"/>
            <w:vAlign w:val="center"/>
          </w:tcPr>
          <w:p w14:paraId="27D9C402">
            <w:pPr>
              <w:pStyle w:val="54"/>
              <w:rPr>
                <w:rFonts w:eastAsia="仿宋_GB2312" w:cs="Times New Roman"/>
                <w:color w:val="auto"/>
                <w:kern w:val="2"/>
                <w:szCs w:val="24"/>
              </w:rPr>
            </w:pPr>
            <w:r>
              <w:rPr>
                <w:rFonts w:eastAsia="仿宋_GB2312" w:cs="Times New Roman"/>
                <w:color w:val="auto"/>
                <w:kern w:val="2"/>
                <w:szCs w:val="24"/>
              </w:rPr>
              <w:t>规模养殖场粪污处理设施配套率</w:t>
            </w:r>
          </w:p>
        </w:tc>
        <w:tc>
          <w:tcPr>
            <w:tcW w:w="419" w:type="pct"/>
            <w:tcBorders>
              <w:top w:val="single" w:color="auto" w:sz="4" w:space="0"/>
              <w:left w:val="nil"/>
              <w:bottom w:val="single" w:color="auto" w:sz="4" w:space="0"/>
              <w:right w:val="single" w:color="auto" w:sz="4" w:space="0"/>
            </w:tcBorders>
            <w:shd w:val="clear" w:color="auto" w:fill="auto"/>
            <w:vAlign w:val="center"/>
          </w:tcPr>
          <w:p w14:paraId="6421595B">
            <w:pPr>
              <w:pStyle w:val="54"/>
              <w:rPr>
                <w:rFonts w:eastAsia="仿宋_GB2312" w:cs="Times New Roman"/>
                <w:color w:val="auto"/>
                <w:kern w:val="2"/>
                <w:szCs w:val="24"/>
              </w:rPr>
            </w:pPr>
            <w:r>
              <w:rPr>
                <w:rFonts w:eastAsia="仿宋_GB2312" w:cs="Times New Roman"/>
                <w:color w:val="auto"/>
                <w:kern w:val="2"/>
                <w:szCs w:val="24"/>
              </w:rPr>
              <w:t>%</w:t>
            </w:r>
          </w:p>
        </w:tc>
        <w:tc>
          <w:tcPr>
            <w:tcW w:w="744" w:type="pct"/>
            <w:tcBorders>
              <w:top w:val="single" w:color="auto" w:sz="4" w:space="0"/>
              <w:left w:val="nil"/>
              <w:bottom w:val="single" w:color="auto" w:sz="4" w:space="0"/>
              <w:right w:val="single" w:color="auto" w:sz="4" w:space="0"/>
            </w:tcBorders>
            <w:shd w:val="clear" w:color="auto" w:fill="auto"/>
            <w:vAlign w:val="center"/>
          </w:tcPr>
          <w:p w14:paraId="382834C7">
            <w:pPr>
              <w:pStyle w:val="54"/>
              <w:rPr>
                <w:rFonts w:eastAsia="仿宋_GB2312" w:cs="Times New Roman"/>
                <w:color w:val="auto"/>
                <w:kern w:val="2"/>
                <w:szCs w:val="24"/>
              </w:rPr>
            </w:pPr>
            <w:r>
              <w:rPr>
                <w:rFonts w:eastAsia="仿宋_GB2312" w:cs="Times New Roman"/>
                <w:color w:val="auto"/>
                <w:kern w:val="2"/>
                <w:szCs w:val="24"/>
              </w:rPr>
              <w:t>100</w:t>
            </w:r>
          </w:p>
        </w:tc>
        <w:tc>
          <w:tcPr>
            <w:tcW w:w="1028" w:type="pct"/>
            <w:tcBorders>
              <w:top w:val="single" w:color="auto" w:sz="4" w:space="0"/>
              <w:left w:val="nil"/>
              <w:bottom w:val="single" w:color="auto" w:sz="4" w:space="0"/>
              <w:right w:val="single" w:color="auto" w:sz="4" w:space="0"/>
            </w:tcBorders>
            <w:shd w:val="clear" w:color="auto" w:fill="auto"/>
            <w:vAlign w:val="center"/>
          </w:tcPr>
          <w:p w14:paraId="67A36741">
            <w:pPr>
              <w:pStyle w:val="54"/>
              <w:rPr>
                <w:rFonts w:eastAsia="仿宋_GB2312" w:cs="Times New Roman"/>
                <w:color w:val="auto"/>
                <w:kern w:val="2"/>
                <w:szCs w:val="24"/>
              </w:rPr>
            </w:pPr>
            <w:r>
              <w:rPr>
                <w:rFonts w:eastAsia="仿宋_GB2312" w:cs="Times New Roman"/>
                <w:color w:val="auto"/>
                <w:kern w:val="2"/>
                <w:szCs w:val="24"/>
              </w:rPr>
              <w:t>100</w:t>
            </w:r>
          </w:p>
        </w:tc>
        <w:tc>
          <w:tcPr>
            <w:tcW w:w="726" w:type="pct"/>
            <w:tcBorders>
              <w:top w:val="single" w:color="auto" w:sz="4" w:space="0"/>
              <w:left w:val="nil"/>
              <w:bottom w:val="single" w:color="auto" w:sz="4" w:space="0"/>
              <w:right w:val="single" w:color="auto" w:sz="4" w:space="0"/>
            </w:tcBorders>
            <w:shd w:val="clear" w:color="auto" w:fill="auto"/>
            <w:vAlign w:val="center"/>
          </w:tcPr>
          <w:p w14:paraId="480C8E31">
            <w:pPr>
              <w:pStyle w:val="54"/>
              <w:rPr>
                <w:rFonts w:eastAsia="仿宋_GB2312" w:cs="Times New Roman"/>
                <w:color w:val="auto"/>
                <w:kern w:val="2"/>
                <w:szCs w:val="24"/>
              </w:rPr>
            </w:pPr>
            <w:r>
              <w:rPr>
                <w:rFonts w:eastAsia="仿宋_GB2312" w:cs="Times New Roman"/>
                <w:color w:val="auto"/>
                <w:kern w:val="2"/>
                <w:szCs w:val="24"/>
              </w:rPr>
              <w:t>约束性</w:t>
            </w:r>
          </w:p>
        </w:tc>
      </w:tr>
      <w:tr w14:paraId="1A73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tcBorders>
              <w:top w:val="nil"/>
              <w:left w:val="single" w:color="auto" w:sz="4" w:space="0"/>
              <w:bottom w:val="single" w:color="auto" w:sz="4" w:space="0"/>
              <w:right w:val="single" w:color="auto" w:sz="4" w:space="0"/>
            </w:tcBorders>
            <w:shd w:val="clear" w:color="auto" w:fill="auto"/>
            <w:vAlign w:val="center"/>
          </w:tcPr>
          <w:p w14:paraId="3DCAF700">
            <w:pPr>
              <w:pStyle w:val="54"/>
              <w:rPr>
                <w:rFonts w:eastAsia="仿宋_GB2312" w:cs="Times New Roman"/>
                <w:color w:val="auto"/>
                <w:kern w:val="2"/>
                <w:szCs w:val="24"/>
              </w:rPr>
            </w:pPr>
            <w:r>
              <w:rPr>
                <w:rFonts w:eastAsia="仿宋_GB2312" w:cs="Times New Roman"/>
                <w:color w:val="auto"/>
                <w:kern w:val="2"/>
                <w:szCs w:val="24"/>
              </w:rPr>
              <w:t>2</w:t>
            </w:r>
          </w:p>
        </w:tc>
        <w:tc>
          <w:tcPr>
            <w:tcW w:w="1558" w:type="pct"/>
            <w:tcBorders>
              <w:top w:val="single" w:color="auto" w:sz="4" w:space="0"/>
              <w:left w:val="nil"/>
              <w:bottom w:val="single" w:color="auto" w:sz="4" w:space="0"/>
              <w:right w:val="single" w:color="auto" w:sz="4" w:space="0"/>
            </w:tcBorders>
            <w:shd w:val="clear" w:color="auto" w:fill="auto"/>
            <w:vAlign w:val="center"/>
          </w:tcPr>
          <w:p w14:paraId="5CE821EA">
            <w:pPr>
              <w:pStyle w:val="54"/>
              <w:rPr>
                <w:rFonts w:eastAsia="仿宋_GB2312" w:cs="Times New Roman"/>
                <w:color w:val="auto"/>
                <w:kern w:val="2"/>
                <w:szCs w:val="24"/>
              </w:rPr>
            </w:pPr>
            <w:r>
              <w:rPr>
                <w:rFonts w:eastAsia="仿宋_GB2312" w:cs="Times New Roman"/>
                <w:color w:val="auto"/>
                <w:kern w:val="2"/>
                <w:szCs w:val="24"/>
              </w:rPr>
              <w:t>规模养殖场粪污综合利用率</w:t>
            </w:r>
          </w:p>
        </w:tc>
        <w:tc>
          <w:tcPr>
            <w:tcW w:w="419" w:type="pct"/>
            <w:tcBorders>
              <w:top w:val="single" w:color="auto" w:sz="4" w:space="0"/>
              <w:left w:val="nil"/>
              <w:bottom w:val="single" w:color="auto" w:sz="4" w:space="0"/>
              <w:right w:val="single" w:color="auto" w:sz="4" w:space="0"/>
            </w:tcBorders>
            <w:shd w:val="clear" w:color="auto" w:fill="auto"/>
            <w:vAlign w:val="center"/>
          </w:tcPr>
          <w:p w14:paraId="32C3731D">
            <w:pPr>
              <w:pStyle w:val="54"/>
              <w:rPr>
                <w:rFonts w:eastAsia="仿宋_GB2312" w:cs="Times New Roman"/>
                <w:color w:val="auto"/>
                <w:kern w:val="2"/>
                <w:szCs w:val="24"/>
              </w:rPr>
            </w:pPr>
            <w:r>
              <w:rPr>
                <w:rFonts w:eastAsia="仿宋_GB2312" w:cs="Times New Roman"/>
                <w:color w:val="auto"/>
                <w:kern w:val="2"/>
                <w:szCs w:val="24"/>
              </w:rPr>
              <w:t>%</w:t>
            </w:r>
          </w:p>
        </w:tc>
        <w:tc>
          <w:tcPr>
            <w:tcW w:w="744" w:type="pct"/>
            <w:tcBorders>
              <w:top w:val="single" w:color="auto" w:sz="4" w:space="0"/>
              <w:left w:val="nil"/>
              <w:bottom w:val="single" w:color="auto" w:sz="4" w:space="0"/>
              <w:right w:val="single" w:color="auto" w:sz="4" w:space="0"/>
            </w:tcBorders>
            <w:shd w:val="clear" w:color="auto" w:fill="auto"/>
            <w:vAlign w:val="center"/>
          </w:tcPr>
          <w:p w14:paraId="792DB48E">
            <w:pPr>
              <w:pStyle w:val="54"/>
              <w:rPr>
                <w:rFonts w:eastAsia="仿宋_GB2312" w:cs="Times New Roman"/>
                <w:color w:val="auto"/>
                <w:kern w:val="2"/>
                <w:szCs w:val="24"/>
              </w:rPr>
            </w:pPr>
            <w:r>
              <w:rPr>
                <w:rFonts w:eastAsia="仿宋_GB2312" w:cs="Times New Roman"/>
                <w:color w:val="auto"/>
                <w:kern w:val="2"/>
                <w:szCs w:val="24"/>
              </w:rPr>
              <w:t>90</w:t>
            </w:r>
          </w:p>
        </w:tc>
        <w:tc>
          <w:tcPr>
            <w:tcW w:w="1028" w:type="pct"/>
            <w:tcBorders>
              <w:top w:val="single" w:color="auto" w:sz="4" w:space="0"/>
              <w:left w:val="nil"/>
              <w:bottom w:val="single" w:color="auto" w:sz="4" w:space="0"/>
              <w:right w:val="single" w:color="auto" w:sz="4" w:space="0"/>
            </w:tcBorders>
            <w:shd w:val="clear" w:color="auto" w:fill="auto"/>
            <w:vAlign w:val="center"/>
          </w:tcPr>
          <w:p w14:paraId="00BD3D77">
            <w:pPr>
              <w:pStyle w:val="54"/>
              <w:rPr>
                <w:rFonts w:eastAsia="仿宋_GB2312" w:cs="Times New Roman"/>
                <w:color w:val="auto"/>
                <w:kern w:val="2"/>
                <w:szCs w:val="24"/>
              </w:rPr>
            </w:pPr>
            <w:r>
              <w:rPr>
                <w:rFonts w:eastAsia="仿宋_GB2312" w:cs="Times New Roman"/>
                <w:color w:val="auto"/>
                <w:kern w:val="2"/>
                <w:szCs w:val="24"/>
              </w:rPr>
              <w:t>90</w:t>
            </w:r>
          </w:p>
        </w:tc>
        <w:tc>
          <w:tcPr>
            <w:tcW w:w="726" w:type="pct"/>
            <w:tcBorders>
              <w:top w:val="single" w:color="auto" w:sz="4" w:space="0"/>
              <w:left w:val="nil"/>
              <w:bottom w:val="single" w:color="auto" w:sz="4" w:space="0"/>
              <w:right w:val="single" w:color="auto" w:sz="4" w:space="0"/>
            </w:tcBorders>
            <w:shd w:val="clear" w:color="auto" w:fill="auto"/>
            <w:vAlign w:val="center"/>
          </w:tcPr>
          <w:p w14:paraId="795B03E0">
            <w:pPr>
              <w:pStyle w:val="54"/>
              <w:rPr>
                <w:rFonts w:eastAsia="仿宋_GB2312" w:cs="Times New Roman"/>
                <w:color w:val="auto"/>
                <w:kern w:val="2"/>
                <w:szCs w:val="24"/>
              </w:rPr>
            </w:pPr>
            <w:r>
              <w:rPr>
                <w:rFonts w:eastAsia="仿宋_GB2312" w:cs="Times New Roman"/>
                <w:color w:val="auto"/>
                <w:kern w:val="2"/>
                <w:szCs w:val="24"/>
              </w:rPr>
              <w:t>约束性</w:t>
            </w:r>
          </w:p>
        </w:tc>
      </w:tr>
      <w:tr w14:paraId="2FF0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tcBorders>
              <w:top w:val="nil"/>
              <w:left w:val="single" w:color="auto" w:sz="4" w:space="0"/>
              <w:bottom w:val="single" w:color="auto" w:sz="4" w:space="0"/>
              <w:right w:val="single" w:color="auto" w:sz="4" w:space="0"/>
            </w:tcBorders>
            <w:shd w:val="clear" w:color="auto" w:fill="auto"/>
            <w:vAlign w:val="center"/>
          </w:tcPr>
          <w:p w14:paraId="56635044">
            <w:pPr>
              <w:pStyle w:val="54"/>
              <w:rPr>
                <w:rFonts w:eastAsia="仿宋_GB2312" w:cs="Times New Roman"/>
                <w:color w:val="auto"/>
                <w:kern w:val="2"/>
                <w:szCs w:val="24"/>
              </w:rPr>
            </w:pPr>
            <w:r>
              <w:rPr>
                <w:rFonts w:eastAsia="仿宋_GB2312" w:cs="Times New Roman"/>
                <w:color w:val="auto"/>
                <w:kern w:val="2"/>
                <w:szCs w:val="24"/>
              </w:rPr>
              <w:t>3</w:t>
            </w:r>
          </w:p>
        </w:tc>
        <w:tc>
          <w:tcPr>
            <w:tcW w:w="1558" w:type="pct"/>
            <w:tcBorders>
              <w:top w:val="single" w:color="auto" w:sz="4" w:space="0"/>
              <w:left w:val="nil"/>
              <w:bottom w:val="single" w:color="auto" w:sz="4" w:space="0"/>
              <w:right w:val="single" w:color="auto" w:sz="4" w:space="0"/>
            </w:tcBorders>
            <w:shd w:val="clear" w:color="auto" w:fill="auto"/>
            <w:vAlign w:val="center"/>
          </w:tcPr>
          <w:p w14:paraId="3869F884">
            <w:pPr>
              <w:pStyle w:val="54"/>
              <w:rPr>
                <w:rFonts w:eastAsia="仿宋_GB2312" w:cs="Times New Roman"/>
                <w:color w:val="auto"/>
                <w:kern w:val="2"/>
                <w:szCs w:val="24"/>
              </w:rPr>
            </w:pPr>
            <w:r>
              <w:rPr>
                <w:rFonts w:eastAsia="仿宋_GB2312" w:cs="Times New Roman"/>
                <w:color w:val="auto"/>
                <w:kern w:val="2"/>
                <w:szCs w:val="24"/>
              </w:rPr>
              <w:t>规模养殖场畜禽粪污资源化利用台账覆盖率</w:t>
            </w:r>
          </w:p>
        </w:tc>
        <w:tc>
          <w:tcPr>
            <w:tcW w:w="419" w:type="pct"/>
            <w:tcBorders>
              <w:top w:val="single" w:color="auto" w:sz="4" w:space="0"/>
              <w:left w:val="nil"/>
              <w:bottom w:val="single" w:color="auto" w:sz="4" w:space="0"/>
              <w:right w:val="single" w:color="auto" w:sz="4" w:space="0"/>
            </w:tcBorders>
            <w:shd w:val="clear" w:color="auto" w:fill="auto"/>
            <w:vAlign w:val="center"/>
          </w:tcPr>
          <w:p w14:paraId="488B2C6B">
            <w:pPr>
              <w:pStyle w:val="54"/>
              <w:rPr>
                <w:rFonts w:eastAsia="仿宋_GB2312" w:cs="Times New Roman"/>
                <w:color w:val="auto"/>
                <w:kern w:val="2"/>
                <w:szCs w:val="24"/>
              </w:rPr>
            </w:pPr>
            <w:r>
              <w:rPr>
                <w:rFonts w:eastAsia="仿宋_GB2312" w:cs="Times New Roman"/>
                <w:color w:val="auto"/>
                <w:kern w:val="2"/>
                <w:szCs w:val="24"/>
              </w:rPr>
              <w:t>%</w:t>
            </w:r>
          </w:p>
        </w:tc>
        <w:tc>
          <w:tcPr>
            <w:tcW w:w="744" w:type="pct"/>
            <w:tcBorders>
              <w:top w:val="single" w:color="auto" w:sz="4" w:space="0"/>
              <w:left w:val="nil"/>
              <w:bottom w:val="single" w:color="auto" w:sz="4" w:space="0"/>
              <w:right w:val="single" w:color="auto" w:sz="4" w:space="0"/>
            </w:tcBorders>
            <w:shd w:val="clear" w:color="auto" w:fill="auto"/>
            <w:vAlign w:val="center"/>
          </w:tcPr>
          <w:p w14:paraId="3EF3809D">
            <w:pPr>
              <w:pStyle w:val="54"/>
              <w:rPr>
                <w:rFonts w:eastAsia="仿宋_GB2312" w:cs="Times New Roman"/>
                <w:color w:val="auto"/>
                <w:kern w:val="2"/>
                <w:szCs w:val="24"/>
              </w:rPr>
            </w:pPr>
            <w:r>
              <w:rPr>
                <w:rFonts w:eastAsia="仿宋_GB2312" w:cs="Times New Roman"/>
                <w:color w:val="auto"/>
                <w:kern w:val="2"/>
                <w:szCs w:val="24"/>
              </w:rPr>
              <w:t>100</w:t>
            </w:r>
          </w:p>
        </w:tc>
        <w:tc>
          <w:tcPr>
            <w:tcW w:w="1028" w:type="pct"/>
            <w:tcBorders>
              <w:top w:val="single" w:color="auto" w:sz="4" w:space="0"/>
              <w:left w:val="nil"/>
              <w:bottom w:val="single" w:color="auto" w:sz="4" w:space="0"/>
              <w:right w:val="single" w:color="auto" w:sz="4" w:space="0"/>
            </w:tcBorders>
            <w:shd w:val="clear" w:color="auto" w:fill="auto"/>
            <w:vAlign w:val="center"/>
          </w:tcPr>
          <w:p w14:paraId="32C13EFF">
            <w:pPr>
              <w:pStyle w:val="54"/>
              <w:rPr>
                <w:rFonts w:eastAsia="仿宋_GB2312" w:cs="Times New Roman"/>
                <w:color w:val="auto"/>
                <w:kern w:val="2"/>
                <w:szCs w:val="24"/>
              </w:rPr>
            </w:pPr>
            <w:r>
              <w:rPr>
                <w:rFonts w:eastAsia="仿宋_GB2312" w:cs="Times New Roman"/>
                <w:color w:val="auto"/>
                <w:kern w:val="2"/>
                <w:szCs w:val="24"/>
              </w:rPr>
              <w:t>100</w:t>
            </w:r>
          </w:p>
        </w:tc>
        <w:tc>
          <w:tcPr>
            <w:tcW w:w="726" w:type="pct"/>
            <w:tcBorders>
              <w:top w:val="single" w:color="auto" w:sz="4" w:space="0"/>
              <w:left w:val="nil"/>
              <w:bottom w:val="single" w:color="auto" w:sz="4" w:space="0"/>
              <w:right w:val="single" w:color="auto" w:sz="4" w:space="0"/>
            </w:tcBorders>
            <w:shd w:val="clear" w:color="auto" w:fill="auto"/>
            <w:vAlign w:val="center"/>
          </w:tcPr>
          <w:p w14:paraId="0D857A68">
            <w:pPr>
              <w:pStyle w:val="54"/>
              <w:rPr>
                <w:rFonts w:eastAsia="仿宋_GB2312" w:cs="Times New Roman"/>
                <w:color w:val="auto"/>
                <w:kern w:val="2"/>
                <w:szCs w:val="24"/>
              </w:rPr>
            </w:pPr>
            <w:r>
              <w:rPr>
                <w:rFonts w:eastAsia="仿宋_GB2312" w:cs="Times New Roman"/>
                <w:color w:val="auto"/>
                <w:kern w:val="2"/>
                <w:szCs w:val="24"/>
              </w:rPr>
              <w:t>约束性</w:t>
            </w:r>
          </w:p>
        </w:tc>
      </w:tr>
      <w:tr w14:paraId="3E1C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tcBorders>
              <w:top w:val="nil"/>
              <w:left w:val="single" w:color="auto" w:sz="4" w:space="0"/>
              <w:bottom w:val="single" w:color="auto" w:sz="4" w:space="0"/>
              <w:right w:val="single" w:color="auto" w:sz="4" w:space="0"/>
            </w:tcBorders>
            <w:shd w:val="clear" w:color="auto" w:fill="auto"/>
            <w:vAlign w:val="center"/>
          </w:tcPr>
          <w:p w14:paraId="2B6C7088">
            <w:pPr>
              <w:pStyle w:val="54"/>
              <w:rPr>
                <w:rFonts w:eastAsia="仿宋_GB2312" w:cs="Times New Roman"/>
                <w:color w:val="auto"/>
                <w:kern w:val="2"/>
                <w:szCs w:val="24"/>
              </w:rPr>
            </w:pPr>
            <w:r>
              <w:rPr>
                <w:rFonts w:eastAsia="仿宋_GB2312" w:cs="Times New Roman"/>
                <w:color w:val="auto"/>
                <w:kern w:val="2"/>
                <w:szCs w:val="24"/>
              </w:rPr>
              <w:t>4</w:t>
            </w:r>
          </w:p>
        </w:tc>
        <w:tc>
          <w:tcPr>
            <w:tcW w:w="1558" w:type="pct"/>
            <w:tcBorders>
              <w:top w:val="single" w:color="auto" w:sz="4" w:space="0"/>
              <w:left w:val="nil"/>
              <w:bottom w:val="single" w:color="auto" w:sz="4" w:space="0"/>
              <w:right w:val="single" w:color="auto" w:sz="4" w:space="0"/>
            </w:tcBorders>
            <w:shd w:val="clear" w:color="auto" w:fill="auto"/>
            <w:vAlign w:val="center"/>
          </w:tcPr>
          <w:p w14:paraId="53830EF2">
            <w:pPr>
              <w:pStyle w:val="54"/>
              <w:rPr>
                <w:rFonts w:eastAsia="仿宋_GB2312" w:cs="Times New Roman"/>
                <w:color w:val="auto"/>
                <w:kern w:val="2"/>
                <w:szCs w:val="24"/>
              </w:rPr>
            </w:pPr>
            <w:r>
              <w:rPr>
                <w:rFonts w:eastAsia="仿宋_GB2312" w:cs="Times New Roman"/>
                <w:color w:val="auto"/>
                <w:kern w:val="2"/>
                <w:szCs w:val="24"/>
              </w:rPr>
              <w:t>达标排放的畜禽规模养殖场自行监测覆盖率</w:t>
            </w:r>
          </w:p>
        </w:tc>
        <w:tc>
          <w:tcPr>
            <w:tcW w:w="419" w:type="pct"/>
            <w:tcBorders>
              <w:top w:val="single" w:color="auto" w:sz="4" w:space="0"/>
              <w:left w:val="nil"/>
              <w:bottom w:val="single" w:color="auto" w:sz="4" w:space="0"/>
              <w:right w:val="single" w:color="auto" w:sz="4" w:space="0"/>
            </w:tcBorders>
            <w:shd w:val="clear" w:color="auto" w:fill="auto"/>
            <w:vAlign w:val="center"/>
          </w:tcPr>
          <w:p w14:paraId="7C3D1CD4">
            <w:pPr>
              <w:pStyle w:val="54"/>
              <w:rPr>
                <w:rFonts w:eastAsia="仿宋_GB2312" w:cs="Times New Roman"/>
                <w:color w:val="auto"/>
                <w:kern w:val="2"/>
                <w:szCs w:val="24"/>
              </w:rPr>
            </w:pPr>
            <w:r>
              <w:rPr>
                <w:rFonts w:eastAsia="仿宋_GB2312" w:cs="Times New Roman"/>
                <w:color w:val="auto"/>
                <w:kern w:val="2"/>
                <w:szCs w:val="24"/>
              </w:rPr>
              <w:t>%</w:t>
            </w:r>
          </w:p>
        </w:tc>
        <w:tc>
          <w:tcPr>
            <w:tcW w:w="744" w:type="pct"/>
            <w:tcBorders>
              <w:top w:val="single" w:color="auto" w:sz="4" w:space="0"/>
              <w:left w:val="nil"/>
              <w:bottom w:val="single" w:color="auto" w:sz="4" w:space="0"/>
              <w:right w:val="single" w:color="auto" w:sz="4" w:space="0"/>
            </w:tcBorders>
            <w:shd w:val="clear" w:color="auto" w:fill="auto"/>
            <w:vAlign w:val="center"/>
          </w:tcPr>
          <w:p w14:paraId="394C7950">
            <w:pPr>
              <w:pStyle w:val="54"/>
              <w:rPr>
                <w:rFonts w:eastAsia="仿宋_GB2312" w:cs="Times New Roman"/>
                <w:color w:val="auto"/>
                <w:kern w:val="2"/>
                <w:szCs w:val="24"/>
              </w:rPr>
            </w:pPr>
            <w:r>
              <w:rPr>
                <w:rFonts w:eastAsia="仿宋_GB2312" w:cs="Times New Roman"/>
                <w:color w:val="auto"/>
                <w:kern w:val="2"/>
                <w:szCs w:val="24"/>
              </w:rPr>
              <w:t>-*</w:t>
            </w:r>
          </w:p>
        </w:tc>
        <w:tc>
          <w:tcPr>
            <w:tcW w:w="1028" w:type="pct"/>
            <w:tcBorders>
              <w:top w:val="single" w:color="auto" w:sz="4" w:space="0"/>
              <w:left w:val="nil"/>
              <w:bottom w:val="single" w:color="auto" w:sz="4" w:space="0"/>
              <w:right w:val="single" w:color="auto" w:sz="4" w:space="0"/>
            </w:tcBorders>
            <w:shd w:val="clear" w:color="auto" w:fill="auto"/>
            <w:vAlign w:val="center"/>
          </w:tcPr>
          <w:p w14:paraId="2CF85B8F">
            <w:pPr>
              <w:pStyle w:val="54"/>
              <w:rPr>
                <w:rFonts w:eastAsia="仿宋_GB2312" w:cs="Times New Roman"/>
                <w:color w:val="auto"/>
                <w:kern w:val="2"/>
                <w:szCs w:val="24"/>
              </w:rPr>
            </w:pPr>
            <w:r>
              <w:rPr>
                <w:rFonts w:eastAsia="仿宋_GB2312" w:cs="Times New Roman"/>
                <w:color w:val="auto"/>
                <w:kern w:val="2"/>
                <w:szCs w:val="24"/>
              </w:rPr>
              <w:t>100</w:t>
            </w:r>
          </w:p>
        </w:tc>
        <w:tc>
          <w:tcPr>
            <w:tcW w:w="726" w:type="pct"/>
            <w:tcBorders>
              <w:top w:val="single" w:color="auto" w:sz="4" w:space="0"/>
              <w:left w:val="nil"/>
              <w:bottom w:val="single" w:color="auto" w:sz="4" w:space="0"/>
              <w:right w:val="single" w:color="auto" w:sz="4" w:space="0"/>
            </w:tcBorders>
            <w:shd w:val="clear" w:color="auto" w:fill="auto"/>
            <w:vAlign w:val="center"/>
          </w:tcPr>
          <w:p w14:paraId="382C1A55">
            <w:pPr>
              <w:pStyle w:val="54"/>
              <w:rPr>
                <w:rFonts w:eastAsia="仿宋_GB2312" w:cs="Times New Roman"/>
                <w:color w:val="auto"/>
                <w:kern w:val="2"/>
                <w:szCs w:val="24"/>
              </w:rPr>
            </w:pPr>
            <w:r>
              <w:rPr>
                <w:rFonts w:eastAsia="仿宋_GB2312" w:cs="Times New Roman"/>
                <w:color w:val="auto"/>
                <w:kern w:val="2"/>
                <w:szCs w:val="24"/>
              </w:rPr>
              <w:t>约束性</w:t>
            </w:r>
          </w:p>
        </w:tc>
      </w:tr>
      <w:tr w14:paraId="5C21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tcBorders>
              <w:top w:val="nil"/>
              <w:left w:val="single" w:color="auto" w:sz="4" w:space="0"/>
              <w:bottom w:val="single" w:color="auto" w:sz="4" w:space="0"/>
              <w:right w:val="single" w:color="auto" w:sz="4" w:space="0"/>
            </w:tcBorders>
            <w:shd w:val="clear" w:color="auto" w:fill="auto"/>
            <w:vAlign w:val="center"/>
          </w:tcPr>
          <w:p w14:paraId="63AD4769">
            <w:pPr>
              <w:pStyle w:val="54"/>
              <w:rPr>
                <w:rFonts w:eastAsia="仿宋_GB2312" w:cs="Times New Roman"/>
                <w:color w:val="auto"/>
                <w:kern w:val="2"/>
                <w:szCs w:val="24"/>
              </w:rPr>
            </w:pPr>
            <w:r>
              <w:rPr>
                <w:rFonts w:eastAsia="仿宋_GB2312" w:cs="Times New Roman"/>
                <w:color w:val="auto"/>
                <w:kern w:val="2"/>
                <w:szCs w:val="24"/>
              </w:rPr>
              <w:t>5</w:t>
            </w:r>
          </w:p>
        </w:tc>
        <w:tc>
          <w:tcPr>
            <w:tcW w:w="1558" w:type="pct"/>
            <w:tcBorders>
              <w:top w:val="single" w:color="auto" w:sz="4" w:space="0"/>
              <w:left w:val="nil"/>
              <w:bottom w:val="single" w:color="auto" w:sz="4" w:space="0"/>
              <w:right w:val="single" w:color="auto" w:sz="4" w:space="0"/>
            </w:tcBorders>
            <w:shd w:val="clear" w:color="auto" w:fill="auto"/>
            <w:vAlign w:val="center"/>
          </w:tcPr>
          <w:p w14:paraId="7DB55AD0">
            <w:pPr>
              <w:pStyle w:val="54"/>
              <w:rPr>
                <w:rFonts w:eastAsia="仿宋_GB2312" w:cs="Times New Roman"/>
                <w:color w:val="auto"/>
                <w:kern w:val="2"/>
                <w:szCs w:val="24"/>
              </w:rPr>
            </w:pPr>
            <w:r>
              <w:rPr>
                <w:rFonts w:eastAsia="仿宋_GB2312" w:cs="Times New Roman"/>
                <w:color w:val="auto"/>
                <w:kern w:val="2"/>
                <w:szCs w:val="24"/>
              </w:rPr>
              <w:t>（大型）规模养殖场氨等臭气减排比例</w:t>
            </w:r>
          </w:p>
        </w:tc>
        <w:tc>
          <w:tcPr>
            <w:tcW w:w="419" w:type="pct"/>
            <w:tcBorders>
              <w:top w:val="single" w:color="auto" w:sz="4" w:space="0"/>
              <w:left w:val="nil"/>
              <w:bottom w:val="single" w:color="auto" w:sz="4" w:space="0"/>
              <w:right w:val="single" w:color="auto" w:sz="4" w:space="0"/>
            </w:tcBorders>
            <w:shd w:val="clear" w:color="auto" w:fill="auto"/>
            <w:vAlign w:val="center"/>
          </w:tcPr>
          <w:p w14:paraId="30CAB3BD">
            <w:pPr>
              <w:pStyle w:val="54"/>
              <w:rPr>
                <w:rFonts w:eastAsia="仿宋_GB2312" w:cs="Times New Roman"/>
                <w:color w:val="auto"/>
                <w:kern w:val="2"/>
                <w:szCs w:val="24"/>
              </w:rPr>
            </w:pPr>
            <w:r>
              <w:rPr>
                <w:rFonts w:eastAsia="仿宋_GB2312" w:cs="Times New Roman"/>
                <w:color w:val="auto"/>
                <w:kern w:val="2"/>
                <w:szCs w:val="24"/>
              </w:rPr>
              <w:t>%</w:t>
            </w:r>
          </w:p>
        </w:tc>
        <w:tc>
          <w:tcPr>
            <w:tcW w:w="744" w:type="pct"/>
            <w:tcBorders>
              <w:top w:val="single" w:color="auto" w:sz="4" w:space="0"/>
              <w:left w:val="nil"/>
              <w:bottom w:val="single" w:color="auto" w:sz="4" w:space="0"/>
              <w:right w:val="single" w:color="auto" w:sz="4" w:space="0"/>
            </w:tcBorders>
            <w:shd w:val="clear" w:color="auto" w:fill="auto"/>
            <w:vAlign w:val="center"/>
          </w:tcPr>
          <w:p w14:paraId="17E46B99">
            <w:pPr>
              <w:pStyle w:val="54"/>
              <w:rPr>
                <w:rFonts w:eastAsia="仿宋_GB2312" w:cs="Times New Roman"/>
                <w:color w:val="auto"/>
                <w:kern w:val="2"/>
                <w:szCs w:val="24"/>
              </w:rPr>
            </w:pPr>
            <w:r>
              <w:rPr>
                <w:rFonts w:eastAsia="仿宋_GB2312" w:cs="Times New Roman"/>
                <w:color w:val="auto"/>
                <w:kern w:val="2"/>
                <w:szCs w:val="24"/>
              </w:rPr>
              <w:t>-</w:t>
            </w:r>
          </w:p>
        </w:tc>
        <w:tc>
          <w:tcPr>
            <w:tcW w:w="1028" w:type="pct"/>
            <w:tcBorders>
              <w:top w:val="single" w:color="auto" w:sz="4" w:space="0"/>
              <w:left w:val="nil"/>
              <w:bottom w:val="single" w:color="auto" w:sz="4" w:space="0"/>
              <w:right w:val="single" w:color="auto" w:sz="4" w:space="0"/>
            </w:tcBorders>
            <w:shd w:val="clear" w:color="auto" w:fill="auto"/>
            <w:vAlign w:val="center"/>
          </w:tcPr>
          <w:p w14:paraId="2D5047D8">
            <w:pPr>
              <w:pStyle w:val="54"/>
              <w:rPr>
                <w:rFonts w:eastAsia="仿宋_GB2312" w:cs="Times New Roman"/>
                <w:color w:val="auto"/>
                <w:kern w:val="2"/>
                <w:szCs w:val="24"/>
              </w:rPr>
            </w:pPr>
            <w:r>
              <w:rPr>
                <w:rFonts w:eastAsia="仿宋_GB2312" w:cs="Times New Roman"/>
                <w:color w:val="auto"/>
                <w:kern w:val="2"/>
                <w:szCs w:val="24"/>
              </w:rPr>
              <w:t>完成省、市下达任务指标</w:t>
            </w:r>
          </w:p>
        </w:tc>
        <w:tc>
          <w:tcPr>
            <w:tcW w:w="726" w:type="pct"/>
            <w:tcBorders>
              <w:top w:val="single" w:color="auto" w:sz="4" w:space="0"/>
              <w:left w:val="nil"/>
              <w:bottom w:val="single" w:color="auto" w:sz="4" w:space="0"/>
              <w:right w:val="single" w:color="auto" w:sz="4" w:space="0"/>
            </w:tcBorders>
            <w:shd w:val="clear" w:color="auto" w:fill="auto"/>
            <w:vAlign w:val="center"/>
          </w:tcPr>
          <w:p w14:paraId="6DA41EE7">
            <w:pPr>
              <w:pStyle w:val="54"/>
              <w:rPr>
                <w:rFonts w:eastAsia="仿宋_GB2312" w:cs="Times New Roman"/>
                <w:color w:val="auto"/>
                <w:kern w:val="2"/>
                <w:szCs w:val="24"/>
              </w:rPr>
            </w:pPr>
            <w:r>
              <w:rPr>
                <w:rFonts w:eastAsia="仿宋_GB2312" w:cs="Times New Roman"/>
                <w:color w:val="auto"/>
                <w:kern w:val="2"/>
                <w:szCs w:val="24"/>
              </w:rPr>
              <w:t>预期性</w:t>
            </w:r>
          </w:p>
        </w:tc>
      </w:tr>
      <w:tr w14:paraId="1A01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tcBorders>
              <w:top w:val="nil"/>
              <w:left w:val="single" w:color="auto" w:sz="4" w:space="0"/>
              <w:bottom w:val="single" w:color="auto" w:sz="4" w:space="0"/>
              <w:right w:val="single" w:color="auto" w:sz="4" w:space="0"/>
            </w:tcBorders>
            <w:shd w:val="clear" w:color="auto" w:fill="auto"/>
            <w:vAlign w:val="center"/>
          </w:tcPr>
          <w:p w14:paraId="32E01AC0">
            <w:pPr>
              <w:pStyle w:val="54"/>
              <w:rPr>
                <w:rFonts w:eastAsia="仿宋_GB2312" w:cs="Times New Roman"/>
                <w:color w:val="auto"/>
                <w:kern w:val="2"/>
                <w:szCs w:val="24"/>
              </w:rPr>
            </w:pPr>
            <w:r>
              <w:rPr>
                <w:rFonts w:eastAsia="仿宋_GB2312" w:cs="Times New Roman"/>
                <w:color w:val="auto"/>
                <w:kern w:val="2"/>
                <w:szCs w:val="24"/>
              </w:rPr>
              <w:t>6</w:t>
            </w:r>
          </w:p>
        </w:tc>
        <w:tc>
          <w:tcPr>
            <w:tcW w:w="1558" w:type="pct"/>
            <w:tcBorders>
              <w:top w:val="single" w:color="auto" w:sz="4" w:space="0"/>
              <w:left w:val="nil"/>
              <w:bottom w:val="single" w:color="auto" w:sz="4" w:space="0"/>
              <w:right w:val="single" w:color="auto" w:sz="4" w:space="0"/>
            </w:tcBorders>
            <w:shd w:val="clear" w:color="auto" w:fill="auto"/>
            <w:vAlign w:val="center"/>
          </w:tcPr>
          <w:p w14:paraId="0BFD00AD">
            <w:pPr>
              <w:pStyle w:val="54"/>
              <w:rPr>
                <w:rFonts w:eastAsia="仿宋_GB2312" w:cs="Times New Roman"/>
                <w:color w:val="auto"/>
                <w:kern w:val="2"/>
                <w:szCs w:val="24"/>
              </w:rPr>
            </w:pPr>
            <w:r>
              <w:rPr>
                <w:rFonts w:eastAsia="仿宋_GB2312" w:cs="Times New Roman"/>
                <w:color w:val="auto"/>
                <w:kern w:val="2"/>
                <w:szCs w:val="24"/>
              </w:rPr>
              <w:t>畜禽规模养殖比重</w:t>
            </w:r>
          </w:p>
        </w:tc>
        <w:tc>
          <w:tcPr>
            <w:tcW w:w="419" w:type="pct"/>
            <w:tcBorders>
              <w:top w:val="single" w:color="auto" w:sz="4" w:space="0"/>
              <w:left w:val="nil"/>
              <w:bottom w:val="single" w:color="auto" w:sz="4" w:space="0"/>
              <w:right w:val="single" w:color="auto" w:sz="4" w:space="0"/>
            </w:tcBorders>
            <w:shd w:val="clear" w:color="auto" w:fill="auto"/>
            <w:vAlign w:val="center"/>
          </w:tcPr>
          <w:p w14:paraId="4D39E946">
            <w:pPr>
              <w:pStyle w:val="54"/>
              <w:rPr>
                <w:rFonts w:eastAsia="仿宋_GB2312" w:cs="Times New Roman"/>
                <w:color w:val="auto"/>
                <w:kern w:val="2"/>
                <w:szCs w:val="24"/>
              </w:rPr>
            </w:pPr>
            <w:r>
              <w:rPr>
                <w:rFonts w:eastAsia="仿宋_GB2312" w:cs="Times New Roman"/>
                <w:color w:val="auto"/>
                <w:kern w:val="2"/>
                <w:szCs w:val="24"/>
              </w:rPr>
              <w:t>%</w:t>
            </w:r>
          </w:p>
        </w:tc>
        <w:tc>
          <w:tcPr>
            <w:tcW w:w="744" w:type="pct"/>
            <w:tcBorders>
              <w:top w:val="single" w:color="auto" w:sz="4" w:space="0"/>
              <w:left w:val="nil"/>
              <w:bottom w:val="single" w:color="auto" w:sz="4" w:space="0"/>
              <w:right w:val="single" w:color="auto" w:sz="4" w:space="0"/>
            </w:tcBorders>
            <w:shd w:val="clear" w:color="auto" w:fill="auto"/>
            <w:vAlign w:val="center"/>
          </w:tcPr>
          <w:p w14:paraId="09765081">
            <w:pPr>
              <w:pStyle w:val="54"/>
              <w:rPr>
                <w:rFonts w:eastAsia="仿宋_GB2312" w:cs="Times New Roman"/>
                <w:color w:val="auto"/>
                <w:kern w:val="2"/>
                <w:szCs w:val="24"/>
              </w:rPr>
            </w:pPr>
            <w:r>
              <w:rPr>
                <w:rFonts w:eastAsia="仿宋_GB2312" w:cs="Times New Roman"/>
                <w:color w:val="auto"/>
                <w:kern w:val="2"/>
                <w:szCs w:val="24"/>
              </w:rPr>
              <w:t>74.95</w:t>
            </w:r>
          </w:p>
        </w:tc>
        <w:tc>
          <w:tcPr>
            <w:tcW w:w="1028" w:type="pct"/>
            <w:tcBorders>
              <w:top w:val="single" w:color="auto" w:sz="4" w:space="0"/>
              <w:left w:val="nil"/>
              <w:bottom w:val="single" w:color="auto" w:sz="4" w:space="0"/>
              <w:right w:val="single" w:color="auto" w:sz="4" w:space="0"/>
            </w:tcBorders>
            <w:shd w:val="clear" w:color="auto" w:fill="auto"/>
            <w:vAlign w:val="center"/>
          </w:tcPr>
          <w:p w14:paraId="18CDE34A">
            <w:pPr>
              <w:pStyle w:val="54"/>
              <w:rPr>
                <w:rFonts w:eastAsia="仿宋_GB2312" w:cs="Times New Roman"/>
                <w:color w:val="auto"/>
                <w:kern w:val="2"/>
                <w:szCs w:val="24"/>
              </w:rPr>
            </w:pPr>
            <w:r>
              <w:rPr>
                <w:rFonts w:eastAsia="仿宋_GB2312" w:cs="Times New Roman"/>
                <w:color w:val="auto"/>
                <w:kern w:val="2"/>
                <w:szCs w:val="24"/>
              </w:rPr>
              <w:t>88</w:t>
            </w:r>
          </w:p>
        </w:tc>
        <w:tc>
          <w:tcPr>
            <w:tcW w:w="726" w:type="pct"/>
            <w:tcBorders>
              <w:top w:val="single" w:color="auto" w:sz="4" w:space="0"/>
              <w:left w:val="nil"/>
              <w:bottom w:val="single" w:color="auto" w:sz="4" w:space="0"/>
              <w:right w:val="single" w:color="auto" w:sz="4" w:space="0"/>
            </w:tcBorders>
            <w:shd w:val="clear" w:color="auto" w:fill="auto"/>
            <w:vAlign w:val="center"/>
          </w:tcPr>
          <w:p w14:paraId="1B32B3BC">
            <w:pPr>
              <w:pStyle w:val="54"/>
              <w:rPr>
                <w:rFonts w:eastAsia="仿宋_GB2312" w:cs="Times New Roman"/>
                <w:color w:val="auto"/>
                <w:kern w:val="2"/>
                <w:szCs w:val="24"/>
              </w:rPr>
            </w:pPr>
            <w:r>
              <w:rPr>
                <w:rFonts w:eastAsia="仿宋_GB2312" w:cs="Times New Roman"/>
                <w:color w:val="auto"/>
                <w:kern w:val="2"/>
                <w:szCs w:val="24"/>
              </w:rPr>
              <w:t>预期性</w:t>
            </w:r>
          </w:p>
        </w:tc>
      </w:tr>
    </w:tbl>
    <w:p w14:paraId="5A23231D">
      <w:pPr>
        <w:pStyle w:val="43"/>
        <w:spacing w:line="240" w:lineRule="auto"/>
        <w:ind w:firstLine="420"/>
        <w:rPr>
          <w:sz w:val="21"/>
          <w:szCs w:val="21"/>
        </w:rPr>
      </w:pPr>
      <w:r>
        <w:rPr>
          <w:sz w:val="21"/>
          <w:szCs w:val="21"/>
        </w:rPr>
        <w:t>注*：天桥区现无采用此类模式的规模养殖场。</w:t>
      </w:r>
    </w:p>
    <w:p w14:paraId="566AC80B">
      <w:pPr>
        <w:pStyle w:val="43"/>
        <w:spacing w:line="240" w:lineRule="auto"/>
        <w:ind w:firstLine="420"/>
        <w:rPr>
          <w:sz w:val="21"/>
          <w:szCs w:val="21"/>
        </w:rPr>
      </w:pPr>
    </w:p>
    <w:bookmarkEnd w:id="28"/>
    <w:p w14:paraId="2FDC143F">
      <w:pPr>
        <w:pStyle w:val="50"/>
      </w:pPr>
      <w:bookmarkStart w:id="29" w:name="_Toc127201328"/>
      <w:bookmarkStart w:id="30" w:name="_Toc117758909"/>
      <w:bookmarkStart w:id="31" w:name="_Toc127540611"/>
      <w:r>
        <w:t>主要任务</w:t>
      </w:r>
      <w:bookmarkEnd w:id="29"/>
      <w:bookmarkEnd w:id="30"/>
      <w:bookmarkEnd w:id="31"/>
    </w:p>
    <w:p w14:paraId="66D9880B">
      <w:pPr>
        <w:pStyle w:val="40"/>
      </w:pPr>
      <w:bookmarkStart w:id="32" w:name="_Toc117675838"/>
      <w:bookmarkStart w:id="33" w:name="_Toc117707659"/>
      <w:bookmarkStart w:id="34" w:name="_Toc127540612"/>
      <w:bookmarkStart w:id="35" w:name="_Toc120543901"/>
      <w:bookmarkStart w:id="36" w:name="_Toc127201329"/>
      <w:r>
        <w:t>坚持分区分类管理，</w:t>
      </w:r>
      <w:bookmarkEnd w:id="32"/>
      <w:bookmarkEnd w:id="33"/>
      <w:r>
        <w:t>促进畜牧业高质量发展</w:t>
      </w:r>
      <w:bookmarkEnd w:id="34"/>
      <w:bookmarkEnd w:id="35"/>
      <w:bookmarkEnd w:id="36"/>
    </w:p>
    <w:p w14:paraId="53906113">
      <w:pPr>
        <w:pStyle w:val="41"/>
        <w:numPr>
          <w:ilvl w:val="2"/>
          <w:numId w:val="2"/>
        </w:numPr>
        <w:ind w:left="0" w:firstLine="643" w:firstLineChars="200"/>
      </w:pPr>
      <w:bookmarkStart w:id="37" w:name="_Toc117675839"/>
      <w:bookmarkStart w:id="38" w:name="_Toc117707660"/>
      <w:r>
        <w:t>优化养殖业结构和布局</w:t>
      </w:r>
      <w:bookmarkEnd w:id="37"/>
      <w:bookmarkEnd w:id="38"/>
    </w:p>
    <w:p w14:paraId="5F181907">
      <w:pPr>
        <w:pStyle w:val="43"/>
      </w:pPr>
      <w:r>
        <w:t>严格执行济南市“三线一单”对天桥区的管控要求和天桥区禁养区划分方案。将“三线一单”作为畜禽养殖综合决策的前提条件。在重点管控单元加强污染物排放控制和环境风险防控。</w:t>
      </w:r>
      <w:r>
        <w:rPr>
          <w:rStyle w:val="47"/>
          <w:rFonts w:ascii="Times New Roman" w:hAnsi="Times New Roman" w:cs="Times New Roman"/>
        </w:rPr>
        <w:t>科学测算土地承载能力，</w:t>
      </w:r>
      <w:r>
        <w:t>统筹考虑畜禽养殖污染防治要求，</w:t>
      </w:r>
      <w:r>
        <w:rPr>
          <w:rStyle w:val="47"/>
          <w:rFonts w:ascii="Times New Roman" w:hAnsi="Times New Roman" w:cs="Times New Roman"/>
        </w:rPr>
        <w:t>合理确定养殖场（户）畜禽粪污消纳用地面积</w:t>
      </w:r>
      <w:r>
        <w:t>，优化布局</w:t>
      </w:r>
      <w:r>
        <w:rPr>
          <w:rStyle w:val="47"/>
          <w:rFonts w:ascii="Times New Roman" w:hAnsi="Times New Roman" w:cs="Times New Roman"/>
        </w:rPr>
        <w:t>。</w:t>
      </w:r>
      <w:r>
        <w:t>科学确定畜禽养殖的养殖总量、品种和规模化水平，确保畜禽养殖产业发展符合区域环境功能定位和环境保护要求。</w:t>
      </w:r>
    </w:p>
    <w:p w14:paraId="3B327443">
      <w:pPr>
        <w:pStyle w:val="41"/>
        <w:numPr>
          <w:ilvl w:val="2"/>
          <w:numId w:val="2"/>
        </w:numPr>
        <w:ind w:left="0" w:firstLine="643" w:firstLineChars="200"/>
      </w:pPr>
      <w:r>
        <w:t>实施畜牧业高质量发展提升工程</w:t>
      </w:r>
    </w:p>
    <w:p w14:paraId="335C0D44">
      <w:pPr>
        <w:pStyle w:val="43"/>
      </w:pPr>
      <w:r>
        <w:rPr>
          <w:bCs/>
          <w:kern w:val="0"/>
          <w:szCs w:val="28"/>
        </w:rPr>
        <w:t>鼓励规模以下养殖场</w:t>
      </w:r>
      <w:r>
        <w:t>（户）</w:t>
      </w:r>
      <w:r>
        <w:rPr>
          <w:bCs/>
          <w:kern w:val="0"/>
          <w:szCs w:val="28"/>
        </w:rPr>
        <w:t>向规模化畜禽养殖场转变</w:t>
      </w:r>
      <w:r>
        <w:rPr>
          <w:szCs w:val="28"/>
        </w:rPr>
        <w:t>，提升规模化养殖比重。</w:t>
      </w:r>
      <w:r>
        <w:t>积极引导畜禽养殖企业向标准化、生态化、智慧化方向发展，加快产业升级。鼓励山东众爱农产品有限公司和济南北林养殖有限公司开展圈舍标准化改造和设备更新，提高畜禽养殖效率、粪污资源化利用水平和质量安全水平。</w:t>
      </w:r>
      <w:r>
        <w:rPr>
          <w:szCs w:val="28"/>
        </w:rPr>
        <w:t>推动畜禽规模养殖场提高良种应用、设施装备、疫病防控、粪污处理水平</w:t>
      </w:r>
      <w:r>
        <w:rPr>
          <w:shd w:val="clear" w:color="auto" w:fill="FFFFFF"/>
        </w:rPr>
        <w:t>，</w:t>
      </w:r>
      <w:r>
        <w:rPr>
          <w:bCs/>
          <w:kern w:val="0"/>
          <w:szCs w:val="28"/>
        </w:rPr>
        <w:t>鼓励山东众爱农产品有限公司开展畜禽养殖标准化示范场创建工作。</w:t>
      </w:r>
    </w:p>
    <w:p w14:paraId="1D28FAE0">
      <w:pPr>
        <w:pStyle w:val="40"/>
      </w:pPr>
      <w:bookmarkStart w:id="39" w:name="_Toc127201330"/>
      <w:bookmarkStart w:id="40" w:name="_Toc120543902"/>
      <w:bookmarkStart w:id="41" w:name="_Toc117707669"/>
      <w:bookmarkStart w:id="42" w:name="_Toc127540613"/>
      <w:bookmarkStart w:id="43" w:name="_Toc117675848"/>
      <w:r>
        <w:t>强化精准治污，完善粪污处理和利用设施。</w:t>
      </w:r>
      <w:bookmarkEnd w:id="39"/>
      <w:bookmarkEnd w:id="40"/>
      <w:bookmarkEnd w:id="41"/>
      <w:bookmarkEnd w:id="42"/>
      <w:bookmarkEnd w:id="43"/>
    </w:p>
    <w:p w14:paraId="2A79B3D2">
      <w:pPr>
        <w:pStyle w:val="41"/>
        <w:numPr>
          <w:ilvl w:val="2"/>
          <w:numId w:val="2"/>
        </w:numPr>
        <w:ind w:left="0" w:firstLine="643" w:firstLineChars="200"/>
      </w:pPr>
      <w:bookmarkStart w:id="44" w:name="_Toc117675849"/>
      <w:bookmarkStart w:id="45" w:name="_Toc117707670"/>
      <w:r>
        <w:t>推行源头减量措施</w:t>
      </w:r>
      <w:bookmarkEnd w:id="44"/>
      <w:bookmarkEnd w:id="45"/>
    </w:p>
    <w:p w14:paraId="63715D28">
      <w:pPr>
        <w:pStyle w:val="43"/>
      </w:pPr>
      <w:r>
        <w:t>支持养殖场（户）通过采用科学合理的饲料配方、先进的清粪工艺和饲养管理技术，从源头上降低污染物产生量。新建养殖场应采取雨污分离措施。进一步推进现有养殖场（户）通过改造排水系统等方式，实现圈舍及粪污贮存设施雨污分流。鼓励采用干清粪方式，减少粪污产生总量，降低粪污处理和利用难度。储粪场和污水储存池等配套设施应符合防淋、防渗、防溢流要求。现有畜禽养殖场（户）逐步淘汰全程水冲粪等清粪方式，新建畜禽养殖户杜绝水冲粪清粪方式，做到干化清粪、集中堆积。</w:t>
      </w:r>
    </w:p>
    <w:p w14:paraId="0D77A4CE">
      <w:pPr>
        <w:pStyle w:val="41"/>
        <w:numPr>
          <w:ilvl w:val="2"/>
          <w:numId w:val="2"/>
        </w:numPr>
        <w:ind w:left="0" w:firstLine="643" w:firstLineChars="200"/>
      </w:pPr>
      <w:bookmarkStart w:id="46" w:name="_Toc117675850"/>
      <w:bookmarkStart w:id="47" w:name="_Toc117707671"/>
      <w:r>
        <w:t>深化畜禽粪污综合治理</w:t>
      </w:r>
      <w:bookmarkEnd w:id="46"/>
      <w:bookmarkEnd w:id="47"/>
    </w:p>
    <w:p w14:paraId="124AD1C0">
      <w:pPr>
        <w:pStyle w:val="43"/>
        <w:rPr>
          <w:bCs/>
        </w:rPr>
      </w:pPr>
      <w:r>
        <w:t>规范畜禽养殖场（户）粪污处理装备配套，推动畜禽规模养殖场粪污处理装备提档升级。落实财政扶持政策，支持畜禽粪污综合治理项目建设，逐步将补贴范围扩大至规模以下养殖场户。支持引导畜禽养殖场（户）节水、清粪、环境控制、发酵、运输、管网等粪污处理设施配建和提升改造。确保规模养殖场粪污处理设施装备配套率保持在100%。</w:t>
      </w:r>
    </w:p>
    <w:p w14:paraId="63356BE8">
      <w:pPr>
        <w:pStyle w:val="41"/>
        <w:numPr>
          <w:ilvl w:val="2"/>
          <w:numId w:val="2"/>
        </w:numPr>
        <w:ind w:left="0" w:firstLine="643" w:firstLineChars="200"/>
      </w:pPr>
      <w:bookmarkStart w:id="48" w:name="_Toc117707672"/>
      <w:bookmarkStart w:id="49" w:name="_Toc117675851"/>
      <w:r>
        <w:t>加强粪污处理和利用设施运行维护</w:t>
      </w:r>
      <w:bookmarkEnd w:id="48"/>
      <w:bookmarkEnd w:id="49"/>
    </w:p>
    <w:p w14:paraId="7DAEB8E6">
      <w:pPr>
        <w:pStyle w:val="43"/>
      </w:pPr>
      <w:r>
        <w:t>加强污染治理设施的后期运维管理，保障设施正常运行。督促养殖户做好日常环境卫生，及时清理圈舍粪污，避免粪污直排和散落、污水横流等脏乱现象；鼓励通过喷洒除臭剂、灭蚊蝇剂等方式，降低对周边群众生产生活影响，避免对水源地等生态敏感区产生污染。鼓励采用覆土、覆膜、覆盖稻草或锯末等方式，做好畜禽粪污物理隔绝，通过堆积腐熟发酵达到无害化处理。</w:t>
      </w:r>
    </w:p>
    <w:p w14:paraId="78514498">
      <w:pPr>
        <w:pStyle w:val="41"/>
        <w:numPr>
          <w:ilvl w:val="2"/>
          <w:numId w:val="2"/>
        </w:numPr>
        <w:ind w:left="0" w:firstLine="643" w:firstLineChars="200"/>
      </w:pPr>
      <w:bookmarkStart w:id="50" w:name="_Toc117707673"/>
      <w:bookmarkStart w:id="51" w:name="_Toc117675852"/>
      <w:r>
        <w:t>强化养殖业污染物减排</w:t>
      </w:r>
      <w:bookmarkEnd w:id="50"/>
      <w:bookmarkEnd w:id="51"/>
    </w:p>
    <w:p w14:paraId="72C77E4F">
      <w:pPr>
        <w:pStyle w:val="43"/>
      </w:pPr>
      <w:r>
        <w:t>主要粪污贮存处理设施应做好防漏和防臭，减少粪污贮存和处理过程中的氨等臭气排放。整治畜禽粪污违法堆放问题，对沿河湖岸堤周边及支流沟渠等堆存的畜禽粪污开展排查清理工作。</w:t>
      </w:r>
    </w:p>
    <w:p w14:paraId="08965304">
      <w:pPr>
        <w:pStyle w:val="40"/>
      </w:pPr>
      <w:bookmarkStart w:id="52" w:name="_Toc127201331"/>
      <w:bookmarkStart w:id="53" w:name="_Toc127540614"/>
      <w:bookmarkStart w:id="54" w:name="_Toc120543903"/>
      <w:r>
        <w:t>推进种养结合，持续提升资源化利用水平</w:t>
      </w:r>
      <w:bookmarkEnd w:id="52"/>
      <w:bookmarkEnd w:id="53"/>
      <w:bookmarkEnd w:id="54"/>
    </w:p>
    <w:p w14:paraId="71D2D9EF">
      <w:pPr>
        <w:pStyle w:val="41"/>
        <w:numPr>
          <w:ilvl w:val="2"/>
          <w:numId w:val="2"/>
        </w:numPr>
        <w:ind w:left="0" w:firstLine="643" w:firstLineChars="200"/>
      </w:pPr>
      <w:r>
        <w:t>鼓励和引导种养业结合发展</w:t>
      </w:r>
    </w:p>
    <w:p w14:paraId="669D2CD9">
      <w:pPr>
        <w:pStyle w:val="43"/>
      </w:pPr>
      <w:r>
        <w:rPr>
          <w:rStyle w:val="47"/>
          <w:rFonts w:ascii="Times New Roman" w:hAnsi="Times New Roman" w:cs="Times New Roman"/>
        </w:rPr>
        <w:t>突出由“治”向“用”的转变</w:t>
      </w:r>
      <w:r>
        <w:t>，提高畜禽粪污资源化利用水平</w:t>
      </w:r>
      <w:r>
        <w:rPr>
          <w:rStyle w:val="47"/>
          <w:rFonts w:ascii="Times New Roman" w:hAnsi="Times New Roman" w:cs="Times New Roman"/>
        </w:rPr>
        <w:t>，</w:t>
      </w:r>
      <w:r>
        <w:t>鼓励生态循环农业技术和模式发展。</w:t>
      </w:r>
      <w:r>
        <w:rPr>
          <w:rStyle w:val="47"/>
          <w:rFonts w:ascii="Times New Roman" w:hAnsi="Times New Roman" w:cs="Times New Roman"/>
        </w:rPr>
        <w:t>鼓励养殖主体通过流转、合约等方式配套土地，促进粪肥还田，</w:t>
      </w:r>
      <w:r>
        <w:t>推动粪肥低成本还田利用，支持粪肥还田利用种养结合示范基地的建设，构建“无废”农业新格局。</w:t>
      </w:r>
      <w:r>
        <w:rPr>
          <w:rStyle w:val="47"/>
          <w:rFonts w:ascii="Times New Roman" w:hAnsi="Times New Roman" w:cs="Times New Roman"/>
        </w:rPr>
        <w:t>鼓励</w:t>
      </w:r>
      <w:r>
        <w:t>规模以下畜禽养殖户通过配建粪污处理设施、委托协议处理、堆积发酵就地就近还田等方式，促进畜禽粪污还田利用。鼓励和引导农民增施有机肥，改善土壤地力。</w:t>
      </w:r>
    </w:p>
    <w:p w14:paraId="61F2B917">
      <w:pPr>
        <w:pStyle w:val="41"/>
        <w:numPr>
          <w:ilvl w:val="2"/>
          <w:numId w:val="2"/>
        </w:numPr>
        <w:ind w:left="0" w:firstLine="643" w:firstLineChars="200"/>
      </w:pPr>
      <w:r>
        <w:t>完善畜禽粪污资源化利用体系</w:t>
      </w:r>
    </w:p>
    <w:p w14:paraId="00BDB6D1">
      <w:pPr>
        <w:pStyle w:val="43"/>
      </w:pPr>
      <w:r>
        <w:t>强化种养结合和畜禽粪污资源化利用管理。桑梓店街道办事处制定本行政区域内的种养结合粪肥定量定向施用计划。积极探索和总结畜禽养殖污染防治技术模式，拓宽畜禽养殖废弃物高值转化途径，推进粪肥精准利用。</w:t>
      </w:r>
      <w:r>
        <w:rPr>
          <w:rFonts w:hint="eastAsia"/>
          <w:lang w:eastAsia="zh-CN"/>
        </w:rPr>
        <w:t>“十四五”</w:t>
      </w:r>
      <w:r>
        <w:t>期间，粪污综合利用率稳定在90％以上。</w:t>
      </w:r>
    </w:p>
    <w:p w14:paraId="50438BC5">
      <w:pPr>
        <w:pStyle w:val="40"/>
      </w:pPr>
      <w:bookmarkStart w:id="55" w:name="_Toc117675853"/>
      <w:bookmarkStart w:id="56" w:name="_Toc127201332"/>
      <w:bookmarkStart w:id="57" w:name="_Toc120543904"/>
      <w:bookmarkStart w:id="58" w:name="_Toc127540615"/>
      <w:bookmarkStart w:id="59" w:name="_Toc117707674"/>
      <w:r>
        <w:t>健全台账管理制度，强化信息共享。</w:t>
      </w:r>
      <w:bookmarkEnd w:id="55"/>
      <w:bookmarkEnd w:id="56"/>
      <w:bookmarkEnd w:id="57"/>
      <w:bookmarkEnd w:id="58"/>
      <w:bookmarkEnd w:id="59"/>
    </w:p>
    <w:p w14:paraId="72F7C4B2">
      <w:pPr>
        <w:pStyle w:val="43"/>
      </w:pPr>
      <w:r>
        <w:t>区农业农村局按照农业农村部门养殖场直联直报信息平台备案的规模养殖场名单，督促指导养殖场户填写《畜禽养殖场户粪污资源化利用计划》，完善粪污资源化利用培训指导和监督检查方案，指导养殖场（户）准确理解填报要求和指标含义，提高养殖场（户）粪肥台账记录的自觉性。区农业农村局结合畜禽养殖周期特点，定期将养殖场（户）清单提供给市生态环境局天桥分局。市生态环境局天桥分局根据清单，做好环评和排污许可管理工作。</w:t>
      </w:r>
    </w:p>
    <w:p w14:paraId="5656FE1F">
      <w:pPr>
        <w:pStyle w:val="43"/>
      </w:pPr>
      <w:r>
        <w:rPr>
          <w:szCs w:val="22"/>
        </w:rPr>
        <w:t>规模养殖场应落实畜禽粪污资源化利用台账管理要求，确保畜禽粪污去向可追溯</w:t>
      </w:r>
      <w:r>
        <w:t>。逐步推行规模以下养殖场（户）畜禽粪污资源化利用计划和台账管理。至2025年，规模养殖场畜禽粪污资源化利用台账覆盖率保持在100%，</w:t>
      </w:r>
    </w:p>
    <w:p w14:paraId="0DBD2B2E">
      <w:pPr>
        <w:pStyle w:val="40"/>
      </w:pPr>
      <w:bookmarkStart w:id="60" w:name="_Toc117675854"/>
      <w:bookmarkStart w:id="61" w:name="_Toc127540616"/>
      <w:bookmarkStart w:id="62" w:name="_Toc120543905"/>
      <w:bookmarkStart w:id="63" w:name="_Toc127201333"/>
      <w:bookmarkStart w:id="64" w:name="_Toc117707675"/>
      <w:r>
        <w:t>强化环境监管，加持创新技术推广</w:t>
      </w:r>
      <w:bookmarkEnd w:id="60"/>
      <w:bookmarkEnd w:id="61"/>
      <w:bookmarkEnd w:id="62"/>
      <w:bookmarkEnd w:id="63"/>
      <w:bookmarkEnd w:id="64"/>
    </w:p>
    <w:p w14:paraId="72150F55">
      <w:pPr>
        <w:pStyle w:val="41"/>
        <w:numPr>
          <w:ilvl w:val="2"/>
          <w:numId w:val="2"/>
        </w:numPr>
        <w:ind w:left="0" w:firstLine="643" w:firstLineChars="200"/>
      </w:pPr>
      <w:bookmarkStart w:id="65" w:name="_Toc117675855"/>
      <w:bookmarkStart w:id="66" w:name="_Toc117707676"/>
      <w:r>
        <w:t>严格审批监管</w:t>
      </w:r>
      <w:bookmarkEnd w:id="65"/>
      <w:bookmarkEnd w:id="66"/>
    </w:p>
    <w:p w14:paraId="0879F10E">
      <w:pPr>
        <w:pStyle w:val="43"/>
      </w:pPr>
      <w:r>
        <w:rPr>
          <w:bCs/>
        </w:rPr>
        <w:t>落实畜禽规模养殖场环境影响评价及排污许可制度，依法规范畜禽养殖禁养区管理。</w:t>
      </w:r>
      <w:r>
        <w:t>新、改扩建畜禽规模养殖场，要按照《建设项目环境影响评价分类管理名录》的要求，依法进行环境影响评价，落实环境影响报告书审批或环境影响登记表备案制度。审批部门应严格审批，对选址、工艺、污染防治措施等不符合要求的项目不予审批。按照《固定污染源排污许可分类管理名录》的要求，对畜禽规模养殖场实行重点管理、简化管理或登记管理。畜禽规模养殖场应当在启动生产设施或者发生实际排污之前申请取得排污许可证或者填报排污登记表，严禁无证排污。</w:t>
      </w:r>
    </w:p>
    <w:p w14:paraId="43E5208A">
      <w:pPr>
        <w:pStyle w:val="41"/>
        <w:numPr>
          <w:ilvl w:val="2"/>
          <w:numId w:val="2"/>
        </w:numPr>
        <w:ind w:left="0" w:firstLine="643" w:firstLineChars="200"/>
      </w:pPr>
      <w:bookmarkStart w:id="67" w:name="_Toc117675856"/>
      <w:bookmarkStart w:id="68" w:name="_Toc117707677"/>
      <w:r>
        <w:t>强化日常监管</w:t>
      </w:r>
      <w:bookmarkEnd w:id="67"/>
      <w:bookmarkEnd w:id="68"/>
    </w:p>
    <w:p w14:paraId="67F5C2DE">
      <w:pPr>
        <w:pStyle w:val="43"/>
        <w:rPr>
          <w:rStyle w:val="47"/>
          <w:rFonts w:ascii="Times New Roman" w:hAnsi="Times New Roman" w:cs="Times New Roman"/>
        </w:rPr>
      </w:pPr>
      <w:r>
        <w:rPr>
          <w:rStyle w:val="47"/>
          <w:rFonts w:ascii="Times New Roman" w:hAnsi="Times New Roman" w:cs="Times New Roman"/>
        </w:rPr>
        <w:t>加强畜禽规模养殖场执法力度，依法查处无证排污、不按证排污、污染防治设施配套不到位等环境违法行为。</w:t>
      </w:r>
      <w:r>
        <w:t>结合养殖场直联直报信息平台，对畜禽粪污资源化利用计划和台账进行抽查。</w:t>
      </w:r>
      <w:r>
        <w:rPr>
          <w:rStyle w:val="47"/>
          <w:rFonts w:ascii="Times New Roman" w:hAnsi="Times New Roman" w:cs="Times New Roman"/>
        </w:rPr>
        <w:t>加强对畜禽粪肥的质量监测，依法查处粪肥超量施用污染环境的环境违法行为，规范畜禽养殖污染物排放。重点加强对已完成治理的畜禽养殖场（户）以及畜禽粪便收集处理设施的现场监督。针对畜禽养殖排泄物偷排、漏排、直排现象，采取多种检查方式，加大执法力度。</w:t>
      </w:r>
    </w:p>
    <w:p w14:paraId="037F5F3B">
      <w:pPr>
        <w:pStyle w:val="43"/>
      </w:pPr>
      <w:r>
        <w:t>区农业农村局负责畜禽养殖废弃物综合利用的指导和服务；</w:t>
      </w:r>
      <w:r>
        <w:rPr>
          <w:bCs/>
        </w:rPr>
        <w:t>市生态环境局天桥分局</w:t>
      </w:r>
      <w:r>
        <w:t>负责畜禽养殖污染防治的统一监督管理，依法查处有关违规行为。</w:t>
      </w:r>
      <w:r>
        <w:rPr>
          <w:kern w:val="0"/>
        </w:rPr>
        <w:t>按照环境保护监管职责，</w:t>
      </w:r>
      <w:r>
        <w:t>协助</w:t>
      </w:r>
      <w:r>
        <w:rPr>
          <w:kern w:val="0"/>
        </w:rPr>
        <w:t>区环保部门负责</w:t>
      </w:r>
      <w:r>
        <w:t>环境影响评价执行情况、</w:t>
      </w:r>
      <w:r>
        <w:rPr>
          <w:kern w:val="0"/>
        </w:rPr>
        <w:t>粪污直排等违法行为进行查处，协助畜牧部门做好畜禽粪污处理设施配建、运行监管工作</w:t>
      </w:r>
      <w:r>
        <w:t>。</w:t>
      </w:r>
    </w:p>
    <w:p w14:paraId="733C57D9">
      <w:pPr>
        <w:pStyle w:val="41"/>
        <w:numPr>
          <w:ilvl w:val="2"/>
          <w:numId w:val="2"/>
        </w:numPr>
        <w:ind w:left="0" w:firstLine="643" w:firstLineChars="200"/>
      </w:pPr>
      <w:bookmarkStart w:id="69" w:name="_Toc117707678"/>
      <w:bookmarkStart w:id="70" w:name="_Toc117675857"/>
      <w:r>
        <w:t>防范污染风险</w:t>
      </w:r>
      <w:bookmarkEnd w:id="69"/>
      <w:bookmarkEnd w:id="70"/>
      <w:bookmarkStart w:id="71" w:name="_Hlk117430626"/>
    </w:p>
    <w:p w14:paraId="0A85857D">
      <w:pPr>
        <w:pStyle w:val="43"/>
      </w:pPr>
      <w:r>
        <w:t>对已完成配建的养殖场（户）进行随机检查，确保粪污处理设施配套齐全、运转正常。对畜禽粪污处理设施装备不合格的养殖场（户），明确限期整改要求，对完成整改要求的畜禽养殖场（户）进行现场核查；对超过整改时限，畜禽粪污处理设施装备仍不合格的畜禽养殖场（户），依法责令停止生产或使用。</w:t>
      </w:r>
      <w:r>
        <w:rPr>
          <w:shd w:val="clear" w:color="auto" w:fill="FFFFFF"/>
        </w:rPr>
        <w:t>桑梓店街道办事处</w:t>
      </w:r>
      <w:r>
        <w:t>应结合当地种养情况和环境压力，制定畜禽养殖污染风险防范措施。</w:t>
      </w:r>
    </w:p>
    <w:bookmarkEnd w:id="71"/>
    <w:p w14:paraId="6E6DA3C0">
      <w:pPr>
        <w:pStyle w:val="50"/>
      </w:pPr>
      <w:bookmarkStart w:id="72" w:name="_Toc127540617"/>
      <w:bookmarkStart w:id="73" w:name="_Toc117707699"/>
      <w:bookmarkStart w:id="74" w:name="_Toc127201334"/>
      <w:bookmarkStart w:id="75" w:name="_Toc117675864"/>
      <w:r>
        <w:t>保障措施</w:t>
      </w:r>
      <w:bookmarkEnd w:id="72"/>
      <w:bookmarkEnd w:id="73"/>
      <w:bookmarkEnd w:id="74"/>
      <w:bookmarkEnd w:id="75"/>
    </w:p>
    <w:p w14:paraId="76CE3C4D">
      <w:pPr>
        <w:pStyle w:val="40"/>
      </w:pPr>
      <w:bookmarkStart w:id="76" w:name="_Toc127540618"/>
      <w:bookmarkStart w:id="77" w:name="_Toc127201335"/>
      <w:bookmarkStart w:id="78" w:name="_Toc120543918"/>
      <w:bookmarkStart w:id="79" w:name="_Toc117675865"/>
      <w:bookmarkStart w:id="80" w:name="_Toc117707700"/>
      <w:r>
        <w:t>加强组织领导，细化责任分工</w:t>
      </w:r>
      <w:bookmarkEnd w:id="76"/>
      <w:bookmarkEnd w:id="77"/>
      <w:bookmarkEnd w:id="78"/>
    </w:p>
    <w:p w14:paraId="618C2915">
      <w:pPr>
        <w:pStyle w:val="43"/>
      </w:pPr>
      <w:r>
        <w:t>严格落实生态环境保护“党政同责、一岗双责”，落实属地管理责任。区农业农村部门、生态环境部门按照各自职责，做好全区畜禽养殖污染防治工作的组织领导和协调落实。各职能部门和街道办事处要各司其职，密切配合，结合辖区实际，分解落实畜禽养殖污染防治任务，实现资源和信息共享，形成部门合力，强化日常管理，推动畜禽粪污资源化利用，防治畜禽养殖污染，为规划的顺利实施提供各方保障。</w:t>
      </w:r>
    </w:p>
    <w:p w14:paraId="4D47712E">
      <w:pPr>
        <w:pStyle w:val="43"/>
      </w:pPr>
      <w:r>
        <w:t>生态环境部门负责畜禽养殖污染防治的统一监督管理；农业农村部门负责对畜禽养殖废弃物综合利用的指导和服务；各街道办事处按照职责做好畜禽养殖污染防治工作，负责对本行政区域内畜禽养殖污染治理设施建设与运行情况进行监督管理，协助生态环境部门、农业农村部门以及其他有关部门实施畜禽养殖污染防治工作；行政村可以制定和实施有关畜禽养殖废弃物处置等村规民约，对本村居民开展畜禽养殖污染防治的宣传教育，发现畜禽养殖污染的，应当及时制止并向环保部门报告；区发展改革、财政、科技、自然资源、水务、林业、卫生健康等有关部门要按照职责分工，做好畜禽养殖污染防治相关工作。</w:t>
      </w:r>
    </w:p>
    <w:p w14:paraId="3D58F552">
      <w:pPr>
        <w:pStyle w:val="40"/>
      </w:pPr>
      <w:bookmarkStart w:id="81" w:name="_Toc120543919"/>
      <w:bookmarkStart w:id="82" w:name="_Toc127540619"/>
      <w:bookmarkStart w:id="83" w:name="_Toc127201336"/>
      <w:r>
        <w:t>完善畜禽养殖污染防治体系，强化监督执法</w:t>
      </w:r>
      <w:bookmarkEnd w:id="81"/>
      <w:bookmarkEnd w:id="82"/>
      <w:bookmarkEnd w:id="83"/>
    </w:p>
    <w:p w14:paraId="7F0172D2">
      <w:pPr>
        <w:pStyle w:val="43"/>
      </w:pPr>
      <w:r>
        <w:t>通过多部门联合监督、专项监督和日常性监督等多种监管方式加大畜禽养殖污染日常监督和执法管理。加快畜禽养殖污染治理设施建设，对违法排污行为加大查处力度。</w:t>
      </w:r>
      <w:r>
        <w:rPr>
          <w:kern w:val="0"/>
        </w:rPr>
        <w:t>推行畜禽粪污养分管理，指导规模养殖场完善畜禽粪污管理台账，构建粪肥还田利用监管体系。</w:t>
      </w:r>
    </w:p>
    <w:p w14:paraId="4886DE05">
      <w:pPr>
        <w:pStyle w:val="40"/>
      </w:pPr>
      <w:bookmarkStart w:id="84" w:name="_Toc120543920"/>
      <w:bookmarkStart w:id="85" w:name="_Toc127540620"/>
      <w:bookmarkStart w:id="86" w:name="_Toc127201337"/>
      <w:r>
        <w:t>加强扶持激励，强化技术支持</w:t>
      </w:r>
      <w:bookmarkEnd w:id="84"/>
      <w:bookmarkEnd w:id="85"/>
      <w:bookmarkEnd w:id="86"/>
    </w:p>
    <w:p w14:paraId="30F7118E">
      <w:pPr>
        <w:pStyle w:val="43"/>
      </w:pPr>
      <w:r>
        <w:t>加大对生态养殖项目和畜禽养殖污染防治项目的支持力度，支持绿色养殖项目建设，引导产业高质量发展。探索建立多元化畜禽养殖污染治理资金投入机制，通过政策引导和优惠措施，鼓励企业进行畜牧业绿色化改造，吸引社会多元主体投资畜禽污粪资源化利用项目和畜禽养殖污染治理设施建设。积极争取市级以上财政资金支持，优化资金补贴方式，严格政策落实。积极探索和总结畜禽养殖污染防治技术模式，</w:t>
      </w:r>
      <w:r>
        <w:rPr>
          <w:rStyle w:val="47"/>
          <w:rFonts w:ascii="Times New Roman" w:hAnsi="Times New Roman" w:cs="Times New Roman"/>
        </w:rPr>
        <w:t>以畜禽粪污就地就近肥料化利用为重点，按照畜禽粪肥还田要求和标准，加强对畜禽养殖场（户）畜禽粪污资源化利用的指导，鼓励采用低成本、低排放、易操作的粪污处理工艺。定期组织开展技术交流与人员培训，组织技术人员，深入养殖场（户）对畜禽养殖从业人员进行技术指导，从污染防治设施建设运行、恶臭防治技术、堆肥技巧、粪肥还田数量及施用方法等方面予以技术指导，逐步提高从业人员的污染治理技术水平。</w:t>
      </w:r>
    </w:p>
    <w:p w14:paraId="2DAF3AA2">
      <w:pPr>
        <w:pStyle w:val="40"/>
      </w:pPr>
      <w:bookmarkStart w:id="87" w:name="_Toc127201338"/>
      <w:bookmarkStart w:id="88" w:name="_Toc127540621"/>
      <w:bookmarkStart w:id="89" w:name="_Toc120543921"/>
      <w:r>
        <w:t>加大宣传教育，形成社会合力</w:t>
      </w:r>
      <w:bookmarkEnd w:id="87"/>
      <w:bookmarkEnd w:id="88"/>
      <w:bookmarkEnd w:id="89"/>
    </w:p>
    <w:p w14:paraId="55C19D45">
      <w:pPr>
        <w:pStyle w:val="43"/>
        <w:rPr>
          <w:rStyle w:val="44"/>
        </w:rPr>
      </w:pPr>
      <w:r>
        <w:t>加强畜禽养殖环保宣传教育，调动畜禽养殖场（户）实施废弃物资源化利用的主动性和积极性。借助各级各类媒体的广泛覆盖面，积极开展畜禽养殖污染防治工作的宣传教育，营造良好的舆论氛围</w:t>
      </w:r>
      <w:r>
        <w:rPr>
          <w:rStyle w:val="44"/>
        </w:rPr>
        <w:t>，</w:t>
      </w:r>
      <w:r>
        <w:rPr>
          <w:rStyle w:val="44"/>
          <w:b w:val="0"/>
          <w:bCs w:val="0"/>
        </w:rPr>
        <w:t>引导养殖主体树立“健康养殖、变废为宝”的养殖理念。</w:t>
      </w:r>
      <w:r>
        <w:t>及时总结和凝练各地畜禽养殖污染治理工作中的扶持政策、治理方法、治理典型，</w:t>
      </w:r>
      <w:r>
        <w:rPr>
          <w:rStyle w:val="44"/>
          <w:b w:val="0"/>
          <w:bCs w:val="0"/>
        </w:rPr>
        <w:t>通过推介宣传、现场观摩、培训推广等方式，加大宣传推广</w:t>
      </w:r>
      <w:r>
        <w:rPr>
          <w:rStyle w:val="44"/>
        </w:rPr>
        <w:t>。</w:t>
      </w:r>
      <w:bookmarkEnd w:id="79"/>
      <w:bookmarkEnd w:id="80"/>
    </w:p>
    <w:p w14:paraId="5162B6C2">
      <w:pPr>
        <w:pStyle w:val="43"/>
        <w:ind w:firstLine="643"/>
        <w:rPr>
          <w:rStyle w:val="44"/>
        </w:rPr>
      </w:pPr>
    </w:p>
    <w:p w14:paraId="2CBDDCC2">
      <w:pPr>
        <w:pStyle w:val="43"/>
        <w:ind w:firstLine="643"/>
        <w:rPr>
          <w:rStyle w:val="44"/>
        </w:rPr>
      </w:pPr>
    </w:p>
    <w:p w14:paraId="55685B2A">
      <w:pPr>
        <w:ind w:firstLine="640"/>
        <w:rPr>
          <w:rFonts w:hint="eastAsia"/>
        </w:rPr>
      </w:pPr>
    </w:p>
    <w:p w14:paraId="2F474411">
      <w:pPr>
        <w:ind w:firstLine="640"/>
        <w:rPr>
          <w:rFonts w:hint="eastAsia"/>
        </w:rPr>
      </w:pPr>
    </w:p>
    <w:p w14:paraId="3CF99ABC">
      <w:pPr>
        <w:ind w:firstLine="640"/>
        <w:rPr>
          <w:rFonts w:hint="eastAsia"/>
        </w:rPr>
      </w:pPr>
    </w:p>
    <w:p w14:paraId="2833CA71">
      <w:pPr>
        <w:ind w:firstLine="640"/>
        <w:rPr>
          <w:rFonts w:hint="eastAsia"/>
        </w:rPr>
      </w:pPr>
    </w:p>
    <w:p w14:paraId="3E2C895D">
      <w:pPr>
        <w:ind w:firstLine="640"/>
        <w:rPr>
          <w:rFonts w:hint="eastAsia"/>
        </w:rPr>
      </w:pPr>
    </w:p>
    <w:p w14:paraId="46388D44">
      <w:pPr>
        <w:ind w:firstLine="640"/>
        <w:rPr>
          <w:rFonts w:hint="eastAsia"/>
        </w:rPr>
      </w:pPr>
    </w:p>
    <w:p w14:paraId="6B2E0700">
      <w:pPr>
        <w:ind w:firstLine="640"/>
        <w:rPr>
          <w:rFonts w:hint="eastAsia"/>
        </w:rPr>
      </w:pPr>
    </w:p>
    <w:p w14:paraId="5FE6AB90">
      <w:pPr>
        <w:ind w:firstLine="640"/>
        <w:rPr>
          <w:rFonts w:hint="eastAsia"/>
        </w:rPr>
      </w:pPr>
    </w:p>
    <w:p w14:paraId="60C40476">
      <w:pPr>
        <w:ind w:firstLine="640"/>
        <w:rPr>
          <w:rFonts w:hint="eastAsia"/>
        </w:rPr>
      </w:pPr>
    </w:p>
    <w:p w14:paraId="613E91B4">
      <w:pPr>
        <w:ind w:firstLine="640"/>
        <w:rPr>
          <w:rFonts w:hint="eastAsia"/>
        </w:rPr>
      </w:pPr>
    </w:p>
    <w:p w14:paraId="33E83C5D">
      <w:pPr>
        <w:ind w:firstLine="640"/>
        <w:rPr>
          <w:rFonts w:hint="eastAsia"/>
        </w:rPr>
      </w:pPr>
    </w:p>
    <w:p w14:paraId="2DE6022C">
      <w:pPr>
        <w:ind w:firstLine="640"/>
        <w:rPr>
          <w:rFonts w:hint="eastAsia"/>
        </w:rPr>
      </w:pPr>
    </w:p>
    <w:p w14:paraId="366B6C24">
      <w:pPr>
        <w:ind w:firstLine="640"/>
        <w:rPr>
          <w:rFonts w:hint="eastAsia"/>
        </w:rPr>
      </w:pPr>
    </w:p>
    <w:p w14:paraId="2893BD7C">
      <w:pPr>
        <w:ind w:firstLine="640"/>
        <w:rPr>
          <w:rFonts w:hint="eastAsia"/>
        </w:rPr>
      </w:pPr>
    </w:p>
    <w:p w14:paraId="1AC59513">
      <w:pPr>
        <w:ind w:firstLine="640"/>
        <w:rPr>
          <w:rFonts w:hint="eastAsia"/>
        </w:rPr>
      </w:pPr>
    </w:p>
    <w:p w14:paraId="43BFC28A">
      <w:pPr>
        <w:ind w:firstLine="640"/>
        <w:rPr>
          <w:rFonts w:hint="eastAsia"/>
        </w:rPr>
      </w:pPr>
    </w:p>
    <w:p w14:paraId="42D78BB7">
      <w:pPr>
        <w:ind w:firstLine="640"/>
        <w:rPr>
          <w:rFonts w:hint="eastAsia"/>
        </w:rPr>
      </w:pPr>
    </w:p>
    <w:p w14:paraId="2FCCAC8A">
      <w:pPr>
        <w:ind w:firstLine="640"/>
        <w:rPr>
          <w:rFonts w:hint="eastAsia"/>
        </w:rPr>
      </w:pPr>
    </w:p>
    <w:p w14:paraId="2A66CCDF">
      <w:pPr>
        <w:ind w:firstLine="640"/>
        <w:rPr>
          <w:rFonts w:hint="eastAsia"/>
        </w:rPr>
      </w:pPr>
    </w:p>
    <w:p w14:paraId="4AB2DB0B">
      <w:pPr>
        <w:ind w:firstLine="640"/>
        <w:rPr>
          <w:rFonts w:hint="eastAsia"/>
        </w:rPr>
      </w:pPr>
    </w:p>
    <w:p w14:paraId="1A9D96BA">
      <w:pPr>
        <w:ind w:firstLine="640"/>
        <w:rPr>
          <w:rFonts w:hint="eastAsia"/>
        </w:rPr>
      </w:pPr>
    </w:p>
    <w:p w14:paraId="1E9E8567">
      <w:pPr>
        <w:ind w:firstLine="640"/>
        <w:rPr>
          <w:rFonts w:hint="eastAsia"/>
        </w:rPr>
      </w:pPr>
    </w:p>
    <w:p w14:paraId="0253BCE1">
      <w:pPr>
        <w:ind w:firstLine="640"/>
        <w:rPr>
          <w:rFonts w:hint="eastAsia"/>
        </w:rPr>
      </w:pPr>
    </w:p>
    <w:p w14:paraId="48AB38FF">
      <w:pPr>
        <w:ind w:firstLine="640"/>
        <w:rPr>
          <w:rFonts w:hint="eastAsia"/>
        </w:rPr>
      </w:pPr>
    </w:p>
    <w:p w14:paraId="46FEEA91">
      <w:pPr>
        <w:ind w:firstLine="640"/>
        <w:rPr>
          <w:rFonts w:hint="eastAsia"/>
        </w:rPr>
      </w:pPr>
    </w:p>
    <w:p w14:paraId="175FFB54">
      <w:pPr>
        <w:ind w:firstLine="640"/>
        <w:rPr>
          <w:rFonts w:hint="eastAsia"/>
        </w:rPr>
      </w:pPr>
    </w:p>
    <w:p w14:paraId="275ECCFC">
      <w:pPr>
        <w:ind w:firstLine="640"/>
        <w:rPr>
          <w:rFonts w:hint="eastAsia"/>
        </w:rPr>
      </w:pPr>
    </w:p>
    <w:p w14:paraId="32C03260">
      <w:pPr>
        <w:ind w:firstLine="640"/>
        <w:rPr>
          <w:rFonts w:hint="eastAsia"/>
        </w:rPr>
      </w:pPr>
    </w:p>
    <w:p w14:paraId="429EA9DB">
      <w:pPr>
        <w:ind w:firstLine="640"/>
        <w:rPr>
          <w:rFonts w:hint="eastAsia"/>
        </w:rPr>
      </w:pPr>
    </w:p>
    <w:p w14:paraId="698D41F0">
      <w:pPr>
        <w:ind w:firstLine="640"/>
        <w:rPr>
          <w:rFonts w:hint="eastAsia"/>
        </w:rPr>
      </w:pPr>
    </w:p>
    <w:p w14:paraId="37F2976D">
      <w:pPr>
        <w:ind w:firstLine="640"/>
        <w:rPr>
          <w:rFonts w:hint="eastAsia"/>
        </w:rPr>
      </w:pPr>
    </w:p>
    <w:p w14:paraId="4F2E57DA">
      <w:pPr>
        <w:ind w:firstLine="640"/>
        <w:rPr>
          <w:rFonts w:hint="eastAsia"/>
        </w:rPr>
      </w:pPr>
    </w:p>
    <w:p w14:paraId="200C7075">
      <w:pPr>
        <w:ind w:firstLine="640"/>
        <w:rPr>
          <w:rFonts w:hint="eastAsia"/>
        </w:rPr>
      </w:pPr>
    </w:p>
    <w:p w14:paraId="7102E156">
      <w:pPr>
        <w:ind w:firstLine="640"/>
        <w:rPr>
          <w:rFonts w:hint="eastAsia"/>
        </w:rPr>
      </w:pPr>
    </w:p>
    <w:p w14:paraId="73375659">
      <w:pPr>
        <w:ind w:firstLine="640"/>
        <w:rPr>
          <w:rFonts w:hint="eastAsia"/>
        </w:rPr>
      </w:pPr>
    </w:p>
    <w:p w14:paraId="7817776A">
      <w:pPr>
        <w:ind w:firstLine="640"/>
        <w:rPr>
          <w:rFonts w:hint="eastAsia"/>
        </w:rPr>
      </w:pPr>
    </w:p>
    <w:p w14:paraId="11A4C92D">
      <w:pPr>
        <w:ind w:firstLine="0" w:firstLineChars="0"/>
        <w:rPr>
          <w:rFonts w:hint="eastAsia"/>
        </w:rPr>
      </w:pPr>
    </w:p>
    <w:p w14:paraId="06B9B8AC">
      <w:pPr>
        <w:spacing w:line="109" w:lineRule="auto"/>
        <w:ind w:firstLine="40"/>
        <w:rPr>
          <w:rFonts w:hint="eastAsia" w:ascii="Arial"/>
          <w:sz w:val="2"/>
        </w:rPr>
      </w:pPr>
    </w:p>
    <w:tbl>
      <w:tblPr>
        <w:tblStyle w:val="63"/>
        <w:tblW w:w="882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24"/>
      </w:tblGrid>
      <w:tr w14:paraId="0B7E735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493" w:hRule="atLeast"/>
        </w:trPr>
        <w:tc>
          <w:tcPr>
            <w:tcW w:w="8824" w:type="dxa"/>
            <w:tcBorders>
              <w:top w:val="single" w:color="231F20" w:sz="2" w:space="0"/>
              <w:bottom w:val="single" w:color="231F20" w:sz="2" w:space="0"/>
            </w:tcBorders>
          </w:tcPr>
          <w:p w14:paraId="3F9CB32B">
            <w:pPr>
              <w:spacing w:line="590" w:lineRule="exact"/>
              <w:ind w:left="1280" w:leftChars="100" w:hanging="960" w:hangingChars="300"/>
              <w:rPr>
                <w:rFonts w:hAnsi="仿宋_GB2312" w:cs="仿宋_GB2312"/>
                <w:szCs w:val="32"/>
              </w:rPr>
            </w:pPr>
            <w:r>
              <w:rPr>
                <w:rFonts w:hint="eastAsia" w:hAnsi="仿宋_GB2312" w:cs="仿宋_GB2312"/>
                <w:szCs w:val="32"/>
              </w:rPr>
              <w:t>抄送：区委各部门,区人大常委会办公室,区政协办公室,区监委,区人武部,区法院,区检察院。</w:t>
            </w:r>
          </w:p>
          <w:p w14:paraId="684BB63D">
            <w:pPr>
              <w:spacing w:line="590" w:lineRule="exact"/>
              <w:ind w:firstLine="1318" w:firstLineChars="412"/>
              <w:rPr>
                <w:rFonts w:hAnsi="仿宋_GB2312" w:cs="仿宋_GB2312"/>
                <w:szCs w:val="32"/>
              </w:rPr>
            </w:pPr>
            <w:r>
              <w:rPr>
                <w:rFonts w:hint="eastAsia" w:hAnsi="仿宋_GB2312" w:cs="仿宋_GB2312"/>
                <w:szCs w:val="32"/>
              </w:rPr>
              <w:t>各民主党派区委，区工商联。</w:t>
            </w:r>
          </w:p>
        </w:tc>
      </w:tr>
      <w:tr w14:paraId="51B3850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9" w:hRule="atLeast"/>
        </w:trPr>
        <w:tc>
          <w:tcPr>
            <w:tcW w:w="8824" w:type="dxa"/>
            <w:tcBorders>
              <w:top w:val="single" w:color="231F20" w:sz="2" w:space="0"/>
              <w:bottom w:val="single" w:color="231F20" w:sz="2" w:space="0"/>
            </w:tcBorders>
          </w:tcPr>
          <w:p w14:paraId="59993947">
            <w:pPr>
              <w:spacing w:line="590" w:lineRule="exact"/>
              <w:ind w:firstLine="320" w:firstLineChars="100"/>
              <w:rPr>
                <w:rFonts w:hAnsi="仿宋_GB2312" w:cs="仿宋_GB2312"/>
                <w:szCs w:val="32"/>
              </w:rPr>
            </w:pPr>
            <w:r>
              <w:rPr>
                <w:rFonts w:hint="eastAsia" w:hAnsi="仿宋_GB2312" w:cs="仿宋_GB2312"/>
                <w:szCs w:val="32"/>
              </w:rPr>
              <w:t xml:space="preserve">济南市天桥区人民政府办公厅        </w:t>
            </w:r>
            <w:r>
              <w:rPr>
                <w:rFonts w:hint="eastAsia" w:ascii="Times New Roman" w:hAnsi="Times New Roman" w:cs="Times New Roman"/>
                <w:szCs w:val="32"/>
              </w:rPr>
              <w:t>2023年4月18日印发</w:t>
            </w:r>
          </w:p>
        </w:tc>
      </w:tr>
    </w:tbl>
    <w:p w14:paraId="0B0FD77D">
      <w:pPr>
        <w:pStyle w:val="43"/>
        <w:ind w:firstLine="0" w:firstLineChars="0"/>
        <w:rPr>
          <w:rStyle w:val="44"/>
        </w:rPr>
      </w:pPr>
    </w:p>
    <w:sectPr>
      <w:footerReference r:id="rId19" w:type="first"/>
      <w:footerReference r:id="rId18" w:type="default"/>
      <w:headerReference r:id="rId17" w:type="even"/>
      <w:pgSz w:w="11906" w:h="16838"/>
      <w:pgMar w:top="1984" w:right="1502" w:bottom="1814" w:left="1502" w:header="0" w:footer="1361" w:gutter="0"/>
      <w:pgNumType w:start="1"/>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roman"/>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81B7F">
    <w:pPr>
      <w:pStyle w:val="11"/>
      <w:ind w:firstLine="0" w:firstLineChars="0"/>
      <w:jc w:val="both"/>
      <w:rPr>
        <w:rFonts w:hint="eastAsia"/>
        <w:sz w:val="28"/>
        <w:szCs w:val="28"/>
      </w:rPr>
    </w:pPr>
  </w:p>
  <w:p w14:paraId="197D0304">
    <w:pPr>
      <w:pStyle w:val="11"/>
      <w:ind w:firstLine="0" w:firstLineChars="0"/>
      <w:jc w:val="both"/>
      <w:rPr>
        <w:rFonts w:hint="eastAsia"/>
        <w:sz w:val="28"/>
        <w:szCs w:val="28"/>
      </w:rPr>
    </w:pPr>
  </w:p>
  <w:p w14:paraId="3832CECD">
    <w:pPr>
      <w:pStyle w:val="11"/>
      <w:ind w:firstLineChars="111"/>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72B8">
    <w:pPr>
      <w:pStyle w:val="11"/>
      <w:ind w:firstLine="0" w:firstLineChars="0"/>
      <w:jc w:val="both"/>
      <w:rPr>
        <w:rFonts w:ascii="Times New Roman" w:hAnsi="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3911DF">
                          <w:pPr>
                            <w:pStyle w:val="11"/>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v4DeMBAADN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NNzWnsTlga+OXH98vP35df39hq&#10;mfTpPVaUducpMQ6vYaCtmf1IzkR7aINNfyLEKE7qnq/qqiEymS6tV+t1SSFJsflA+MX9dR8wvlVg&#10;WTJqHmh8WVVxeo9xTJ1TUjUHt9qYPELj/nIQ5uhReQem24nJ2HGy4rAfJnp7aM7Ejl4FVe0gfOWs&#10;p52ouaMnwJl550jytD6zEWZjPxvCSbpY88jZaL6J45odfdCHLi9eahH9q2OkvjOd1MZYm2RIB5py&#10;FmTayLRGD8856/4Vb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L+A3jAQAAzQMAAA4A&#10;AAAAAAAAAQAgAAAAHgEAAGRycy9lMm9Eb2MueG1sUEsFBgAAAAAGAAYAWQEAAHMFAAAAAA==&#10;">
              <v:fill on="f" focussize="0,0"/>
              <v:stroke on="f"/>
              <v:imagedata o:title=""/>
              <o:lock v:ext="edit" aspectratio="f"/>
              <v:textbox inset="0mm,0mm,0mm,0mm" style="mso-fit-shape-to-text:t;">
                <w:txbxContent>
                  <w:p w14:paraId="643911DF">
                    <w:pPr>
                      <w:pStyle w:val="11"/>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14:paraId="71837AC1">
    <w:pPr>
      <w:pStyle w:val="11"/>
      <w:ind w:firstLineChars="111"/>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2B78">
    <w:pPr>
      <w:pStyle w:val="11"/>
      <w:ind w:firstLine="0" w:firstLineChars="0"/>
      <w:jc w:val="center"/>
      <w:rPr>
        <w:rFonts w:ascii="Times New Roman" w:hAnsi="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63DEF8">
                          <w:pPr>
                            <w:pStyle w:val="11"/>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CsD2DjAQAAzQMAAA4A&#10;AAAAAAAAAQAgAAAAHgEAAGRycy9lMm9Eb2MueG1sUEsFBgAAAAAGAAYAWQEAAHMFAAAAAA==&#10;">
              <v:fill on="f" focussize="0,0"/>
              <v:stroke on="f"/>
              <v:imagedata o:title=""/>
              <o:lock v:ext="edit" aspectratio="f"/>
              <v:textbox inset="0mm,0mm,0mm,0mm" style="mso-fit-shape-to-text:t;">
                <w:txbxContent>
                  <w:p w14:paraId="7263DEF8">
                    <w:pPr>
                      <w:pStyle w:val="11"/>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14:paraId="4FA5476B">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751A">
    <w:pPr>
      <w:pStyle w:val="11"/>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1061111E">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1F9E">
    <w:pPr>
      <w:pStyle w:val="11"/>
      <w:ind w:firstLine="0" w:firstLineChars="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5143500</wp:posOffset>
              </wp:positionH>
              <wp:positionV relativeFrom="paragraph">
                <wp:posOffset>-314325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9D93224">
                          <w:pPr>
                            <w:pStyle w:val="11"/>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1</w:t>
                          </w:r>
                          <w:r>
                            <w:rPr>
                              <w:rFonts w:ascii="Times New Roman" w:hAnsi="Times New Roman" w:cs="Times New Roman"/>
                              <w:sz w:val="28"/>
                              <w:szCs w:val="28"/>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405pt;margin-top:-24.75pt;height:144pt;width:144pt;mso-position-horizontal-relative:margin;mso-wrap-style:none;z-index:251659264;mso-width-relative:page;mso-height-relative:page;" filled="f" stroked="f" coordsize="21600,21600" o:gfxdata="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EakRtgAAAAMAQAADwAAAAAAAAABACAAAAAiAAAAZHJzL2Rvd25yZXYueG1sUEsBAhQAFAAAAAgA&#10;h07iQDh7SNPsAQAA1QMAAA4AAAAAAAAAAQAgAAAAJwEAAGRycy9lMm9Eb2MueG1sUEsFBgAAAAAG&#10;AAYAWQEAAIUFAAAAAA==&#10;">
              <v:fill on="f" focussize="0,0"/>
              <v:stroke on="f"/>
              <v:imagedata o:title=""/>
              <o:lock v:ext="edit" aspectratio="f"/>
              <v:textbox inset="0mm,0mm,0mm,0mm" style="mso-fit-shape-to-text:t;">
                <w:txbxContent>
                  <w:p w14:paraId="29D93224">
                    <w:pPr>
                      <w:pStyle w:val="11"/>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1</w:t>
                    </w:r>
                    <w:r>
                      <w:rPr>
                        <w:rFonts w:ascii="Times New Roman" w:hAnsi="Times New Roman" w:cs="Times New Roman"/>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543E">
    <w:pPr>
      <w:pStyle w:val="11"/>
      <w:ind w:firstLine="0" w:firstLineChars="0"/>
      <w:jc w:val="both"/>
      <w:rPr>
        <w:rFonts w:hint="eastAsia"/>
        <w:sz w:val="28"/>
        <w:szCs w:val="28"/>
      </w:rPr>
    </w:pPr>
    <w:r>
      <w:rPr>
        <w:rFonts w:hint="eastAsia"/>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F388DEE">
                          <w:pPr>
                            <w:pStyle w:val="11"/>
                            <w:ind w:firstLine="3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NDxiufs&#10;AQAA1gMAAA4AAAAAAAAAAQAgAAAAHgEAAGRycy9lMm9Eb2MueG1sUEsFBgAAAAAGAAYAWQEAAHwF&#10;AAAAAA==&#10;">
              <v:fill on="f" focussize="0,0"/>
              <v:stroke on="f"/>
              <v:imagedata o:title=""/>
              <o:lock v:ext="edit" aspectratio="f"/>
              <v:textbox inset="0mm,0mm,0mm,0mm" style="mso-fit-shape-to-text:t;">
                <w:txbxContent>
                  <w:p w14:paraId="0F388DEE">
                    <w:pPr>
                      <w:pStyle w:val="11"/>
                      <w:ind w:firstLine="3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2463BB32">
    <w:pPr>
      <w:pStyle w:val="11"/>
      <w:ind w:firstLine="0" w:firstLineChars="0"/>
      <w:jc w:val="both"/>
      <w:rPr>
        <w:rFonts w:hint="eastAsia"/>
        <w:sz w:val="28"/>
        <w:szCs w:val="28"/>
      </w:rPr>
    </w:pPr>
  </w:p>
  <w:p w14:paraId="1D9F3C3C">
    <w:pPr>
      <w:pStyle w:val="11"/>
      <w:ind w:firstLineChars="1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E966">
    <w:pPr>
      <w:pStyle w:val="11"/>
      <w:ind w:firstLine="0" w:firstLineChars="0"/>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posOffset>-342900</wp:posOffset>
              </wp:positionH>
              <wp:positionV relativeFrom="paragraph">
                <wp:posOffset>-295275</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7ADFB8F">
                          <w:pPr>
                            <w:pStyle w:val="11"/>
                            <w:ind w:firstLine="560"/>
                            <w:rPr>
                              <w:rFonts w:ascii="Times New Roman" w:hAnsi="Times New Roman" w:cs="Times New Roman"/>
                              <w:sz w:val="28"/>
                              <w:szCs w:val="28"/>
                            </w:rPr>
                          </w:pPr>
                          <w:r>
                            <w:rPr>
                              <w:rFonts w:ascii="Times New Roman" w:hAnsi="Times New Roman" w:cs="Times New Roman"/>
                              <w:sz w:val="28"/>
                              <w:szCs w:val="28"/>
                            </w:rPr>
                            <w:t>—2—</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left:-27pt;margin-top:-23.25pt;height:144pt;width:144pt;mso-position-horizontal-relative:margin;mso-wrap-style:none;z-index:251661312;mso-width-relative:page;mso-height-relative:page;" filled="f" stroked="f" coordsize="21600,21600" o:gfxdata="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i0yb3XAAAACwEAAA8AAAAAAAAAAQAgAAAAIgAAAGRycy9kb3ducmV2LnhtbFBLAQIUABQAAAAI&#10;AIdO4kAAjVeW7gEAANYDAAAOAAAAAAAAAAEAIAAAACYBAABkcnMvZTJvRG9jLnhtbFBLBQYAAAAA&#10;BgAGAFkBAACGBQAAAAA=&#10;">
              <v:fill on="f" focussize="0,0"/>
              <v:stroke on="f"/>
              <v:imagedata o:title=""/>
              <o:lock v:ext="edit" aspectratio="f"/>
              <v:textbox inset="0mm,0mm,0mm,0mm" style="mso-fit-shape-to-text:t;">
                <w:txbxContent>
                  <w:p w14:paraId="27ADFB8F">
                    <w:pPr>
                      <w:pStyle w:val="11"/>
                      <w:ind w:firstLine="560"/>
                      <w:rPr>
                        <w:rFonts w:ascii="Times New Roman" w:hAnsi="Times New Roman" w:cs="Times New Roman"/>
                        <w:sz w:val="28"/>
                        <w:szCs w:val="28"/>
                      </w:rPr>
                    </w:pPr>
                    <w:r>
                      <w:rPr>
                        <w:rFonts w:ascii="Times New Roman" w:hAnsi="Times New Roman" w:cs="Times New Roman"/>
                        <w:sz w:val="28"/>
                        <w:szCs w:val="28"/>
                      </w:rPr>
                      <w:t>—2—</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2D92">
    <w:pPr>
      <w:pStyle w:val="11"/>
      <w:ind w:firstLine="0" w:firstLineChars="0"/>
      <w:jc w:val="both"/>
      <w:rPr>
        <w:rFonts w:hint="eastAsia"/>
        <w:sz w:val="28"/>
        <w:szCs w:val="28"/>
      </w:rPr>
    </w:pPr>
    <w:r>
      <w:rPr>
        <w:rFonts w:hint="eastAsia"/>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776087">
                          <w:pPr>
                            <w:pStyle w:val="11"/>
                            <w:ind w:firstLine="3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JyjhzjAQAAzQMAAA4A&#10;AAAAAAAAAQAgAAAAHgEAAGRycy9lMm9Eb2MueG1sUEsFBgAAAAAGAAYAWQEAAHMFAAAAAA==&#10;">
              <v:fill on="f" focussize="0,0"/>
              <v:stroke on="f"/>
              <v:imagedata o:title=""/>
              <o:lock v:ext="edit" aspectratio="f"/>
              <v:textbox inset="0mm,0mm,0mm,0mm" style="mso-fit-shape-to-text:t;">
                <w:txbxContent>
                  <w:p w14:paraId="43776087">
                    <w:pPr>
                      <w:pStyle w:val="11"/>
                      <w:ind w:firstLine="3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80744D9">
    <w:pPr>
      <w:pStyle w:val="11"/>
      <w:ind w:firstLine="0" w:firstLineChars="0"/>
      <w:jc w:val="both"/>
      <w:rPr>
        <w:rFonts w:hint="eastAsia"/>
        <w:sz w:val="28"/>
        <w:szCs w:val="28"/>
      </w:rPr>
    </w:pPr>
  </w:p>
  <w:p w14:paraId="02E8AFBF">
    <w:pPr>
      <w:pStyle w:val="11"/>
      <w:ind w:firstLineChars="111"/>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9B3B">
    <w:pPr>
      <w:pStyle w:val="11"/>
      <w:ind w:firstLine="0" w:firstLineChars="0"/>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posOffset>4867275</wp:posOffset>
              </wp:positionH>
              <wp:positionV relativeFrom="paragraph">
                <wp:posOffset>-180975</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1B9034">
                          <w:pPr>
                            <w:pStyle w:val="11"/>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1</w:t>
                          </w:r>
                          <w:r>
                            <w:rPr>
                              <w:rFonts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文本框 20" o:spid="_x0000_s1026" o:spt="202" type="#_x0000_t202" style="position:absolute;left:0pt;margin-left:383.25pt;margin-top:-14.25pt;height:144pt;width:144pt;mso-position-horizontal-relative:margin;mso-wrap-style:none;z-index:251665408;mso-width-relative:page;mso-height-relative:page;" filled="f" stroked="f" coordsize="21600,21600" o:gfxdata="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j7SqdcAAAAMAQAADwAAAAAAAAABACAAAAAiAAAAZHJz&#10;L2Rvd25yZXYueG1sUEsBAhQAFAAAAAgAh07iQPUzB/rMAQAAqAMAAA4AAAAAAAAAAQAgAAAAJgEA&#10;AGRycy9lMm9Eb2MueG1sUEsFBgAAAAAGAAYAWQEAAGQFAAAAAA==&#10;">
              <v:fill on="f" focussize="0,0"/>
              <v:stroke on="f"/>
              <v:imagedata o:title=""/>
              <o:lock v:ext="edit" aspectratio="f"/>
              <v:textbox inset="0mm,0mm,0mm,0mm" style="mso-fit-shape-to-text:t;">
                <w:txbxContent>
                  <w:p w14:paraId="251B9034">
                    <w:pPr>
                      <w:pStyle w:val="11"/>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1</w:t>
                    </w:r>
                    <w:r>
                      <w:rPr>
                        <w:rFonts w:ascii="Times New Roman" w:hAnsi="Times New Roman" w:cs="Times New Roman"/>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FAA2">
    <w:pPr>
      <w:pStyle w:val="11"/>
      <w:ind w:firstLine="0" w:firstLineChars="0"/>
      <w:jc w:val="both"/>
      <w:rPr>
        <w:rFonts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9EC26A3">
                          <w:pPr>
                            <w:pStyle w:val="11"/>
                            <w:ind w:firstLine="360"/>
                            <w:rPr>
                              <w:rFonts w:hint="eastAsia"/>
                            </w:rPr>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ckL/&#10;T+4BAADWAwAADgAAAAAAAAABACAAAAAeAQAAZHJzL2Uyb0RvYy54bWxQSwUGAAAAAAYABgBZAQAA&#10;fgUAAAAA&#10;">
              <v:fill on="f" focussize="0,0"/>
              <v:stroke on="f"/>
              <v:imagedata o:title=""/>
              <o:lock v:ext="edit" aspectratio="f"/>
              <v:textbox inset="0mm,0mm,0mm,0mm" style="mso-fit-shape-to-text:t;">
                <w:txbxContent>
                  <w:p w14:paraId="19EC26A3">
                    <w:pPr>
                      <w:pStyle w:val="11"/>
                      <w:ind w:firstLine="360"/>
                      <w:rPr>
                        <w:rFonts w:hint="eastAsia"/>
                      </w:rP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17AF2527">
    <w:pPr>
      <w:pStyle w:val="11"/>
      <w:ind w:firstLineChars="111"/>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ACF0">
    <w:pPr>
      <w:pStyle w:val="11"/>
      <w:ind w:firstLine="0" w:firstLineChars="0"/>
      <w:jc w:val="center"/>
      <w:rPr>
        <w:rFonts w:ascii="Times New Roman" w:hAnsi="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-314325</wp:posOffset>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1723294">
                          <w:pPr>
                            <w:pStyle w:val="11"/>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left:-24.75pt;margin-top:0pt;height:144pt;width:144pt;mso-position-horizontal-relative:margin;mso-wrap-style:none;z-index:251663360;mso-width-relative:page;mso-height-relative:page;" filled="f" stroked="f" coordsize="21600,21600" o:gfxdata="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Gc6U&#10;1AAAAAgBAAAPAAAAAAAAAAEAIAAAACIAAABkcnMvZG93bnJldi54bWxQSwECFAAUAAAACACHTuJA&#10;AN20r+wBAADWAwAADgAAAAAAAAABACAAAAAjAQAAZHJzL2Uyb0RvYy54bWxQSwUGAAAAAAYABgBZ&#10;AQAAgQUAAAAA&#10;">
              <v:fill on="f" focussize="0,0"/>
              <v:stroke on="f"/>
              <v:imagedata o:title=""/>
              <o:lock v:ext="edit" aspectratio="f"/>
              <v:textbox inset="0mm,0mm,0mm,0mm" style="mso-fit-shape-to-text:t;">
                <w:txbxContent>
                  <w:p w14:paraId="01723294">
                    <w:pPr>
                      <w:pStyle w:val="11"/>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14:paraId="30CDF707">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CC29">
    <w:pPr>
      <w:ind w:left="64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47C2">
    <w:pPr>
      <w:pStyle w:val="12"/>
      <w:ind w:firstLine="0" w:firstLineChars="0"/>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6622">
    <w:pPr>
      <w:ind w:left="64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EE577">
    <w:pPr>
      <w:pStyle w:val="12"/>
      <w:pBdr>
        <w:bottom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D73C6"/>
    <w:multiLevelType w:val="multilevel"/>
    <w:tmpl w:val="099D73C6"/>
    <w:lvl w:ilvl="0" w:tentative="0">
      <w:start w:val="1"/>
      <w:numFmt w:val="chineseCountingThousand"/>
      <w:pStyle w:val="50"/>
      <w:suff w:val="nothing"/>
      <w:lvlText w:val="%1、"/>
      <w:lvlJc w:val="left"/>
      <w:pPr>
        <w:ind w:left="1060" w:hanging="419"/>
      </w:pPr>
      <w:rPr>
        <w:rFonts w:hint="eastAsia" w:ascii="仿宋_GB2312" w:hAnsi="仿宋_GB2312" w:eastAsia="黑体" w:cs="Times New Roman"/>
      </w:rPr>
    </w:lvl>
    <w:lvl w:ilvl="1" w:tentative="0">
      <w:start w:val="1"/>
      <w:numFmt w:val="chineseCountingThousand"/>
      <w:pStyle w:val="40"/>
      <w:suff w:val="nothing"/>
      <w:lvlText w:val="（%2）"/>
      <w:lvlJc w:val="left"/>
      <w:pPr>
        <w:ind w:left="1060" w:hanging="419"/>
      </w:pPr>
      <w:rPr>
        <w:rFonts w:hint="eastAsia" w:ascii="楷体_GB2312" w:eastAsia="楷体_GB2312"/>
        <w:b w:val="0"/>
        <w:bCs w:val="0"/>
        <w:lang w:val="en-US"/>
      </w:rPr>
    </w:lvl>
    <w:lvl w:ilvl="2" w:tentative="0">
      <w:start w:val="1"/>
      <w:numFmt w:val="decimal"/>
      <w:pStyle w:val="41"/>
      <w:suff w:val="space"/>
      <w:lvlText w:val="%3."/>
      <w:lvlJc w:val="left"/>
      <w:pPr>
        <w:ind w:left="1060" w:hanging="419"/>
      </w:pPr>
      <w:rPr>
        <w:rFonts w:hint="eastAsia" w:ascii="仿宋_GB2312" w:eastAsia="仿宋_GB2312"/>
      </w:rPr>
    </w:lvl>
    <w:lvl w:ilvl="3" w:tentative="0">
      <w:start w:val="1"/>
      <w:numFmt w:val="decimal"/>
      <w:lvlText w:val="%4."/>
      <w:lvlJc w:val="left"/>
      <w:pPr>
        <w:ind w:left="1060" w:hanging="419"/>
      </w:pPr>
      <w:rPr>
        <w:rFonts w:hint="eastAsia"/>
      </w:rPr>
    </w:lvl>
    <w:lvl w:ilvl="4" w:tentative="0">
      <w:start w:val="1"/>
      <w:numFmt w:val="lowerLetter"/>
      <w:lvlText w:val="%5)"/>
      <w:lvlJc w:val="left"/>
      <w:pPr>
        <w:ind w:left="1060" w:hanging="419"/>
      </w:pPr>
      <w:rPr>
        <w:rFonts w:hint="eastAsia"/>
      </w:rPr>
    </w:lvl>
    <w:lvl w:ilvl="5" w:tentative="0">
      <w:start w:val="1"/>
      <w:numFmt w:val="lowerRoman"/>
      <w:lvlText w:val="%6."/>
      <w:lvlJc w:val="right"/>
      <w:pPr>
        <w:ind w:left="1060" w:hanging="419"/>
      </w:pPr>
      <w:rPr>
        <w:rFonts w:hint="eastAsia"/>
      </w:rPr>
    </w:lvl>
    <w:lvl w:ilvl="6" w:tentative="0">
      <w:start w:val="1"/>
      <w:numFmt w:val="decimal"/>
      <w:lvlText w:val="%7."/>
      <w:lvlJc w:val="left"/>
      <w:pPr>
        <w:ind w:left="1060" w:hanging="419"/>
      </w:pPr>
      <w:rPr>
        <w:rFonts w:hint="eastAsia"/>
      </w:rPr>
    </w:lvl>
    <w:lvl w:ilvl="7" w:tentative="0">
      <w:start w:val="1"/>
      <w:numFmt w:val="lowerLetter"/>
      <w:lvlText w:val="%8)"/>
      <w:lvlJc w:val="left"/>
      <w:pPr>
        <w:ind w:left="1060" w:hanging="419"/>
      </w:pPr>
      <w:rPr>
        <w:rFonts w:hint="eastAsia"/>
      </w:rPr>
    </w:lvl>
    <w:lvl w:ilvl="8" w:tentative="0">
      <w:start w:val="1"/>
      <w:numFmt w:val="lowerRoman"/>
      <w:lvlText w:val="%9."/>
      <w:lvlJc w:val="right"/>
      <w:pPr>
        <w:ind w:left="1060" w:hanging="419"/>
      </w:pPr>
      <w:rPr>
        <w:rFonts w:hint="eastAsia"/>
      </w:rPr>
    </w:lvl>
  </w:abstractNum>
  <w:num w:numId="1">
    <w:abstractNumId w:val="0"/>
  </w:num>
  <w:num w:numId="2">
    <w:abstractNumId w:val="0"/>
    <w:lvlOverride w:ilvl="0">
      <w:lvl w:ilvl="0" w:tentative="1">
        <w:start w:val="1"/>
        <w:numFmt w:val="chineseCountingThousand"/>
        <w:suff w:val="nothing"/>
        <w:lvlText w:val="%1、"/>
        <w:lvlJc w:val="left"/>
        <w:pPr>
          <w:ind w:left="1060" w:hanging="419"/>
        </w:pPr>
        <w:rPr>
          <w:rFonts w:hint="eastAsia" w:ascii="仿宋_GB2312" w:hAnsi="仿宋_GB2312" w:eastAsia="黑体" w:cs="Times New Roman"/>
        </w:rPr>
      </w:lvl>
    </w:lvlOverride>
    <w:lvlOverride w:ilvl="1">
      <w:lvl w:ilvl="1" w:tentative="1">
        <w:start w:val="1"/>
        <w:numFmt w:val="chineseCountingThousand"/>
        <w:suff w:val="nothing"/>
        <w:lvlText w:val="（%2）"/>
        <w:lvlJc w:val="left"/>
        <w:pPr>
          <w:ind w:left="1060" w:hanging="419"/>
        </w:pPr>
        <w:rPr>
          <w:rFonts w:hint="eastAsia" w:ascii="楷体_GB2312" w:eastAsia="楷体_GB2312"/>
          <w:b w:val="0"/>
          <w:bCs w:val="0"/>
        </w:rPr>
      </w:lvl>
    </w:lvlOverride>
    <w:lvlOverride w:ilvl="2">
      <w:lvl w:ilvl="2" w:tentative="1">
        <w:start w:val="1"/>
        <w:numFmt w:val="decimal"/>
        <w:suff w:val="nothing"/>
        <w:lvlText w:val="%3."/>
        <w:lvlJc w:val="left"/>
        <w:pPr>
          <w:ind w:left="1060" w:hanging="419"/>
        </w:pPr>
        <w:rPr>
          <w:rFonts w:hint="eastAsia" w:ascii="仿宋_GB2312" w:eastAsia="仿宋_GB2312"/>
        </w:rPr>
      </w:lvl>
    </w:lvlOverride>
    <w:lvlOverride w:ilvl="3">
      <w:lvl w:ilvl="3" w:tentative="1">
        <w:start w:val="1"/>
        <w:numFmt w:val="decimal"/>
        <w:lvlText w:val="%4."/>
        <w:lvlJc w:val="left"/>
        <w:pPr>
          <w:ind w:left="1060" w:hanging="419"/>
        </w:pPr>
        <w:rPr>
          <w:rFonts w:hint="eastAsia"/>
        </w:rPr>
      </w:lvl>
    </w:lvlOverride>
    <w:lvlOverride w:ilvl="4">
      <w:lvl w:ilvl="4" w:tentative="1">
        <w:start w:val="1"/>
        <w:numFmt w:val="lowerLetter"/>
        <w:lvlText w:val="%5)"/>
        <w:lvlJc w:val="left"/>
        <w:pPr>
          <w:ind w:left="1060" w:hanging="419"/>
        </w:pPr>
        <w:rPr>
          <w:rFonts w:hint="eastAsia"/>
        </w:rPr>
      </w:lvl>
    </w:lvlOverride>
    <w:lvlOverride w:ilvl="5">
      <w:lvl w:ilvl="5" w:tentative="1">
        <w:start w:val="1"/>
        <w:numFmt w:val="lowerRoman"/>
        <w:lvlText w:val="%6."/>
        <w:lvlJc w:val="right"/>
        <w:pPr>
          <w:ind w:left="1060" w:hanging="419"/>
        </w:pPr>
        <w:rPr>
          <w:rFonts w:hint="eastAsia"/>
        </w:rPr>
      </w:lvl>
    </w:lvlOverride>
    <w:lvlOverride w:ilvl="6">
      <w:lvl w:ilvl="6" w:tentative="1">
        <w:start w:val="1"/>
        <w:numFmt w:val="decimal"/>
        <w:lvlText w:val="%7."/>
        <w:lvlJc w:val="left"/>
        <w:pPr>
          <w:ind w:left="1060" w:hanging="419"/>
        </w:pPr>
        <w:rPr>
          <w:rFonts w:hint="eastAsia"/>
        </w:rPr>
      </w:lvl>
    </w:lvlOverride>
    <w:lvlOverride w:ilvl="7">
      <w:lvl w:ilvl="7" w:tentative="1">
        <w:start w:val="1"/>
        <w:numFmt w:val="lowerLetter"/>
        <w:lvlText w:val="%8)"/>
        <w:lvlJc w:val="left"/>
        <w:pPr>
          <w:ind w:left="1060" w:hanging="419"/>
        </w:pPr>
        <w:rPr>
          <w:rFonts w:hint="eastAsia"/>
        </w:rPr>
      </w:lvl>
    </w:lvlOverride>
    <w:lvlOverride w:ilvl="8">
      <w:lvl w:ilvl="8" w:tentative="1">
        <w:start w:val="1"/>
        <w:numFmt w:val="lowerRoman"/>
        <w:lvlText w:val="%9."/>
        <w:lvlJc w:val="right"/>
        <w:pPr>
          <w:ind w:left="1060" w:hanging="41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zczZDU5OTk2OGQ4MDQwZjc4NTZjZWM5ZTY3MDgifQ=="/>
  </w:docVars>
  <w:rsids>
    <w:rsidRoot w:val="00A55378"/>
    <w:rsid w:val="0000503A"/>
    <w:rsid w:val="00010300"/>
    <w:rsid w:val="00020837"/>
    <w:rsid w:val="00065E92"/>
    <w:rsid w:val="0007361C"/>
    <w:rsid w:val="000755FF"/>
    <w:rsid w:val="00075B96"/>
    <w:rsid w:val="00075C8D"/>
    <w:rsid w:val="000846EF"/>
    <w:rsid w:val="00087ADD"/>
    <w:rsid w:val="00090DD3"/>
    <w:rsid w:val="00090FBD"/>
    <w:rsid w:val="00095AE8"/>
    <w:rsid w:val="000A55B3"/>
    <w:rsid w:val="000A689C"/>
    <w:rsid w:val="000B1715"/>
    <w:rsid w:val="000B18BC"/>
    <w:rsid w:val="000F04D6"/>
    <w:rsid w:val="000F4BC8"/>
    <w:rsid w:val="001006E0"/>
    <w:rsid w:val="00131EB8"/>
    <w:rsid w:val="00147A68"/>
    <w:rsid w:val="00163F7A"/>
    <w:rsid w:val="00174BA9"/>
    <w:rsid w:val="001815E6"/>
    <w:rsid w:val="0018275A"/>
    <w:rsid w:val="00186494"/>
    <w:rsid w:val="00190256"/>
    <w:rsid w:val="001938EC"/>
    <w:rsid w:val="001958ED"/>
    <w:rsid w:val="001A4189"/>
    <w:rsid w:val="001B43F8"/>
    <w:rsid w:val="001C2ED6"/>
    <w:rsid w:val="001D0781"/>
    <w:rsid w:val="001E10CD"/>
    <w:rsid w:val="001F54EF"/>
    <w:rsid w:val="00226538"/>
    <w:rsid w:val="00237677"/>
    <w:rsid w:val="00240A0A"/>
    <w:rsid w:val="00240AE3"/>
    <w:rsid w:val="00240B08"/>
    <w:rsid w:val="00243D2C"/>
    <w:rsid w:val="00252922"/>
    <w:rsid w:val="0025594E"/>
    <w:rsid w:val="00277D65"/>
    <w:rsid w:val="00281565"/>
    <w:rsid w:val="002867A6"/>
    <w:rsid w:val="00286B96"/>
    <w:rsid w:val="0029608C"/>
    <w:rsid w:val="002A37CA"/>
    <w:rsid w:val="002A5207"/>
    <w:rsid w:val="002B7973"/>
    <w:rsid w:val="002D0782"/>
    <w:rsid w:val="002D3325"/>
    <w:rsid w:val="002F664C"/>
    <w:rsid w:val="00303ECC"/>
    <w:rsid w:val="00305F0C"/>
    <w:rsid w:val="0031077A"/>
    <w:rsid w:val="00314BF4"/>
    <w:rsid w:val="003170FF"/>
    <w:rsid w:val="00342641"/>
    <w:rsid w:val="0035043A"/>
    <w:rsid w:val="0035465D"/>
    <w:rsid w:val="003709C2"/>
    <w:rsid w:val="00375684"/>
    <w:rsid w:val="00375CA7"/>
    <w:rsid w:val="00384D29"/>
    <w:rsid w:val="00387006"/>
    <w:rsid w:val="0039684B"/>
    <w:rsid w:val="003B1D9A"/>
    <w:rsid w:val="003C47D5"/>
    <w:rsid w:val="003E023D"/>
    <w:rsid w:val="004048C8"/>
    <w:rsid w:val="00410555"/>
    <w:rsid w:val="00410C86"/>
    <w:rsid w:val="00432637"/>
    <w:rsid w:val="0044694C"/>
    <w:rsid w:val="00463906"/>
    <w:rsid w:val="00482761"/>
    <w:rsid w:val="00490810"/>
    <w:rsid w:val="00490F68"/>
    <w:rsid w:val="004B0956"/>
    <w:rsid w:val="004B0FCD"/>
    <w:rsid w:val="004C28E8"/>
    <w:rsid w:val="004C3729"/>
    <w:rsid w:val="004C3800"/>
    <w:rsid w:val="004C65B2"/>
    <w:rsid w:val="004E6010"/>
    <w:rsid w:val="00501BD3"/>
    <w:rsid w:val="0050340A"/>
    <w:rsid w:val="00510544"/>
    <w:rsid w:val="0054025E"/>
    <w:rsid w:val="005406DC"/>
    <w:rsid w:val="005451DC"/>
    <w:rsid w:val="0055278D"/>
    <w:rsid w:val="00553E28"/>
    <w:rsid w:val="00561A59"/>
    <w:rsid w:val="0056791A"/>
    <w:rsid w:val="00570E9D"/>
    <w:rsid w:val="00586AD1"/>
    <w:rsid w:val="00595E0C"/>
    <w:rsid w:val="005B43DC"/>
    <w:rsid w:val="005B4E43"/>
    <w:rsid w:val="005B5298"/>
    <w:rsid w:val="005B6397"/>
    <w:rsid w:val="005B7054"/>
    <w:rsid w:val="005C166A"/>
    <w:rsid w:val="005C5089"/>
    <w:rsid w:val="005D000A"/>
    <w:rsid w:val="005D0932"/>
    <w:rsid w:val="005E01FB"/>
    <w:rsid w:val="005E25D1"/>
    <w:rsid w:val="006006D6"/>
    <w:rsid w:val="00610963"/>
    <w:rsid w:val="006136DA"/>
    <w:rsid w:val="00623386"/>
    <w:rsid w:val="00637ADF"/>
    <w:rsid w:val="00665434"/>
    <w:rsid w:val="00674C8A"/>
    <w:rsid w:val="00680118"/>
    <w:rsid w:val="0068327D"/>
    <w:rsid w:val="00687AD4"/>
    <w:rsid w:val="006A02B4"/>
    <w:rsid w:val="006C1A34"/>
    <w:rsid w:val="006C29F3"/>
    <w:rsid w:val="006C3B18"/>
    <w:rsid w:val="006C66CB"/>
    <w:rsid w:val="006D054E"/>
    <w:rsid w:val="006D59FF"/>
    <w:rsid w:val="006E333A"/>
    <w:rsid w:val="006E3951"/>
    <w:rsid w:val="00711AC6"/>
    <w:rsid w:val="007322C8"/>
    <w:rsid w:val="00745807"/>
    <w:rsid w:val="007557F1"/>
    <w:rsid w:val="00772798"/>
    <w:rsid w:val="0079384E"/>
    <w:rsid w:val="007A47EE"/>
    <w:rsid w:val="007A5569"/>
    <w:rsid w:val="007A659A"/>
    <w:rsid w:val="007B4181"/>
    <w:rsid w:val="007C42C7"/>
    <w:rsid w:val="007D48B2"/>
    <w:rsid w:val="007D6770"/>
    <w:rsid w:val="007E39CA"/>
    <w:rsid w:val="007F3118"/>
    <w:rsid w:val="00800844"/>
    <w:rsid w:val="00801AE4"/>
    <w:rsid w:val="00820B71"/>
    <w:rsid w:val="008241F7"/>
    <w:rsid w:val="00824AD0"/>
    <w:rsid w:val="00832A47"/>
    <w:rsid w:val="00832C31"/>
    <w:rsid w:val="008340B6"/>
    <w:rsid w:val="00842BCC"/>
    <w:rsid w:val="008444BA"/>
    <w:rsid w:val="00845020"/>
    <w:rsid w:val="00847A78"/>
    <w:rsid w:val="008520CF"/>
    <w:rsid w:val="00856B1A"/>
    <w:rsid w:val="00863DCA"/>
    <w:rsid w:val="00870FED"/>
    <w:rsid w:val="008805A6"/>
    <w:rsid w:val="008818B0"/>
    <w:rsid w:val="00886A9A"/>
    <w:rsid w:val="00887DAC"/>
    <w:rsid w:val="00891F9D"/>
    <w:rsid w:val="00892902"/>
    <w:rsid w:val="008A0B1B"/>
    <w:rsid w:val="008C3F60"/>
    <w:rsid w:val="008D0639"/>
    <w:rsid w:val="008E55CF"/>
    <w:rsid w:val="008F303B"/>
    <w:rsid w:val="008F4174"/>
    <w:rsid w:val="008F4677"/>
    <w:rsid w:val="0092557A"/>
    <w:rsid w:val="00927D37"/>
    <w:rsid w:val="0094043D"/>
    <w:rsid w:val="00951950"/>
    <w:rsid w:val="00952065"/>
    <w:rsid w:val="009557E5"/>
    <w:rsid w:val="00961A57"/>
    <w:rsid w:val="00962018"/>
    <w:rsid w:val="009644C0"/>
    <w:rsid w:val="0096725C"/>
    <w:rsid w:val="0099012E"/>
    <w:rsid w:val="009910F8"/>
    <w:rsid w:val="00992189"/>
    <w:rsid w:val="009A1AFF"/>
    <w:rsid w:val="009B74F4"/>
    <w:rsid w:val="009E6363"/>
    <w:rsid w:val="00A211D4"/>
    <w:rsid w:val="00A4057D"/>
    <w:rsid w:val="00A46DFD"/>
    <w:rsid w:val="00A50B6A"/>
    <w:rsid w:val="00A55378"/>
    <w:rsid w:val="00A64B55"/>
    <w:rsid w:val="00A77494"/>
    <w:rsid w:val="00A83C0A"/>
    <w:rsid w:val="00A85D99"/>
    <w:rsid w:val="00A93904"/>
    <w:rsid w:val="00AA15F5"/>
    <w:rsid w:val="00AA7D82"/>
    <w:rsid w:val="00AB5F6C"/>
    <w:rsid w:val="00AC688D"/>
    <w:rsid w:val="00AC73AA"/>
    <w:rsid w:val="00AE0A59"/>
    <w:rsid w:val="00AE37FC"/>
    <w:rsid w:val="00AF3A40"/>
    <w:rsid w:val="00AF5EB8"/>
    <w:rsid w:val="00B00B4E"/>
    <w:rsid w:val="00B04033"/>
    <w:rsid w:val="00B11211"/>
    <w:rsid w:val="00B2335A"/>
    <w:rsid w:val="00B251F8"/>
    <w:rsid w:val="00B25F8A"/>
    <w:rsid w:val="00B32FFB"/>
    <w:rsid w:val="00B34CEA"/>
    <w:rsid w:val="00B34F34"/>
    <w:rsid w:val="00B46591"/>
    <w:rsid w:val="00B552DC"/>
    <w:rsid w:val="00B64E0A"/>
    <w:rsid w:val="00B71A50"/>
    <w:rsid w:val="00B73A24"/>
    <w:rsid w:val="00B87DBD"/>
    <w:rsid w:val="00B90C37"/>
    <w:rsid w:val="00B96FD8"/>
    <w:rsid w:val="00BA42BE"/>
    <w:rsid w:val="00BA6DF4"/>
    <w:rsid w:val="00BB05E9"/>
    <w:rsid w:val="00BB3ACA"/>
    <w:rsid w:val="00BB62D6"/>
    <w:rsid w:val="00BC1B3E"/>
    <w:rsid w:val="00BC3C25"/>
    <w:rsid w:val="00C06E60"/>
    <w:rsid w:val="00C16A44"/>
    <w:rsid w:val="00C16D07"/>
    <w:rsid w:val="00C63F82"/>
    <w:rsid w:val="00C7601A"/>
    <w:rsid w:val="00C84420"/>
    <w:rsid w:val="00C859D6"/>
    <w:rsid w:val="00C87D08"/>
    <w:rsid w:val="00CB0FCF"/>
    <w:rsid w:val="00CB16B9"/>
    <w:rsid w:val="00CB335E"/>
    <w:rsid w:val="00CC3DDB"/>
    <w:rsid w:val="00CE32DF"/>
    <w:rsid w:val="00CF4B88"/>
    <w:rsid w:val="00CF7D08"/>
    <w:rsid w:val="00D04DC6"/>
    <w:rsid w:val="00D27F44"/>
    <w:rsid w:val="00D45DDF"/>
    <w:rsid w:val="00D64CD1"/>
    <w:rsid w:val="00D67B26"/>
    <w:rsid w:val="00D93603"/>
    <w:rsid w:val="00DC62EC"/>
    <w:rsid w:val="00DD2D68"/>
    <w:rsid w:val="00DF01E3"/>
    <w:rsid w:val="00DF478F"/>
    <w:rsid w:val="00E14A8D"/>
    <w:rsid w:val="00E3019C"/>
    <w:rsid w:val="00E345F0"/>
    <w:rsid w:val="00E43537"/>
    <w:rsid w:val="00E534A4"/>
    <w:rsid w:val="00E73C0B"/>
    <w:rsid w:val="00E73E54"/>
    <w:rsid w:val="00E75944"/>
    <w:rsid w:val="00E773EB"/>
    <w:rsid w:val="00E86361"/>
    <w:rsid w:val="00E87CA8"/>
    <w:rsid w:val="00E91F31"/>
    <w:rsid w:val="00EA1D1A"/>
    <w:rsid w:val="00EA1E3F"/>
    <w:rsid w:val="00EA5B68"/>
    <w:rsid w:val="00EA5E5B"/>
    <w:rsid w:val="00EA7B83"/>
    <w:rsid w:val="00EC556C"/>
    <w:rsid w:val="00EC580B"/>
    <w:rsid w:val="00ED54FC"/>
    <w:rsid w:val="00ED7912"/>
    <w:rsid w:val="00EE374A"/>
    <w:rsid w:val="00EF610F"/>
    <w:rsid w:val="00F00057"/>
    <w:rsid w:val="00F060BC"/>
    <w:rsid w:val="00F10616"/>
    <w:rsid w:val="00F26A0A"/>
    <w:rsid w:val="00F32877"/>
    <w:rsid w:val="00F3620E"/>
    <w:rsid w:val="00F40D5D"/>
    <w:rsid w:val="00F669D7"/>
    <w:rsid w:val="00F67D21"/>
    <w:rsid w:val="00F73AB7"/>
    <w:rsid w:val="00F80066"/>
    <w:rsid w:val="00F928E0"/>
    <w:rsid w:val="00FA680D"/>
    <w:rsid w:val="00FB48AB"/>
    <w:rsid w:val="00FF2E95"/>
    <w:rsid w:val="00FF36B3"/>
    <w:rsid w:val="10210A75"/>
    <w:rsid w:val="11F721F9"/>
    <w:rsid w:val="19331FC7"/>
    <w:rsid w:val="4AB30ADB"/>
    <w:rsid w:val="6E1F4AE2"/>
    <w:rsid w:val="7BE75D97"/>
    <w:rsid w:val="7C527D0A"/>
    <w:rsid w:val="BDEF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jc w:val="both"/>
    </w:pPr>
    <w:rPr>
      <w:rFonts w:ascii="等线" w:hAnsi="等线" w:eastAsia="仿宋_GB2312" w:cs="黑体"/>
      <w:kern w:val="2"/>
      <w:sz w:val="32"/>
      <w:szCs w:val="22"/>
      <w:lang w:val="en-US" w:eastAsia="zh-CN" w:bidi="ar-SA"/>
    </w:rPr>
  </w:style>
  <w:style w:type="paragraph" w:styleId="2">
    <w:name w:val="heading 1"/>
    <w:basedOn w:val="1"/>
    <w:next w:val="1"/>
    <w:link w:val="34"/>
    <w:qFormat/>
    <w:uiPriority w:val="9"/>
    <w:pPr>
      <w:keepNext/>
      <w:keepLines/>
      <w:adjustRightInd/>
      <w:snapToGrid/>
      <w:spacing w:before="340" w:after="330" w:line="578" w:lineRule="auto"/>
      <w:ind w:firstLine="0" w:firstLineChars="0"/>
      <w:outlineLvl w:val="0"/>
    </w:pPr>
    <w:rPr>
      <w:rFonts w:asciiTheme="minorHAnsi" w:hAnsiTheme="minorHAnsi" w:eastAsiaTheme="minorEastAsia" w:cstheme="minorBidi"/>
      <w:b/>
      <w:bCs/>
      <w:kern w:val="44"/>
      <w:sz w:val="44"/>
      <w:szCs w:val="44"/>
    </w:rPr>
  </w:style>
  <w:style w:type="paragraph" w:styleId="3">
    <w:name w:val="heading 2"/>
    <w:basedOn w:val="1"/>
    <w:next w:val="1"/>
    <w:link w:val="31"/>
    <w:unhideWhenUsed/>
    <w:qFormat/>
    <w:uiPriority w:val="9"/>
    <w:pPr>
      <w:keepNext/>
      <w:keepLines/>
      <w:adjustRightInd/>
      <w:snapToGrid/>
      <w:spacing w:before="260" w:after="260" w:line="416" w:lineRule="auto"/>
      <w:outlineLvl w:val="1"/>
    </w:pPr>
    <w:rPr>
      <w:rFonts w:ascii="Times New Roman" w:hAnsi="Times New Roman" w:cstheme="majorBidi"/>
      <w:b/>
      <w:bCs/>
      <w:szCs w:val="32"/>
    </w:rPr>
  </w:style>
  <w:style w:type="paragraph" w:styleId="4">
    <w:name w:val="heading 3"/>
    <w:basedOn w:val="1"/>
    <w:next w:val="1"/>
    <w:link w:val="45"/>
    <w:semiHidden/>
    <w:unhideWhenUsed/>
    <w:qFormat/>
    <w:uiPriority w:val="9"/>
    <w:pPr>
      <w:keepNext/>
      <w:keepLines/>
      <w:spacing w:before="260" w:after="260" w:line="416" w:lineRule="atLeast"/>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adjustRightInd/>
      <w:snapToGrid/>
      <w:spacing w:line="240" w:lineRule="auto"/>
      <w:ind w:firstLine="0" w:firstLineChars="0"/>
      <w:jc w:val="left"/>
    </w:pPr>
    <w:rPr>
      <w:rFonts w:eastAsia="等线"/>
      <w:sz w:val="21"/>
    </w:rPr>
  </w:style>
  <w:style w:type="paragraph" w:styleId="6">
    <w:name w:val="Body Text"/>
    <w:basedOn w:val="1"/>
    <w:link w:val="30"/>
    <w:unhideWhenUsed/>
    <w:qFormat/>
    <w:uiPriority w:val="99"/>
    <w:pPr>
      <w:spacing w:after="120"/>
    </w:pPr>
  </w:style>
  <w:style w:type="paragraph" w:styleId="7">
    <w:name w:val="Body Text Indent"/>
    <w:basedOn w:val="1"/>
    <w:link w:val="27"/>
    <w:semiHidden/>
    <w:unhideWhenUsed/>
    <w:qFormat/>
    <w:uiPriority w:val="99"/>
    <w:pPr>
      <w:spacing w:after="120"/>
      <w:ind w:left="420" w:leftChars="200"/>
    </w:pPr>
  </w:style>
  <w:style w:type="paragraph" w:styleId="8">
    <w:name w:val="toc 3"/>
    <w:basedOn w:val="1"/>
    <w:next w:val="1"/>
    <w:unhideWhenUsed/>
    <w:qFormat/>
    <w:uiPriority w:val="39"/>
    <w:pPr>
      <w:widowControl/>
      <w:adjustRightInd/>
      <w:snapToGrid/>
      <w:spacing w:after="100" w:line="259" w:lineRule="auto"/>
      <w:ind w:left="440" w:firstLine="0" w:firstLineChars="0"/>
      <w:jc w:val="left"/>
    </w:pPr>
    <w:rPr>
      <w:rFonts w:cs="Times New Roman" w:asciiTheme="minorHAnsi" w:hAnsiTheme="minorHAnsi" w:eastAsiaTheme="minorEastAsia"/>
      <w:kern w:val="0"/>
      <w:sz w:val="22"/>
    </w:rPr>
  </w:style>
  <w:style w:type="paragraph" w:styleId="9">
    <w:name w:val="Date"/>
    <w:basedOn w:val="1"/>
    <w:next w:val="1"/>
    <w:link w:val="59"/>
    <w:semiHidden/>
    <w:unhideWhenUsed/>
    <w:qFormat/>
    <w:uiPriority w:val="99"/>
    <w:pPr>
      <w:ind w:left="100" w:leftChars="2500"/>
    </w:p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39"/>
    <w:unhideWhenUsed/>
    <w:qFormat/>
    <w:uiPriority w:val="99"/>
    <w:pPr>
      <w:tabs>
        <w:tab w:val="center" w:pos="4153"/>
        <w:tab w:val="right" w:pos="8306"/>
      </w:tabs>
      <w:spacing w:line="240" w:lineRule="atLeast"/>
      <w:jc w:val="left"/>
    </w:pPr>
    <w:rPr>
      <w:sz w:val="18"/>
      <w:szCs w:val="18"/>
    </w:rPr>
  </w:style>
  <w:style w:type="paragraph" w:styleId="12">
    <w:name w:val="header"/>
    <w:basedOn w:val="1"/>
    <w:link w:val="38"/>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toc 1"/>
    <w:basedOn w:val="1"/>
    <w:next w:val="1"/>
    <w:unhideWhenUsed/>
    <w:qFormat/>
    <w:uiPriority w:val="39"/>
    <w:pPr>
      <w:tabs>
        <w:tab w:val="left" w:pos="840"/>
        <w:tab w:val="right" w:leader="dot" w:pos="8836"/>
      </w:tabs>
      <w:adjustRightInd/>
      <w:snapToGrid/>
      <w:spacing w:line="360" w:lineRule="auto"/>
      <w:ind w:firstLine="0" w:firstLineChars="0"/>
      <w:jc w:val="center"/>
    </w:pPr>
    <w:rPr>
      <w:rFonts w:ascii="黑体" w:hAnsi="黑体" w:eastAsia="黑体" w:cs="Times New Roman"/>
      <w:kern w:val="0"/>
      <w:szCs w:val="32"/>
    </w:rPr>
  </w:style>
  <w:style w:type="paragraph" w:styleId="14">
    <w:name w:val="footnote text"/>
    <w:basedOn w:val="1"/>
    <w:link w:val="46"/>
    <w:unhideWhenUsed/>
    <w:qFormat/>
    <w:uiPriority w:val="0"/>
    <w:pPr>
      <w:adjustRightInd/>
      <w:spacing w:line="240" w:lineRule="auto"/>
      <w:ind w:firstLine="0" w:firstLineChars="0"/>
      <w:jc w:val="left"/>
    </w:pPr>
    <w:rPr>
      <w:rFonts w:asciiTheme="minorHAnsi" w:hAnsiTheme="minorHAnsi" w:eastAsiaTheme="minorEastAsia" w:cstheme="minorBidi"/>
      <w:sz w:val="18"/>
      <w:szCs w:val="18"/>
    </w:rPr>
  </w:style>
  <w:style w:type="paragraph" w:styleId="15">
    <w:name w:val="toc 2"/>
    <w:basedOn w:val="1"/>
    <w:next w:val="1"/>
    <w:unhideWhenUsed/>
    <w:qFormat/>
    <w:uiPriority w:val="39"/>
    <w:pPr>
      <w:tabs>
        <w:tab w:val="right" w:leader="dot" w:pos="8836"/>
      </w:tabs>
      <w:adjustRightInd/>
      <w:snapToGrid/>
      <w:ind w:left="640" w:leftChars="200" w:firstLine="0" w:firstLineChars="0"/>
    </w:pPr>
    <w:rPr>
      <w:rFonts w:ascii="楷体_GB2312" w:eastAsia="楷体_GB2312" w:cs="Times New Roman" w:hAnsiTheme="minorHAnsi"/>
      <w:kern w:val="0"/>
      <w:szCs w:val="32"/>
    </w:rPr>
  </w:style>
  <w:style w:type="paragraph" w:styleId="16">
    <w:name w:val="HTML Preformatted"/>
    <w:basedOn w:val="1"/>
    <w:link w:val="3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jc w:val="left"/>
    </w:pPr>
    <w:rPr>
      <w:rFonts w:hint="eastAsia" w:ascii="宋体" w:hAnsi="宋体" w:eastAsia="宋体" w:cs="Times New Roman"/>
      <w:kern w:val="0"/>
      <w:sz w:val="24"/>
      <w:szCs w:val="24"/>
    </w:rPr>
  </w:style>
  <w:style w:type="paragraph" w:styleId="17">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8">
    <w:name w:val="annotation subject"/>
    <w:basedOn w:val="5"/>
    <w:next w:val="5"/>
    <w:link w:val="33"/>
    <w:semiHidden/>
    <w:unhideWhenUsed/>
    <w:qFormat/>
    <w:uiPriority w:val="99"/>
    <w:pPr>
      <w:adjustRightInd w:val="0"/>
      <w:snapToGrid w:val="0"/>
      <w:spacing w:line="600" w:lineRule="exact"/>
      <w:ind w:firstLine="200" w:firstLineChars="200"/>
    </w:pPr>
    <w:rPr>
      <w:rFonts w:eastAsia="仿宋_GB2312"/>
      <w:b/>
      <w:bCs/>
      <w:sz w:val="32"/>
    </w:rPr>
  </w:style>
  <w:style w:type="paragraph" w:styleId="19">
    <w:name w:val="Body Text First Indent 2"/>
    <w:basedOn w:val="7"/>
    <w:link w:val="28"/>
    <w:unhideWhenUsed/>
    <w:qFormat/>
    <w:uiPriority w:val="0"/>
    <w:pPr>
      <w:ind w:firstLine="420"/>
    </w:pPr>
    <w:rPr>
      <w:rFonts w:ascii="Times New Roman" w:hAnsi="Times New Roman" w:eastAsia="宋体" w:cs="Times New Roman"/>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unhideWhenUsed/>
    <w:qFormat/>
    <w:uiPriority w:val="99"/>
    <w:rPr>
      <w:color w:val="0563C1" w:themeColor="hyperlink"/>
      <w:u w:val="single"/>
    </w:rPr>
  </w:style>
  <w:style w:type="character" w:styleId="25">
    <w:name w:val="annotation reference"/>
    <w:basedOn w:val="22"/>
    <w:semiHidden/>
    <w:unhideWhenUsed/>
    <w:qFormat/>
    <w:uiPriority w:val="99"/>
    <w:rPr>
      <w:sz w:val="21"/>
      <w:szCs w:val="21"/>
    </w:rPr>
  </w:style>
  <w:style w:type="character" w:styleId="26">
    <w:name w:val="footnote reference"/>
    <w:basedOn w:val="22"/>
    <w:unhideWhenUsed/>
    <w:qFormat/>
    <w:uiPriority w:val="0"/>
    <w:rPr>
      <w:vertAlign w:val="superscript"/>
    </w:rPr>
  </w:style>
  <w:style w:type="character" w:customStyle="1" w:styleId="27">
    <w:name w:val="正文文本缩进 Char"/>
    <w:basedOn w:val="22"/>
    <w:link w:val="7"/>
    <w:semiHidden/>
    <w:qFormat/>
    <w:uiPriority w:val="99"/>
    <w:rPr>
      <w:rFonts w:ascii="等线" w:hAnsi="等线" w:eastAsia="等线" w:cs="黑体"/>
    </w:rPr>
  </w:style>
  <w:style w:type="character" w:customStyle="1" w:styleId="28">
    <w:name w:val="正文首行缩进 2 Char"/>
    <w:basedOn w:val="27"/>
    <w:link w:val="19"/>
    <w:qFormat/>
    <w:uiPriority w:val="0"/>
    <w:rPr>
      <w:rFonts w:ascii="Times New Roman" w:hAnsi="Times New Roman" w:eastAsia="宋体" w:cs="Times New Roman"/>
    </w:rPr>
  </w:style>
  <w:style w:type="character" w:customStyle="1" w:styleId="29">
    <w:name w:val="批注文字 Char"/>
    <w:basedOn w:val="22"/>
    <w:link w:val="5"/>
    <w:qFormat/>
    <w:uiPriority w:val="99"/>
    <w:rPr>
      <w:rFonts w:ascii="等线" w:hAnsi="等线" w:eastAsia="等线" w:cs="黑体"/>
    </w:rPr>
  </w:style>
  <w:style w:type="character" w:customStyle="1" w:styleId="30">
    <w:name w:val="正文文本 Char"/>
    <w:basedOn w:val="22"/>
    <w:link w:val="6"/>
    <w:qFormat/>
    <w:uiPriority w:val="99"/>
    <w:rPr>
      <w:rFonts w:ascii="等线" w:hAnsi="等线" w:eastAsia="仿宋_GB2312" w:cs="黑体"/>
      <w:sz w:val="32"/>
    </w:rPr>
  </w:style>
  <w:style w:type="character" w:customStyle="1" w:styleId="31">
    <w:name w:val="标题 2 Char"/>
    <w:basedOn w:val="22"/>
    <w:link w:val="3"/>
    <w:qFormat/>
    <w:uiPriority w:val="9"/>
    <w:rPr>
      <w:rFonts w:ascii="Times New Roman" w:hAnsi="Times New Roman" w:eastAsia="仿宋_GB2312" w:cstheme="majorBidi"/>
      <w:b/>
      <w:bCs/>
      <w:sz w:val="32"/>
      <w:szCs w:val="32"/>
    </w:rPr>
  </w:style>
  <w:style w:type="character" w:customStyle="1" w:styleId="32">
    <w:name w:val="批注框文本 Char"/>
    <w:basedOn w:val="22"/>
    <w:link w:val="10"/>
    <w:semiHidden/>
    <w:qFormat/>
    <w:uiPriority w:val="99"/>
    <w:rPr>
      <w:rFonts w:ascii="等线" w:hAnsi="等线" w:eastAsia="仿宋_GB2312" w:cs="黑体"/>
      <w:sz w:val="18"/>
      <w:szCs w:val="18"/>
    </w:rPr>
  </w:style>
  <w:style w:type="character" w:customStyle="1" w:styleId="33">
    <w:name w:val="批注主题 Char"/>
    <w:basedOn w:val="29"/>
    <w:link w:val="18"/>
    <w:semiHidden/>
    <w:qFormat/>
    <w:uiPriority w:val="99"/>
    <w:rPr>
      <w:rFonts w:ascii="等线" w:hAnsi="等线" w:eastAsia="仿宋_GB2312" w:cs="黑体"/>
      <w:b/>
      <w:bCs/>
      <w:sz w:val="32"/>
    </w:rPr>
  </w:style>
  <w:style w:type="character" w:customStyle="1" w:styleId="34">
    <w:name w:val="标题 1 Char"/>
    <w:basedOn w:val="22"/>
    <w:link w:val="2"/>
    <w:qFormat/>
    <w:uiPriority w:val="9"/>
    <w:rPr>
      <w:b/>
      <w:bCs/>
      <w:kern w:val="44"/>
      <w:sz w:val="44"/>
      <w:szCs w:val="44"/>
    </w:rPr>
  </w:style>
  <w:style w:type="character" w:customStyle="1" w:styleId="35">
    <w:name w:val="bjh-p"/>
    <w:basedOn w:val="22"/>
    <w:qFormat/>
    <w:uiPriority w:val="0"/>
  </w:style>
  <w:style w:type="character" w:customStyle="1" w:styleId="36">
    <w:name w:val="bjh-strong"/>
    <w:basedOn w:val="22"/>
    <w:qFormat/>
    <w:uiPriority w:val="0"/>
  </w:style>
  <w:style w:type="character" w:customStyle="1" w:styleId="37">
    <w:name w:val="HTML 预设格式 Char"/>
    <w:basedOn w:val="22"/>
    <w:link w:val="16"/>
    <w:qFormat/>
    <w:uiPriority w:val="0"/>
    <w:rPr>
      <w:rFonts w:ascii="宋体" w:hAnsi="宋体" w:eastAsia="宋体" w:cs="Times New Roman"/>
      <w:kern w:val="0"/>
      <w:sz w:val="24"/>
      <w:szCs w:val="24"/>
    </w:rPr>
  </w:style>
  <w:style w:type="character" w:customStyle="1" w:styleId="38">
    <w:name w:val="页眉 Char"/>
    <w:basedOn w:val="22"/>
    <w:link w:val="12"/>
    <w:qFormat/>
    <w:uiPriority w:val="99"/>
    <w:rPr>
      <w:rFonts w:ascii="等线" w:hAnsi="等线" w:eastAsia="仿宋_GB2312" w:cs="黑体"/>
      <w:sz w:val="18"/>
      <w:szCs w:val="18"/>
    </w:rPr>
  </w:style>
  <w:style w:type="character" w:customStyle="1" w:styleId="39">
    <w:name w:val="页脚 Char"/>
    <w:basedOn w:val="22"/>
    <w:link w:val="11"/>
    <w:qFormat/>
    <w:uiPriority w:val="99"/>
    <w:rPr>
      <w:rFonts w:ascii="等线" w:hAnsi="等线" w:eastAsia="仿宋_GB2312" w:cs="黑体"/>
      <w:sz w:val="18"/>
      <w:szCs w:val="18"/>
    </w:rPr>
  </w:style>
  <w:style w:type="paragraph" w:customStyle="1" w:styleId="40">
    <w:name w:val="二级标题"/>
    <w:basedOn w:val="3"/>
    <w:link w:val="42"/>
    <w:qFormat/>
    <w:uiPriority w:val="0"/>
    <w:pPr>
      <w:numPr>
        <w:ilvl w:val="1"/>
        <w:numId w:val="1"/>
      </w:numPr>
      <w:adjustRightInd w:val="0"/>
      <w:snapToGrid w:val="0"/>
      <w:spacing w:before="0" w:after="0" w:line="360" w:lineRule="auto"/>
      <w:ind w:left="663" w:firstLine="0" w:firstLineChars="0"/>
    </w:pPr>
    <w:rPr>
      <w:rFonts w:eastAsia="楷体_GB2312" w:cs="Times New Roman"/>
      <w:b w:val="0"/>
    </w:rPr>
  </w:style>
  <w:style w:type="paragraph" w:customStyle="1" w:styleId="41">
    <w:name w:val="三级标题"/>
    <w:basedOn w:val="4"/>
    <w:link w:val="44"/>
    <w:qFormat/>
    <w:uiPriority w:val="0"/>
    <w:pPr>
      <w:numPr>
        <w:ilvl w:val="2"/>
        <w:numId w:val="1"/>
      </w:numPr>
      <w:spacing w:before="0" w:after="0" w:line="360" w:lineRule="auto"/>
      <w:ind w:firstLine="0" w:firstLineChars="0"/>
    </w:pPr>
    <w:rPr>
      <w:rFonts w:ascii="Times New Roman" w:hAnsi="Times New Roman" w:cs="Times New Roman"/>
    </w:rPr>
  </w:style>
  <w:style w:type="character" w:customStyle="1" w:styleId="42">
    <w:name w:val="二级标题 字符"/>
    <w:basedOn w:val="31"/>
    <w:link w:val="40"/>
    <w:qFormat/>
    <w:uiPriority w:val="0"/>
    <w:rPr>
      <w:rFonts w:ascii="Times New Roman" w:hAnsi="Times New Roman" w:eastAsia="楷体_GB2312" w:cstheme="majorBidi"/>
      <w:b w:val="0"/>
      <w:kern w:val="2"/>
      <w:sz w:val="32"/>
      <w:szCs w:val="32"/>
    </w:rPr>
  </w:style>
  <w:style w:type="paragraph" w:customStyle="1" w:styleId="43">
    <w:name w:val="规划正文"/>
    <w:basedOn w:val="1"/>
    <w:link w:val="47"/>
    <w:qFormat/>
    <w:uiPriority w:val="0"/>
    <w:pPr>
      <w:spacing w:line="360" w:lineRule="auto"/>
      <w:ind w:firstLine="640"/>
    </w:pPr>
    <w:rPr>
      <w:rFonts w:ascii="仿宋_GB2312" w:hAnsi="仿宋_GB2312" w:cs="仿宋_GB2312"/>
      <w:szCs w:val="32"/>
    </w:rPr>
  </w:style>
  <w:style w:type="character" w:customStyle="1" w:styleId="44">
    <w:name w:val="三级标题 字符"/>
    <w:basedOn w:val="45"/>
    <w:link w:val="41"/>
    <w:qFormat/>
    <w:uiPriority w:val="0"/>
    <w:rPr>
      <w:rFonts w:ascii="Times New Roman" w:hAnsi="Times New Roman" w:eastAsia="仿宋_GB2312" w:cs="黑体"/>
      <w:kern w:val="2"/>
      <w:sz w:val="32"/>
      <w:szCs w:val="32"/>
    </w:rPr>
  </w:style>
  <w:style w:type="character" w:customStyle="1" w:styleId="45">
    <w:name w:val="标题 3 Char"/>
    <w:basedOn w:val="22"/>
    <w:link w:val="4"/>
    <w:semiHidden/>
    <w:qFormat/>
    <w:uiPriority w:val="9"/>
    <w:rPr>
      <w:rFonts w:ascii="等线" w:hAnsi="等线" w:eastAsia="仿宋_GB2312" w:cs="黑体"/>
      <w:b/>
      <w:bCs/>
      <w:sz w:val="32"/>
      <w:szCs w:val="32"/>
    </w:rPr>
  </w:style>
  <w:style w:type="character" w:customStyle="1" w:styleId="46">
    <w:name w:val="脚注文本 Char"/>
    <w:basedOn w:val="22"/>
    <w:link w:val="14"/>
    <w:qFormat/>
    <w:uiPriority w:val="0"/>
    <w:rPr>
      <w:sz w:val="18"/>
      <w:szCs w:val="18"/>
    </w:rPr>
  </w:style>
  <w:style w:type="character" w:customStyle="1" w:styleId="47">
    <w:name w:val="规划正文 字符"/>
    <w:basedOn w:val="22"/>
    <w:link w:val="43"/>
    <w:qFormat/>
    <w:uiPriority w:val="0"/>
    <w:rPr>
      <w:rFonts w:ascii="仿宋_GB2312" w:hAnsi="仿宋_GB2312" w:eastAsia="仿宋_GB2312" w:cs="仿宋_GB2312"/>
      <w:kern w:val="2"/>
      <w:sz w:val="32"/>
      <w:szCs w:val="32"/>
    </w:rPr>
  </w:style>
  <w:style w:type="paragraph" w:customStyle="1" w:styleId="48">
    <w:name w:val="引文"/>
    <w:basedOn w:val="14"/>
    <w:link w:val="49"/>
    <w:qFormat/>
    <w:uiPriority w:val="0"/>
    <w:rPr>
      <w:sz w:val="24"/>
      <w:szCs w:val="24"/>
    </w:rPr>
  </w:style>
  <w:style w:type="character" w:customStyle="1" w:styleId="49">
    <w:name w:val="引文 字符"/>
    <w:basedOn w:val="46"/>
    <w:link w:val="48"/>
    <w:qFormat/>
    <w:uiPriority w:val="0"/>
    <w:rPr>
      <w:sz w:val="24"/>
      <w:szCs w:val="24"/>
    </w:rPr>
  </w:style>
  <w:style w:type="paragraph" w:customStyle="1" w:styleId="50">
    <w:name w:val="一级标题"/>
    <w:basedOn w:val="2"/>
    <w:link w:val="51"/>
    <w:qFormat/>
    <w:uiPriority w:val="0"/>
    <w:pPr>
      <w:keepLines w:val="0"/>
      <w:numPr>
        <w:ilvl w:val="0"/>
        <w:numId w:val="1"/>
      </w:numPr>
      <w:adjustRightInd w:val="0"/>
      <w:snapToGrid w:val="0"/>
      <w:spacing w:before="0" w:after="0" w:line="360" w:lineRule="auto"/>
      <w:ind w:left="0" w:firstLine="640" w:firstLineChars="200"/>
    </w:pPr>
    <w:rPr>
      <w:rFonts w:ascii="仿宋_GB2312" w:hAnsi="仿宋_GB2312" w:eastAsia="黑体" w:cs="Times New Roman"/>
      <w:b w:val="0"/>
      <w:kern w:val="0"/>
      <w:sz w:val="32"/>
      <w:szCs w:val="32"/>
    </w:rPr>
  </w:style>
  <w:style w:type="character" w:customStyle="1" w:styleId="51">
    <w:name w:val="一级标题 字符"/>
    <w:basedOn w:val="34"/>
    <w:link w:val="50"/>
    <w:qFormat/>
    <w:uiPriority w:val="0"/>
    <w:rPr>
      <w:rFonts w:ascii="仿宋_GB2312" w:hAnsi="仿宋_GB2312" w:eastAsia="黑体"/>
      <w:b w:val="0"/>
      <w:kern w:val="44"/>
      <w:sz w:val="32"/>
      <w:szCs w:val="32"/>
    </w:rPr>
  </w:style>
  <w:style w:type="paragraph" w:styleId="52">
    <w:name w:val="List Paragraph"/>
    <w:basedOn w:val="1"/>
    <w:qFormat/>
    <w:uiPriority w:val="34"/>
    <w:pPr>
      <w:adjustRightInd/>
      <w:snapToGrid/>
      <w:ind w:firstLine="420"/>
    </w:pPr>
    <w:rPr>
      <w:rFonts w:asciiTheme="minorHAnsi" w:hAnsiTheme="minorHAnsi" w:eastAsiaTheme="minorEastAsia" w:cstheme="minorBidi"/>
      <w:sz w:val="28"/>
    </w:rPr>
  </w:style>
  <w:style w:type="paragraph" w:customStyle="1" w:styleId="53">
    <w:name w:val="S-正文"/>
    <w:basedOn w:val="1"/>
    <w:qFormat/>
    <w:uiPriority w:val="0"/>
    <w:pPr>
      <w:adjustRightInd/>
      <w:snapToGrid/>
      <w:spacing w:line="360" w:lineRule="auto"/>
    </w:pPr>
    <w:rPr>
      <w:rFonts w:ascii="Times New Roman" w:hAnsi="Times New Roman" w:eastAsia="宋体" w:cs="Times New Roman"/>
      <w:sz w:val="24"/>
    </w:rPr>
  </w:style>
  <w:style w:type="paragraph" w:customStyle="1" w:styleId="54">
    <w:name w:val="表格内容"/>
    <w:basedOn w:val="1"/>
    <w:link w:val="55"/>
    <w:qFormat/>
    <w:uiPriority w:val="99"/>
    <w:pPr>
      <w:widowControl/>
      <w:adjustRightInd/>
      <w:snapToGrid/>
      <w:spacing w:line="240" w:lineRule="auto"/>
      <w:ind w:firstLine="0" w:firstLineChars="0"/>
      <w:jc w:val="center"/>
    </w:pPr>
    <w:rPr>
      <w:rFonts w:ascii="Times New Roman" w:hAnsi="Times New Roman" w:eastAsia="仿宋" w:cs="宋体"/>
      <w:color w:val="000000"/>
      <w:kern w:val="0"/>
      <w:sz w:val="24"/>
    </w:rPr>
  </w:style>
  <w:style w:type="character" w:customStyle="1" w:styleId="55">
    <w:name w:val="表格内容 字符"/>
    <w:link w:val="54"/>
    <w:qFormat/>
    <w:uiPriority w:val="0"/>
    <w:rPr>
      <w:rFonts w:ascii="Times New Roman" w:hAnsi="Times New Roman" w:eastAsia="仿宋" w:cs="宋体"/>
      <w:color w:val="000000"/>
      <w:kern w:val="0"/>
      <w:sz w:val="24"/>
    </w:rPr>
  </w:style>
  <w:style w:type="paragraph" w:customStyle="1" w:styleId="56">
    <w:name w:val="Body text|1"/>
    <w:basedOn w:val="1"/>
    <w:qFormat/>
    <w:uiPriority w:val="0"/>
    <w:pPr>
      <w:adjustRightInd/>
      <w:snapToGrid/>
      <w:spacing w:after="240" w:line="240" w:lineRule="auto"/>
      <w:ind w:firstLine="300" w:firstLineChars="0"/>
    </w:pPr>
    <w:rPr>
      <w:rFonts w:ascii="宋体" w:hAnsi="宋体" w:eastAsia="宋体" w:cstheme="minorBidi"/>
      <w:sz w:val="21"/>
      <w:lang w:val="zh-TW" w:eastAsia="zh-TW" w:bidi="zh-TW"/>
    </w:rPr>
  </w:style>
  <w:style w:type="paragraph" w:customStyle="1" w:styleId="57">
    <w:name w:val="表头"/>
    <w:basedOn w:val="1"/>
    <w:link w:val="58"/>
    <w:qFormat/>
    <w:uiPriority w:val="0"/>
    <w:pPr>
      <w:adjustRightInd/>
      <w:snapToGrid/>
      <w:spacing w:line="240" w:lineRule="auto"/>
      <w:ind w:firstLine="0" w:firstLineChars="0"/>
      <w:jc w:val="center"/>
    </w:pPr>
    <w:rPr>
      <w:rFonts w:ascii="黑体" w:hAnsi="黑体" w:eastAsia="黑体" w:cstheme="minorBidi"/>
      <w:bCs/>
      <w:sz w:val="24"/>
      <w:szCs w:val="24"/>
    </w:rPr>
  </w:style>
  <w:style w:type="character" w:customStyle="1" w:styleId="58">
    <w:name w:val="表头 字符"/>
    <w:basedOn w:val="22"/>
    <w:link w:val="57"/>
    <w:qFormat/>
    <w:uiPriority w:val="0"/>
    <w:rPr>
      <w:rFonts w:ascii="黑体" w:hAnsi="黑体" w:eastAsia="黑体"/>
      <w:bCs/>
      <w:sz w:val="24"/>
      <w:szCs w:val="24"/>
    </w:rPr>
  </w:style>
  <w:style w:type="character" w:customStyle="1" w:styleId="59">
    <w:name w:val="日期 Char"/>
    <w:basedOn w:val="22"/>
    <w:link w:val="9"/>
    <w:semiHidden/>
    <w:qFormat/>
    <w:uiPriority w:val="99"/>
    <w:rPr>
      <w:rFonts w:ascii="等线" w:hAnsi="等线" w:eastAsia="仿宋_GB2312" w:cs="黑体"/>
      <w:sz w:val="32"/>
    </w:rPr>
  </w:style>
  <w:style w:type="paragraph" w:customStyle="1" w:styleId="60">
    <w:name w:val="修订1"/>
    <w:hidden/>
    <w:semiHidden/>
    <w:qFormat/>
    <w:uiPriority w:val="99"/>
    <w:rPr>
      <w:rFonts w:ascii="等线" w:hAnsi="等线" w:eastAsia="仿宋_GB2312" w:cs="黑体"/>
      <w:kern w:val="2"/>
      <w:sz w:val="32"/>
      <w:szCs w:val="22"/>
      <w:lang w:val="en-US" w:eastAsia="zh-CN" w:bidi="ar-SA"/>
    </w:rPr>
  </w:style>
  <w:style w:type="paragraph" w:customStyle="1" w:styleId="6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62">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table" w:customStyle="1" w:styleId="63">
    <w:name w:val="Table Normal"/>
    <w:semiHidden/>
    <w:unhideWhenUsed/>
    <w:qFormat/>
    <w:uiPriority w:val="0"/>
    <w:rPr>
      <w:rFonts w:ascii="Times New Roman" w:hAnsi="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68302-9E84-465C-AB98-E3D19D50DB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8200</Words>
  <Characters>8315</Characters>
  <Lines>69</Lines>
  <Paragraphs>19</Paragraphs>
  <TotalTime>40</TotalTime>
  <ScaleCrop>false</ScaleCrop>
  <LinksUpToDate>false</LinksUpToDate>
  <CharactersWithSpaces>8413</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2023-04-20T10:55:00Z</dcterms:created>
  <dc:creator>Lenovo</dc:creator>
  <cp:lastModifiedBy>一眼万年</cp:lastModifiedBy>
  <cp:lastPrinted>2023-04-25T16:37:00Z</cp:lastPrinted>
  <dcterms:modified xsi:type="dcterms:W3CDTF">2025-07-23T15:47:33Z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69F19FBC9EBC277F95938068F625C68A_43</vt:lpwstr>
  </property>
</Properties>
</file>