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09919">
      <w:pPr>
        <w:pStyle w:val="2"/>
        <w:spacing w:line="440" w:lineRule="exact"/>
        <w:jc w:val="center"/>
        <w:rPr>
          <w:rFonts w:hAnsi="宋体"/>
          <w:b/>
          <w:sz w:val="36"/>
          <w:szCs w:val="32"/>
        </w:rPr>
      </w:pPr>
      <w:bookmarkStart w:id="0" w:name="QYDJ_JBXX_LC_ENTNAME"/>
      <w:bookmarkEnd w:id="0"/>
      <w:r>
        <w:rPr>
          <w:rFonts w:hint="eastAsia" w:hAnsi="宋体"/>
          <w:b/>
          <w:sz w:val="36"/>
          <w:szCs w:val="32"/>
        </w:rPr>
        <w:t>济南****公司章程</w:t>
      </w:r>
    </w:p>
    <w:p w14:paraId="7B25BD7A">
      <w:pPr>
        <w:spacing w:line="440" w:lineRule="exact"/>
        <w:jc w:val="center"/>
        <w:rPr>
          <w:rFonts w:ascii="宋体" w:hAnsi="宋体" w:cs="Courier New"/>
          <w:b/>
          <w:sz w:val="28"/>
          <w:szCs w:val="28"/>
        </w:rPr>
      </w:pPr>
    </w:p>
    <w:p w14:paraId="57921F8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42EA95DB">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176D9E7C">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325323E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057C5A17">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65570C4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6B4F3A8A">
      <w:pPr>
        <w:pStyle w:val="2"/>
        <w:spacing w:line="440" w:lineRule="exact"/>
        <w:jc w:val="center"/>
        <w:rPr>
          <w:rFonts w:ascii="黑体" w:hAnsi="黑体" w:eastAsia="黑体"/>
          <w:bCs/>
          <w:color w:val="000000"/>
          <w:sz w:val="28"/>
          <w:szCs w:val="28"/>
        </w:rPr>
      </w:pPr>
    </w:p>
    <w:p w14:paraId="6520B6F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065F4F9C">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0904924D">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0E0F11C">
      <w:pPr>
        <w:pStyle w:val="2"/>
        <w:spacing w:line="440" w:lineRule="exact"/>
        <w:jc w:val="center"/>
        <w:rPr>
          <w:rFonts w:ascii="黑体" w:hAnsi="黑体" w:eastAsia="黑体"/>
          <w:bCs/>
          <w:color w:val="000000"/>
          <w:sz w:val="28"/>
          <w:szCs w:val="28"/>
        </w:rPr>
      </w:pPr>
    </w:p>
    <w:p w14:paraId="7375BE23">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60921931">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245B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33BC099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11C06D5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3CACE88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60BC43E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1BCE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66CE4EAA">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4FE39B10">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36EBD1F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08033ADC">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r w14:paraId="4598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3AA55E12">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1F68A2D3">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50572D8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490EDAC1">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3B602683">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2B17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447E95E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695BEB3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35238BA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5A251D5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3D91B991">
            <w:pPr>
              <w:autoSpaceDE w:val="0"/>
              <w:autoSpaceDN w:val="0"/>
              <w:adjustRightInd w:val="0"/>
              <w:spacing w:line="440" w:lineRule="exact"/>
              <w:jc w:val="center"/>
              <w:rPr>
                <w:rFonts w:hint="eastAsia" w:ascii="宋体" w:hAnsi="宋体" w:eastAsia="宋体"/>
                <w:b/>
                <w:sz w:val="28"/>
                <w:szCs w:val="28"/>
                <w:lang w:val="en-US" w:eastAsia="zh-CN"/>
              </w:rPr>
            </w:pPr>
            <w:r>
              <w:rPr>
                <w:rFonts w:hint="eastAsia" w:ascii="宋体" w:hAnsi="宋体"/>
                <w:b/>
                <w:sz w:val="28"/>
                <w:szCs w:val="28"/>
              </w:rPr>
              <w:t>出资</w:t>
            </w:r>
            <w:r>
              <w:rPr>
                <w:rFonts w:hint="eastAsia" w:ascii="宋体" w:hAnsi="宋体"/>
                <w:b/>
                <w:sz w:val="28"/>
                <w:szCs w:val="28"/>
                <w:lang w:val="en-US" w:eastAsia="zh-CN"/>
              </w:rPr>
              <w:t>期限</w:t>
            </w:r>
          </w:p>
        </w:tc>
      </w:tr>
      <w:tr w14:paraId="3466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12BFB1C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0FF5339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73C2786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01F3FF4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60EFE1C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r w14:paraId="1CA4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694" w:type="dxa"/>
            <w:tcBorders>
              <w:bottom w:val="single" w:color="auto" w:sz="4" w:space="0"/>
            </w:tcBorders>
            <w:vAlign w:val="center"/>
          </w:tcPr>
          <w:p w14:paraId="73526EE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tcBorders>
              <w:bottom w:val="single" w:color="auto" w:sz="4" w:space="0"/>
            </w:tcBorders>
            <w:vAlign w:val="center"/>
          </w:tcPr>
          <w:p w14:paraId="0F770D1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07B017E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tcBorders>
              <w:bottom w:val="single" w:color="auto" w:sz="4" w:space="0"/>
            </w:tcBorders>
            <w:vAlign w:val="center"/>
          </w:tcPr>
          <w:p w14:paraId="399AF97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27B1C26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32C76FA9">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0763EEB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w:t>
      </w:r>
      <w:bookmarkStart w:id="8" w:name="_GoBack"/>
      <w:bookmarkEnd w:id="8"/>
      <w:r>
        <w:rPr>
          <w:rFonts w:hint="eastAsia" w:ascii="仿宋" w:hAnsi="仿宋" w:eastAsia="仿宋"/>
          <w:sz w:val="28"/>
          <w:szCs w:val="28"/>
        </w:rPr>
        <w:t>以依法转让的非货币财产作价出资的，应当依法办理其财产权的转移手续，向公司登记机关办理变更登记。</w:t>
      </w:r>
    </w:p>
    <w:p w14:paraId="2BA4287C">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68F58862">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280EC5D4">
      <w:pPr>
        <w:spacing w:line="440" w:lineRule="exact"/>
        <w:ind w:firstLine="560" w:firstLineChars="200"/>
        <w:rPr>
          <w:rFonts w:ascii="仿宋" w:hAnsi="仿宋" w:eastAsia="仿宋"/>
          <w:sz w:val="28"/>
          <w:szCs w:val="28"/>
        </w:rPr>
      </w:pPr>
    </w:p>
    <w:p w14:paraId="24D195D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601ECECB">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2D177851">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2DC5813A">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5368E535">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5A3F29DC">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65376263">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2FD19CE3">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4ABDAE4E">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5F5C30B9">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13503EC0">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5F321947">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7983DD4E">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026A0716">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73499137">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2478C73C">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1165EC43">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379A864A">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03BCB10A">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2D9B499E">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5233DD5B">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6E491591">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02342901">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49778D39">
      <w:pPr>
        <w:pStyle w:val="2"/>
        <w:spacing w:line="440" w:lineRule="exact"/>
        <w:jc w:val="center"/>
        <w:rPr>
          <w:rFonts w:ascii="黑体" w:hAnsi="黑体" w:eastAsia="黑体"/>
          <w:bCs/>
          <w:color w:val="000000"/>
          <w:sz w:val="28"/>
          <w:szCs w:val="28"/>
        </w:rPr>
      </w:pPr>
    </w:p>
    <w:p w14:paraId="04D0E564">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29FE36A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股东会由全体股东组成，是公司的权力机构，行使下列职权：</w:t>
      </w:r>
    </w:p>
    <w:p w14:paraId="09FDE10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（一）选举和更换代表公司执行公司事务的董事、监事人选，决定有关董事、监事的报酬事项；</w:t>
      </w:r>
    </w:p>
    <w:p w14:paraId="3851439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（二）审议批准董事的报告；</w:t>
      </w:r>
    </w:p>
    <w:p w14:paraId="193065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（三）审议批准监事的报告；</w:t>
      </w:r>
    </w:p>
    <w:p w14:paraId="55798A7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（四）审议批准公司的利润分配方案和弥补亏损的方案；</w:t>
      </w:r>
    </w:p>
    <w:p w14:paraId="74CFD2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（五）对公司增加或者减少注册资本作出决议；</w:t>
      </w:r>
    </w:p>
    <w:p w14:paraId="62C1C70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（六）对发行公司债券作出决议；</w:t>
      </w:r>
    </w:p>
    <w:p w14:paraId="3CD5B5B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（七）对公司合并、分立、解散、清算或者变更公司形式作出决议；</w:t>
      </w:r>
    </w:p>
    <w:p w14:paraId="3914FF0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（八）审议批准公司的年度财务预算方案、决算方案；</w:t>
      </w:r>
    </w:p>
    <w:p w14:paraId="1F26366D">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（九）修改公司章程。</w:t>
      </w:r>
    </w:p>
    <w:p w14:paraId="59A5CC7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股东会的首次会议由出资最多的股东召集和主持。</w:t>
      </w:r>
    </w:p>
    <w:p w14:paraId="361F665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第十七条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 股东会会议分为定期会议和临时会议，定期会议每年召开一次。临时会议可由代表十分之一以上表决权的股东、三分之一以上的董事、监事提议召开。</w:t>
      </w:r>
    </w:p>
    <w:p w14:paraId="25D265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股东会会议应当于会议召开1</w:t>
      </w:r>
      <w:r>
        <w:rPr>
          <w:rFonts w:ascii="华文仿宋" w:hAnsi="华文仿宋" w:eastAsia="华文仿宋" w:cs="Courier New"/>
          <w:sz w:val="28"/>
          <w:szCs w:val="28"/>
        </w:rPr>
        <w:t>5</w:t>
      </w:r>
      <w:r>
        <w:rPr>
          <w:rFonts w:hint="eastAsia" w:ascii="华文仿宋" w:hAnsi="华文仿宋" w:eastAsia="华文仿宋" w:cs="Courier New"/>
          <w:sz w:val="28"/>
          <w:szCs w:val="28"/>
        </w:rPr>
        <w:t>日前将会议议题通知全体股东。</w:t>
      </w:r>
    </w:p>
    <w:p w14:paraId="74249A9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公司股东会召开会议和表决可以采用电子通信方式。全体股东对会议议题以书面形式一致表示同意的，可以不召开股东会会议，直接作出决定，并由全体股东在决定文件上签名、盖章。</w:t>
      </w:r>
    </w:p>
    <w:p w14:paraId="641EAC8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第十八条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会议由代表公司执行公司事务的董事召集和主持；代表公司执行公司事务的董事不能履行或者不履行召集股东会会议职责的，由监事召集和主持；监事不召集和主持的，代表十分之一以上表决权的股东可以自行召集和主持。</w:t>
      </w:r>
    </w:p>
    <w:p w14:paraId="06DFD67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第十九条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股东会会议由股东按照出资比例行使表决权。</w:t>
      </w:r>
    </w:p>
    <w:p w14:paraId="17D6E5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股东应出席股东会会议，也可以书面委托他人参加会议，行使委托书中载明的权利。股东收到会议通知后不出席会议或者不委托他人参加会议的，视为弃权。</w:t>
      </w:r>
    </w:p>
    <w:p w14:paraId="4CACD81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 xml:space="preserve"> 股东会作出修改公司章程、增加或者减少注册资本的决议，以及公司合并、分立、解散或者变更公司形式的决议，应当经代表三分之二以上表决权的股东通过。</w:t>
      </w:r>
    </w:p>
    <w:p w14:paraId="1F123F7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股东会应当对所议事项作成会议记录，出席会议的股东应当在会议记录上签名盖章。</w:t>
      </w:r>
    </w:p>
    <w:p w14:paraId="0663713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公司不设董事会，设代表公司执行公司事务的董事1名，由股东会选举产生。董事任期3年，任期届满，可连选连任。董事在任期届满前，股东会不得无故解除其职务。</w:t>
      </w:r>
    </w:p>
    <w:p w14:paraId="064B270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代表公司执行公司事务的董事对公司股东会负责，行使下列职权：</w:t>
      </w:r>
    </w:p>
    <w:p w14:paraId="2B3FDF3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（一）召集股东会会议，并向股东会报告工作；</w:t>
      </w:r>
    </w:p>
    <w:p w14:paraId="10AE1B6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（二）执行股东会的决议；</w:t>
      </w:r>
    </w:p>
    <w:p w14:paraId="0705379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2964DCD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647507D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0BDB507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287C37A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7328839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105DD3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49010F1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21296EF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796AAF2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代表公司执行公司事务的董事任期届满未及时改选的，在改选出的董事就任前，原董事仍应当依照法律、行政法规和公司章程的规定，履行董事职务。</w:t>
      </w:r>
    </w:p>
    <w:p w14:paraId="071BAF6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第二十二条 </w:t>
      </w:r>
      <w:r>
        <w:rPr>
          <w:rFonts w:hint="eastAsia" w:ascii="华文仿宋" w:hAnsi="华文仿宋" w:eastAsia="华文仿宋" w:cs="Courier New"/>
          <w:sz w:val="28"/>
          <w:szCs w:val="28"/>
        </w:rPr>
        <w:t>公司成立后，代表公司执行公司事务的董事应当对股东的出资情况进行核查，发现股东未按期足额缴纳公司章程规定的出资的，应当由公司向该股东发出书面催缴书，催缴出资。</w:t>
      </w:r>
    </w:p>
    <w:p w14:paraId="472520A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6893EC2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第二十三条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代表公司执行公司事务的董事决定可以向该股东发出失权通知，通知应当以书面形式发出。自通知发出之日起，该股东丧失其未缴纳出资的股权。</w:t>
      </w:r>
    </w:p>
    <w:p w14:paraId="564BE2E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6D4897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22DE8B5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第二十四条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3541A21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公司设经理1名，经理由代表公司执行公司事务的董事聘任，经理对董事负责，行使下列职权：</w:t>
      </w:r>
    </w:p>
    <w:p w14:paraId="3E27351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（一）主持公司的生产经营管理工作，组织实施董事决定；  </w:t>
      </w:r>
    </w:p>
    <w:p w14:paraId="0A2D3DD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3EAF34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0A03CDB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2A636F4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70572A3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1000DE2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（七）决定聘任或者解聘除应由董事聘任或者解聘以外的负责管理人员；</w:t>
      </w:r>
    </w:p>
    <w:p w14:paraId="225634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（八）董事授予的其他职权。</w:t>
      </w:r>
    </w:p>
    <w:p w14:paraId="39768351">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第二十六条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，由公司股东会选举产生。</w:t>
      </w:r>
    </w:p>
    <w:p w14:paraId="05F63E4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第二十七条  </w:t>
      </w:r>
      <w:r>
        <w:rPr>
          <w:rFonts w:hint="eastAsia" w:ascii="华文仿宋" w:hAnsi="华文仿宋" w:eastAsia="华文仿宋" w:cs="Courier New"/>
          <w:sz w:val="28"/>
          <w:szCs w:val="28"/>
        </w:rPr>
        <w:t>监事的任期每届为3年。监事任期届满，连选可以连任。</w:t>
      </w:r>
    </w:p>
    <w:p w14:paraId="050BFF4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监事任期届满未及时改选，或者监事在任期内辞任的，在改选出的监事就任前，原监事仍应当依照法律、行政法规和公司章程的规定，履行监事职务。</w:t>
      </w:r>
    </w:p>
    <w:p w14:paraId="07C839E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监事可以对董事决定事项提出质询或者建议。</w:t>
      </w:r>
    </w:p>
    <w:p w14:paraId="01E01F5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41126C1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1590A3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（二）对董事、高级管理人员执行职务的行为进行监督，要求董事、高级管理人员提交执行职务的报告，对违反法律、行政法规、公司章程或者股东会决议的董事、高级管理人员提出解任的建议；</w:t>
      </w:r>
    </w:p>
    <w:p w14:paraId="39B9993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391FD80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（四）提议召开临时股东会会议，在董事不履行法律规定的召集和主持股东会会议职责时召集和主持股东会会议；</w:t>
      </w:r>
    </w:p>
    <w:p w14:paraId="58E8484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（五）向股东会会议提出提案；</w:t>
      </w:r>
    </w:p>
    <w:p w14:paraId="5BED6FA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（六）依照《公司法》的规定，对董事、高级管理人员提起诉讼；</w:t>
      </w:r>
    </w:p>
    <w:p w14:paraId="63D16BF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（七）《公司法》规定的其他职权。</w:t>
      </w:r>
    </w:p>
    <w:p w14:paraId="1D6C2D0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第二十九条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37A8FB7D">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002C663F">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第三十一条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031842F5">
      <w:pPr>
        <w:pStyle w:val="2"/>
        <w:spacing w:line="440" w:lineRule="exact"/>
        <w:jc w:val="center"/>
        <w:rPr>
          <w:rFonts w:ascii="黑体" w:hAnsi="黑体" w:eastAsia="黑体"/>
          <w:bCs/>
          <w:color w:val="000000"/>
          <w:sz w:val="28"/>
          <w:szCs w:val="28"/>
        </w:rPr>
      </w:pPr>
    </w:p>
    <w:p w14:paraId="2B6A9A4D">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5CA9CA7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第三十二条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5D60C304">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51C16D3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第三十三条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5734580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（一）执行股东会决议和董事决定；</w:t>
      </w:r>
    </w:p>
    <w:p w14:paraId="6290729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50515BB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0058C6C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（四）在发生战争、特大自然灾害等紧急情况下，对公司事务行使特别裁决权和处置权，但这类裁决权和处置权须符合公司利益，并在事后向股东会和代表公司执行公司事务的董事报告。</w:t>
      </w:r>
    </w:p>
    <w:p w14:paraId="482C1A7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第三十四条</w:t>
      </w:r>
      <w:r>
        <w:rPr>
          <w:rFonts w:hint="eastAsia" w:ascii="华文仿宋" w:hAnsi="华文仿宋" w:eastAsia="华文仿宋" w:cs="Courier New"/>
          <w:sz w:val="28"/>
          <w:szCs w:val="28"/>
        </w:rPr>
        <w:t xml:space="preserve">  法定代表人向股东签发出资证明书，应当记载下列事项：</w:t>
      </w:r>
    </w:p>
    <w:p w14:paraId="58D8C1D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5B08E1E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4909387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1AD3FB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744028E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0552FE4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3786D02C">
      <w:pPr>
        <w:spacing w:line="440" w:lineRule="exact"/>
        <w:ind w:firstLine="560" w:firstLineChars="200"/>
        <w:rPr>
          <w:rFonts w:ascii="华文仿宋" w:hAnsi="华文仿宋" w:eastAsia="华文仿宋" w:cs="Courier New"/>
          <w:sz w:val="28"/>
          <w:szCs w:val="28"/>
        </w:rPr>
      </w:pPr>
    </w:p>
    <w:p w14:paraId="211C099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40ED18E0">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2C51B84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第三十六条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6A331D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56EDD0D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7804B0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0A18F1F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3F70AB7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526BC86C">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第三十七条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册外，不得另设会计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册。对公司资产，不得以任何个人名义另立</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户。</w:t>
      </w:r>
      <w:r>
        <w:rPr>
          <w:rFonts w:hint="eastAsia" w:ascii="宋体" w:hAnsi="宋体" w:cs="Courier New"/>
          <w:sz w:val="28"/>
          <w:szCs w:val="28"/>
        </w:rPr>
        <w:t xml:space="preserve"> </w:t>
      </w:r>
    </w:p>
    <w:p w14:paraId="40485BE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61FC87A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3DE875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1AEBB7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707354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12B3C84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30EE1EC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公司的法定公积金不足以弥补以前年度亏损的，应当在提取法定公积金之前，先用当年利润弥补亏损。公司从税后利润中提取法定公积金后，经股东会决议，还可以从税后利润中提取任意公积金。</w:t>
      </w:r>
    </w:p>
    <w:p w14:paraId="2F11AD7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2A490DE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28CC7D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3EC2AD5C">
      <w:pPr>
        <w:spacing w:line="440" w:lineRule="exact"/>
        <w:ind w:firstLine="560" w:firstLineChars="200"/>
        <w:rPr>
          <w:rFonts w:ascii="华文仿宋" w:hAnsi="华文仿宋" w:eastAsia="华文仿宋" w:cs="Courier New"/>
          <w:sz w:val="28"/>
          <w:szCs w:val="28"/>
        </w:rPr>
      </w:pPr>
    </w:p>
    <w:p w14:paraId="7142288C">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118D7460">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第四十一条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4" w:name="QYDJ_JBXX_LC_OPFYEARS"/>
      <w:bookmarkEnd w:id="4"/>
      <w:r>
        <w:rPr>
          <w:rFonts w:hint="eastAsia" w:ascii="华文仿宋" w:hAnsi="华文仿宋" w:eastAsia="华文仿宋" w:cs="Courier New"/>
          <w:color w:val="FF0000"/>
          <w:sz w:val="28"/>
          <w:szCs w:val="28"/>
        </w:rPr>
        <w:t>长期。</w:t>
      </w:r>
    </w:p>
    <w:p w14:paraId="3CBFE4C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第四十二条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r>
        <w:rPr>
          <w:rFonts w:hint="eastAsia" w:ascii="华文仿宋" w:hAnsi="华文仿宋" w:eastAsia="华文仿宋" w:cs="Courier New"/>
          <w:sz w:val="28"/>
          <w:szCs w:val="28"/>
          <w:lang w:val="en-US" w:eastAsia="zh-CN"/>
        </w:rPr>
        <w:t>或者由股东会决议另选他人组成</w:t>
      </w:r>
      <w:r>
        <w:rPr>
          <w:rFonts w:hint="eastAsia" w:ascii="华文仿宋" w:hAnsi="华文仿宋" w:eastAsia="华文仿宋" w:cs="Courier New"/>
          <w:sz w:val="28"/>
          <w:szCs w:val="28"/>
        </w:rPr>
        <w:t>。</w:t>
      </w:r>
    </w:p>
    <w:p w14:paraId="690A3FD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3E778EA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047427C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5CD198F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49749C7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3A23405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4F266F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1852F27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7DC9C99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702ADF9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57ADE70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1C62543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第四十四条</w:t>
      </w:r>
      <w:r>
        <w:rPr>
          <w:rFonts w:hint="eastAsia" w:ascii="华文仿宋" w:hAnsi="华文仿宋" w:eastAsia="华文仿宋" w:cs="Courier New"/>
          <w:sz w:val="28"/>
          <w:szCs w:val="28"/>
        </w:rPr>
        <w:t xml:space="preserve">  清算组在清理公司财产、编制资产负债表和财产清单后，应当制订清算方案，并报股东会或者人民法院确认。</w:t>
      </w:r>
    </w:p>
    <w:p w14:paraId="23DA14D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3546668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770AC9B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第四十五条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6DDD706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25F6C70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第四十六条</w:t>
      </w:r>
      <w:r>
        <w:rPr>
          <w:rFonts w:hint="eastAsia" w:ascii="华文仿宋" w:hAnsi="华文仿宋" w:eastAsia="华文仿宋" w:cs="Courier New"/>
          <w:sz w:val="28"/>
          <w:szCs w:val="28"/>
        </w:rPr>
        <w:t xml:space="preserve">  清算组成员履行清算职责，负有忠实义务和勤勉义务。</w:t>
      </w:r>
    </w:p>
    <w:p w14:paraId="29E8586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30E9D6F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第四十七条</w:t>
      </w:r>
      <w:r>
        <w:rPr>
          <w:rFonts w:hint="eastAsia" w:ascii="华文仿宋" w:hAnsi="华文仿宋" w:eastAsia="华文仿宋" w:cs="Courier New"/>
          <w:sz w:val="28"/>
          <w:szCs w:val="28"/>
        </w:rPr>
        <w:t xml:space="preserve">  公司清算结束后，清算组应当制作清算报告，报股东会或者人民法院确认，并报送公司登记机关，申请注销公司登记。</w:t>
      </w:r>
    </w:p>
    <w:p w14:paraId="46348586">
      <w:pPr>
        <w:spacing w:line="440" w:lineRule="exact"/>
        <w:ind w:firstLine="560" w:firstLineChars="200"/>
        <w:rPr>
          <w:rFonts w:ascii="华文仿宋" w:hAnsi="华文仿宋" w:eastAsia="华文仿宋" w:cs="Courier New"/>
          <w:sz w:val="28"/>
          <w:szCs w:val="28"/>
        </w:rPr>
      </w:pPr>
    </w:p>
    <w:p w14:paraId="141C59F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685CA19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4C4B0AE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公司章程的解释权属于股东会。</w:t>
      </w:r>
    </w:p>
    <w:p w14:paraId="2DD8C05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本章程自全体股东签名、盖章之日起生效。</w:t>
      </w:r>
    </w:p>
    <w:p w14:paraId="39998978">
      <w:pPr>
        <w:spacing w:line="440" w:lineRule="exact"/>
        <w:ind w:firstLine="560" w:firstLineChars="200"/>
        <w:rPr>
          <w:rFonts w:ascii="华文仿宋" w:hAnsi="华文仿宋" w:eastAsia="华文仿宋" w:cs="Courier New"/>
          <w:sz w:val="28"/>
          <w:szCs w:val="28"/>
        </w:rPr>
      </w:pPr>
    </w:p>
    <w:p w14:paraId="353433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全体股东签字、盖章：</w:t>
      </w:r>
    </w:p>
    <w:p w14:paraId="7A1D9C98">
      <w:pPr>
        <w:spacing w:line="440" w:lineRule="exact"/>
        <w:ind w:firstLine="560" w:firstLineChars="200"/>
        <w:rPr>
          <w:rFonts w:ascii="宋体" w:hAnsi="宋体" w:cs="Courier New"/>
          <w:sz w:val="28"/>
          <w:szCs w:val="28"/>
          <w:u w:val="single"/>
        </w:rPr>
      </w:pPr>
      <w:bookmarkStart w:id="5" w:name="QYDJ_CZXX_LC_GUDONG"/>
      <w:bookmarkEnd w:id="5"/>
    </w:p>
    <w:p w14:paraId="75D29A17">
      <w:pPr>
        <w:wordWrap w:val="0"/>
        <w:spacing w:line="440" w:lineRule="exact"/>
        <w:ind w:firstLine="560" w:firstLineChars="200"/>
        <w:jc w:val="right"/>
        <w:rPr>
          <w:rFonts w:ascii="华文仿宋" w:hAnsi="华文仿宋" w:eastAsia="华文仿宋" w:cs="Courier New"/>
          <w:sz w:val="28"/>
          <w:szCs w:val="28"/>
        </w:rPr>
      </w:pPr>
      <w:bookmarkStart w:id="6" w:name="QYDJ_JBXX_LC_APPLYDATE"/>
      <w:bookmarkEnd w:id="6"/>
      <w:r>
        <w:rPr>
          <w:rFonts w:hint="eastAsia" w:ascii="华文仿宋" w:hAnsi="华文仿宋" w:eastAsia="华文仿宋" w:cs="Courier New"/>
          <w:sz w:val="28"/>
          <w:szCs w:val="28"/>
        </w:rPr>
        <w:t xml:space="preserve">济南****公司  </w:t>
      </w:r>
    </w:p>
    <w:p w14:paraId="16CE316E">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2C47054F">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5C5756FB">
      <w:pPr>
        <w:spacing w:line="440" w:lineRule="exact"/>
        <w:ind w:firstLine="560" w:firstLineChars="200"/>
        <w:jc w:val="right"/>
        <w:rPr>
          <w:rFonts w:ascii="华文仿宋" w:hAnsi="华文仿宋" w:eastAsia="华文仿宋" w:cs="Courier New"/>
          <w:sz w:val="28"/>
          <w:szCs w:val="28"/>
        </w:rPr>
      </w:pPr>
    </w:p>
    <w:p w14:paraId="1CDBE2ED">
      <w:pPr>
        <w:spacing w:line="440" w:lineRule="exact"/>
        <w:ind w:firstLine="560" w:firstLineChars="200"/>
        <w:jc w:val="right"/>
        <w:rPr>
          <w:rFonts w:ascii="华文仿宋" w:hAnsi="华文仿宋" w:eastAsia="华文仿宋" w:cs="Courier New"/>
          <w:sz w:val="28"/>
          <w:szCs w:val="28"/>
        </w:rPr>
      </w:pPr>
    </w:p>
    <w:p w14:paraId="67C65EB2">
      <w:pPr>
        <w:spacing w:line="440" w:lineRule="exact"/>
        <w:ind w:firstLine="560" w:firstLineChars="200"/>
        <w:jc w:val="right"/>
        <w:rPr>
          <w:rFonts w:ascii="华文仿宋" w:hAnsi="华文仿宋" w:eastAsia="华文仿宋" w:cs="Courier New"/>
          <w:sz w:val="28"/>
          <w:szCs w:val="28"/>
        </w:rPr>
      </w:pPr>
    </w:p>
    <w:p w14:paraId="533286B5">
      <w:pPr>
        <w:spacing w:line="440" w:lineRule="exact"/>
        <w:ind w:firstLine="560" w:firstLineChars="200"/>
        <w:jc w:val="right"/>
        <w:rPr>
          <w:rFonts w:ascii="华文仿宋" w:hAnsi="华文仿宋" w:eastAsia="华文仿宋" w:cs="Courier New"/>
          <w:sz w:val="28"/>
          <w:szCs w:val="28"/>
        </w:rPr>
      </w:pPr>
    </w:p>
    <w:p w14:paraId="09F19A61">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7" w:name="QYDJ_GSZC_LC"/>
      <w:bookmarkEnd w:id="7"/>
    </w:p>
    <w:p w14:paraId="4E0DD73F">
      <w:pPr>
        <w:spacing w:line="440" w:lineRule="exact"/>
        <w:ind w:firstLine="560" w:firstLineChars="200"/>
        <w:jc w:val="right"/>
        <w:rPr>
          <w:rFonts w:ascii="华文仿宋" w:hAnsi="华文仿宋" w:eastAsia="华文仿宋" w:cs="Courier New"/>
          <w:sz w:val="28"/>
          <w:szCs w:val="28"/>
        </w:rPr>
      </w:pPr>
    </w:p>
    <w:p w14:paraId="44ACF3AF">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注：1.此模板适用外商投资有限责任公司设立登记章程（设代表公司执行公司事务的董事、监事）。</w:t>
      </w:r>
    </w:p>
    <w:p w14:paraId="693E3D19">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10A409C3">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3A8BF9F0">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62F5F009">
      <w:pPr>
        <w:rPr>
          <w:szCs w:val="32"/>
        </w:rPr>
      </w:pPr>
    </w:p>
    <w:p w14:paraId="0554EAEC">
      <w:pPr>
        <w:rPr>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A5DAF">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7</w:t>
    </w:r>
    <w:r>
      <w:rPr>
        <w:rStyle w:val="7"/>
      </w:rPr>
      <w:fldChar w:fldCharType="end"/>
    </w:r>
  </w:p>
  <w:p w14:paraId="607FD90C">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C3B5D">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34D2AC2">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3D2A"/>
    <w:rsid w:val="000944FB"/>
    <w:rsid w:val="00156763"/>
    <w:rsid w:val="001C2B03"/>
    <w:rsid w:val="001F62AF"/>
    <w:rsid w:val="0021641C"/>
    <w:rsid w:val="00313D2A"/>
    <w:rsid w:val="00370AFB"/>
    <w:rsid w:val="003B1E75"/>
    <w:rsid w:val="0042209C"/>
    <w:rsid w:val="004E28DC"/>
    <w:rsid w:val="00591CF8"/>
    <w:rsid w:val="00713F61"/>
    <w:rsid w:val="0071423F"/>
    <w:rsid w:val="007E3A68"/>
    <w:rsid w:val="008A082A"/>
    <w:rsid w:val="00920C78"/>
    <w:rsid w:val="00923807"/>
    <w:rsid w:val="0092633B"/>
    <w:rsid w:val="009834C9"/>
    <w:rsid w:val="009B4ECD"/>
    <w:rsid w:val="00A631B6"/>
    <w:rsid w:val="00B74415"/>
    <w:rsid w:val="00B91495"/>
    <w:rsid w:val="00BB036A"/>
    <w:rsid w:val="00C65A31"/>
    <w:rsid w:val="00E62846"/>
    <w:rsid w:val="00E86075"/>
    <w:rsid w:val="00EB1FA2"/>
    <w:rsid w:val="00EE72FC"/>
    <w:rsid w:val="6C6D329D"/>
    <w:rsid w:val="7FDA0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10</Pages>
  <Words>5804</Words>
  <Characters>5912</Characters>
  <Lines>44</Lines>
  <Paragraphs>12</Paragraphs>
  <TotalTime>64</TotalTime>
  <ScaleCrop>false</ScaleCrop>
  <LinksUpToDate>false</LinksUpToDate>
  <CharactersWithSpaces>6032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2022-11-23T01:28:00Z</dcterms:created>
  <dc:creator>WindsysUser</dc:creator>
  <cp:lastModifiedBy>如愿</cp:lastModifiedBy>
  <dcterms:modified xsi:type="dcterms:W3CDTF">2026-05-29T08:04:48Z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eyJoZGlkIjoiMzhhYzFkY2IxZDU3MWNhNTJhZjU1YjIzNWVkZTJkMDQiLCJ1c2VySWQiOiI0MTk0MDEwOTUifQ==</vt:lpwstr>
  </property>
  <property fmtid="{D5CDD505-2E9C-101B-9397-08002B2CF9AE}" pid="3" name="KSOProductBuildVer">
    <vt:lpwstr>2052-12.1.0.26375</vt:lpwstr>
  </property>
  <property fmtid="{D5CDD505-2E9C-101B-9397-08002B2CF9AE}" pid="4" name="ICV">
    <vt:lpwstr>4D40E8F33F9A412D8C4754190948E604_12</vt:lpwstr>
  </property>
</Properties>
</file>