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BD1CBF">
      <w:pPr>
        <w:keepNext w:val="0"/>
        <w:keepLines w:val="0"/>
        <w:pageBreakBefore w:val="0"/>
        <w:widowControl w:val="0"/>
        <w:kinsoku/>
        <w:wordWrap/>
        <w:overflowPunct w:val="0"/>
        <w:topLinePunct w:val="0"/>
        <w:autoSpaceDE/>
        <w:autoSpaceDN/>
        <w:bidi w:val="0"/>
        <w:adjustRightInd w:val="0"/>
        <w:snapToGrid w:val="0"/>
        <w:spacing w:line="680" w:lineRule="exact"/>
        <w:ind w:firstLine="0" w:firstLineChars="0"/>
        <w:jc w:val="center"/>
        <w:textAlignment w:val="baseline"/>
        <w:rPr>
          <w:rFonts w:hint="eastAsia" w:ascii="方正小标宋_GBK" w:eastAsia="方正小标宋_GBK"/>
          <w:sz w:val="44"/>
          <w:szCs w:val="44"/>
        </w:rPr>
      </w:pPr>
    </w:p>
    <w:p w14:paraId="4CD516CB">
      <w:pPr>
        <w:keepNext w:val="0"/>
        <w:keepLines w:val="0"/>
        <w:pageBreakBefore w:val="0"/>
        <w:widowControl w:val="0"/>
        <w:kinsoku/>
        <w:wordWrap/>
        <w:overflowPunct w:val="0"/>
        <w:topLinePunct w:val="0"/>
        <w:autoSpaceDE/>
        <w:autoSpaceDN/>
        <w:bidi w:val="0"/>
        <w:adjustRightInd w:val="0"/>
        <w:snapToGrid w:val="0"/>
        <w:spacing w:line="680" w:lineRule="exact"/>
        <w:ind w:firstLine="0" w:firstLineChars="0"/>
        <w:jc w:val="center"/>
        <w:textAlignment w:val="baseline"/>
        <w:rPr>
          <w:rFonts w:hint="eastAsia" w:ascii="方正小标宋_GBK" w:eastAsia="方正小标宋_GBK"/>
          <w:sz w:val="44"/>
          <w:szCs w:val="44"/>
        </w:rPr>
      </w:pPr>
    </w:p>
    <w:p w14:paraId="3522B2F4">
      <w:pPr>
        <w:keepNext w:val="0"/>
        <w:keepLines w:val="0"/>
        <w:pageBreakBefore w:val="0"/>
        <w:widowControl w:val="0"/>
        <w:kinsoku/>
        <w:wordWrap/>
        <w:overflowPunct w:val="0"/>
        <w:topLinePunct w:val="0"/>
        <w:autoSpaceDE/>
        <w:autoSpaceDN/>
        <w:bidi w:val="0"/>
        <w:adjustRightInd w:val="0"/>
        <w:snapToGrid w:val="0"/>
        <w:spacing w:line="680" w:lineRule="exact"/>
        <w:ind w:firstLine="0" w:firstLineChars="0"/>
        <w:jc w:val="center"/>
        <w:textAlignment w:val="baseline"/>
        <w:rPr>
          <w:rFonts w:hint="eastAsia" w:ascii="方正小标宋_GBK" w:eastAsia="方正小标宋_GBK"/>
          <w:sz w:val="44"/>
          <w:szCs w:val="44"/>
        </w:rPr>
      </w:pPr>
    </w:p>
    <w:p w14:paraId="3B5F9322">
      <w:pPr>
        <w:keepNext w:val="0"/>
        <w:keepLines w:val="0"/>
        <w:pageBreakBefore w:val="0"/>
        <w:widowControl w:val="0"/>
        <w:kinsoku/>
        <w:wordWrap/>
        <w:overflowPunct w:val="0"/>
        <w:topLinePunct w:val="0"/>
        <w:autoSpaceDE/>
        <w:autoSpaceDN/>
        <w:bidi w:val="0"/>
        <w:adjustRightInd w:val="0"/>
        <w:snapToGrid w:val="0"/>
        <w:spacing w:line="680" w:lineRule="exact"/>
        <w:ind w:firstLine="0" w:firstLineChars="0"/>
        <w:jc w:val="center"/>
        <w:textAlignment w:val="baseline"/>
        <w:rPr>
          <w:rFonts w:hint="eastAsia" w:ascii="方正小标宋_GBK" w:eastAsia="方正小标宋_GBK"/>
          <w:sz w:val="44"/>
          <w:szCs w:val="44"/>
        </w:rPr>
      </w:pPr>
    </w:p>
    <w:p w14:paraId="7868B655">
      <w:pPr>
        <w:keepNext w:val="0"/>
        <w:keepLines w:val="0"/>
        <w:pageBreakBefore w:val="0"/>
        <w:widowControl w:val="0"/>
        <w:kinsoku/>
        <w:wordWrap/>
        <w:overflowPunct w:val="0"/>
        <w:topLinePunct w:val="0"/>
        <w:autoSpaceDE/>
        <w:autoSpaceDN/>
        <w:bidi w:val="0"/>
        <w:adjustRightInd w:val="0"/>
        <w:snapToGrid w:val="0"/>
        <w:spacing w:line="680" w:lineRule="exact"/>
        <w:ind w:firstLine="0" w:firstLineChars="0"/>
        <w:jc w:val="center"/>
        <w:textAlignment w:val="baseline"/>
        <w:rPr>
          <w:rFonts w:hint="eastAsia" w:ascii="方正小标宋_GBK" w:eastAsia="方正小标宋_GBK"/>
          <w:sz w:val="44"/>
          <w:szCs w:val="44"/>
        </w:rPr>
      </w:pPr>
    </w:p>
    <w:p w14:paraId="35AEF3D6">
      <w:pPr>
        <w:keepNext w:val="0"/>
        <w:keepLines w:val="0"/>
        <w:pageBreakBefore w:val="0"/>
        <w:widowControl w:val="0"/>
        <w:kinsoku/>
        <w:wordWrap/>
        <w:overflowPunct w:val="0"/>
        <w:topLinePunct w:val="0"/>
        <w:autoSpaceDE/>
        <w:autoSpaceDN/>
        <w:bidi w:val="0"/>
        <w:adjustRightInd w:val="0"/>
        <w:snapToGrid w:val="0"/>
        <w:spacing w:line="680" w:lineRule="exact"/>
        <w:ind w:firstLine="0" w:firstLineChars="0"/>
        <w:jc w:val="center"/>
        <w:textAlignment w:val="baseline"/>
        <w:rPr>
          <w:rFonts w:hint="eastAsia" w:ascii="方正小标宋_GBK" w:eastAsia="方正小标宋_GBK"/>
          <w:sz w:val="44"/>
          <w:szCs w:val="44"/>
        </w:rPr>
      </w:pPr>
    </w:p>
    <w:p w14:paraId="5B689B16">
      <w:pPr>
        <w:keepNext w:val="0"/>
        <w:keepLines w:val="0"/>
        <w:pageBreakBefore w:val="0"/>
        <w:widowControl w:val="0"/>
        <w:kinsoku/>
        <w:wordWrap/>
        <w:overflowPunct w:val="0"/>
        <w:topLinePunct w:val="0"/>
        <w:autoSpaceDE/>
        <w:autoSpaceDN/>
        <w:bidi w:val="0"/>
        <w:adjustRightInd w:val="0"/>
        <w:snapToGrid w:val="0"/>
        <w:spacing w:line="680" w:lineRule="exact"/>
        <w:ind w:firstLine="0" w:firstLineChars="0"/>
        <w:jc w:val="center"/>
        <w:textAlignment w:val="baseline"/>
        <w:rPr>
          <w:rFonts w:ascii="方正小标宋_GBK" w:eastAsia="方正小标宋_GBK"/>
          <w:sz w:val="44"/>
          <w:szCs w:val="44"/>
        </w:rPr>
      </w:pPr>
      <w:r>
        <w:rPr>
          <w:rFonts w:hint="eastAsia" w:ascii="方正小标宋_GBK" w:eastAsia="方正小标宋_GBK"/>
          <w:sz w:val="44"/>
          <w:szCs w:val="44"/>
        </w:rPr>
        <w:t xml:space="preserve">济南市天桥区人民政府 </w:t>
      </w:r>
    </w:p>
    <w:p w14:paraId="7F48BA52">
      <w:pPr>
        <w:keepNext w:val="0"/>
        <w:keepLines w:val="0"/>
        <w:pageBreakBefore w:val="0"/>
        <w:widowControl w:val="0"/>
        <w:kinsoku/>
        <w:wordWrap/>
        <w:overflowPunct w:val="0"/>
        <w:topLinePunct w:val="0"/>
        <w:autoSpaceDE/>
        <w:autoSpaceDN/>
        <w:bidi w:val="0"/>
        <w:adjustRightInd w:val="0"/>
        <w:snapToGrid w:val="0"/>
        <w:spacing w:line="680" w:lineRule="exact"/>
        <w:ind w:firstLine="0" w:firstLineChars="0"/>
        <w:jc w:val="center"/>
        <w:textAlignment w:val="baseline"/>
        <w:rPr>
          <w:rFonts w:hint="eastAsia" w:ascii="方正小标宋_GBK" w:eastAsia="方正小标宋_GBK"/>
          <w:sz w:val="44"/>
          <w:szCs w:val="44"/>
          <w:lang w:val="en-US" w:eastAsia="zh-CN"/>
        </w:rPr>
      </w:pPr>
      <w:r>
        <w:rPr>
          <w:rFonts w:hint="eastAsia" w:ascii="方正小标宋_GBK" w:eastAsia="方正小标宋_GBK"/>
          <w:sz w:val="44"/>
          <w:szCs w:val="44"/>
        </w:rPr>
        <w:t>关于印发</w:t>
      </w:r>
      <w:r>
        <w:rPr>
          <w:rFonts w:hint="eastAsia" w:ascii="方正小标宋_GBK" w:eastAsia="方正小标宋_GBK"/>
          <w:sz w:val="44"/>
          <w:szCs w:val="44"/>
          <w:lang w:val="en-US" w:eastAsia="zh-CN"/>
        </w:rPr>
        <w:t>济南市天桥区国民经济和社会</w:t>
      </w:r>
    </w:p>
    <w:p w14:paraId="5A4DEA49">
      <w:pPr>
        <w:keepNext w:val="0"/>
        <w:keepLines w:val="0"/>
        <w:pageBreakBefore w:val="0"/>
        <w:widowControl w:val="0"/>
        <w:kinsoku/>
        <w:wordWrap/>
        <w:overflowPunct w:val="0"/>
        <w:topLinePunct w:val="0"/>
        <w:autoSpaceDE/>
        <w:autoSpaceDN/>
        <w:bidi w:val="0"/>
        <w:adjustRightInd w:val="0"/>
        <w:snapToGrid w:val="0"/>
        <w:spacing w:line="680" w:lineRule="exact"/>
        <w:ind w:firstLine="0" w:firstLineChars="0"/>
        <w:jc w:val="center"/>
        <w:textAlignment w:val="baseline"/>
        <w:rPr>
          <w:rFonts w:ascii="方正小标宋_GBK" w:eastAsia="方正小标宋_GBK"/>
          <w:sz w:val="44"/>
          <w:szCs w:val="44"/>
        </w:rPr>
      </w:pPr>
      <w:r>
        <w:rPr>
          <w:rFonts w:hint="eastAsia" w:ascii="方正小标宋_GBK" w:eastAsia="方正小标宋_GBK"/>
          <w:sz w:val="44"/>
          <w:szCs w:val="44"/>
          <w:lang w:val="en-US" w:eastAsia="zh-CN"/>
        </w:rPr>
        <w:t>发展第十五个五年规划纲要</w:t>
      </w:r>
      <w:r>
        <w:rPr>
          <w:rFonts w:hint="eastAsia" w:ascii="方正小标宋_GBK" w:eastAsia="方正小标宋_GBK"/>
          <w:sz w:val="44"/>
          <w:szCs w:val="44"/>
        </w:rPr>
        <w:t>的通知</w:t>
      </w:r>
    </w:p>
    <w:p w14:paraId="65650329">
      <w:pPr>
        <w:ind w:firstLine="0" w:firstLineChars="0"/>
        <w:jc w:val="center"/>
        <w:textAlignment w:val="baseline"/>
      </w:pPr>
    </w:p>
    <w:p w14:paraId="2AB1E7FB">
      <w:pPr>
        <w:ind w:firstLine="0" w:firstLineChars="0"/>
        <w:jc w:val="center"/>
        <w:textAlignment w:val="baseline"/>
      </w:pPr>
      <w:r>
        <w:t xml:space="preserve"> </w:t>
      </w:r>
    </w:p>
    <w:p w14:paraId="143788FB">
      <w:pPr>
        <w:keepNext w:val="0"/>
        <w:keepLines w:val="0"/>
        <w:pageBreakBefore w:val="0"/>
        <w:widowControl w:val="0"/>
        <w:kinsoku/>
        <w:wordWrap/>
        <w:overflowPunct w:val="0"/>
        <w:topLinePunct w:val="0"/>
        <w:autoSpaceDE/>
        <w:autoSpaceDN/>
        <w:bidi w:val="0"/>
        <w:adjustRightInd w:val="0"/>
        <w:snapToGrid w:val="0"/>
        <w:spacing w:line="590" w:lineRule="exact"/>
        <w:ind w:firstLine="0" w:firstLineChars="0"/>
        <w:textAlignment w:val="baseline"/>
        <w:rPr>
          <w:rFonts w:hint="eastAsia" w:ascii="仿宋_GB2312" w:hAnsi="仿宋_GB2312" w:eastAsia="仿宋_GB2312" w:cs="仿宋_GB2312"/>
        </w:rPr>
      </w:pPr>
      <w:r>
        <w:rPr>
          <w:rFonts w:hint="eastAsia" w:ascii="仿宋_GB2312" w:hAnsi="仿宋_GB2312" w:eastAsia="仿宋_GB2312" w:cs="仿宋_GB2312"/>
        </w:rPr>
        <w:t>各街道办事处，区</w:t>
      </w:r>
      <w:r>
        <w:rPr>
          <w:rFonts w:hint="eastAsia" w:cs="仿宋_GB2312"/>
          <w:lang w:eastAsia="zh-CN"/>
        </w:rPr>
        <w:t>人民</w:t>
      </w:r>
      <w:r>
        <w:rPr>
          <w:rFonts w:hint="eastAsia" w:ascii="仿宋_GB2312" w:hAnsi="仿宋_GB2312" w:eastAsia="仿宋_GB2312" w:cs="仿宋_GB2312"/>
        </w:rPr>
        <w:t>政府各部门</w:t>
      </w:r>
      <w:r>
        <w:rPr>
          <w:rFonts w:hint="eastAsia" w:cs="仿宋_GB2312"/>
          <w:lang w:eastAsia="zh-CN"/>
        </w:rPr>
        <w:t>（单位）</w:t>
      </w:r>
      <w:r>
        <w:rPr>
          <w:rFonts w:hint="eastAsia" w:ascii="仿宋_GB2312" w:hAnsi="仿宋_GB2312" w:eastAsia="仿宋_GB2312" w:cs="仿宋_GB2312"/>
        </w:rPr>
        <w:t xml:space="preserve">：  </w:t>
      </w:r>
    </w:p>
    <w:p w14:paraId="68DBDE4F">
      <w:pPr>
        <w:keepNext w:val="0"/>
        <w:keepLines w:val="0"/>
        <w:pageBreakBefore w:val="0"/>
        <w:widowControl w:val="0"/>
        <w:kinsoku/>
        <w:wordWrap/>
        <w:overflowPunct w:val="0"/>
        <w:topLinePunct w:val="0"/>
        <w:autoSpaceDE/>
        <w:autoSpaceDN/>
        <w:bidi w:val="0"/>
        <w:adjustRightInd w:val="0"/>
        <w:snapToGrid w:val="0"/>
        <w:spacing w:line="590" w:lineRule="exact"/>
        <w:ind w:firstLine="640"/>
        <w:rPr>
          <w:rFonts w:hint="eastAsia" w:ascii="仿宋_GB2312" w:hAnsi="仿宋_GB2312" w:eastAsia="仿宋_GB2312" w:cs="仿宋_GB2312"/>
        </w:rPr>
      </w:pPr>
      <w:r>
        <w:rPr>
          <w:rFonts w:hint="eastAsia" w:ascii="仿宋_GB2312" w:hAnsi="仿宋_GB2312" w:eastAsia="仿宋_GB2312" w:cs="仿宋_GB2312"/>
        </w:rPr>
        <w:t>《</w:t>
      </w:r>
      <w:r>
        <w:rPr>
          <w:rFonts w:hint="eastAsia" w:ascii="仿宋_GB2312" w:hAnsi="仿宋_GB2312" w:eastAsia="仿宋_GB2312" w:cs="仿宋_GB2312"/>
          <w:lang w:val="en-US" w:eastAsia="zh-CN"/>
        </w:rPr>
        <w:t>济南市天桥区国民经济和社会发展第十五个五年规划纲要</w:t>
      </w:r>
      <w:r>
        <w:rPr>
          <w:rFonts w:hint="eastAsia" w:ascii="仿宋_GB2312" w:hAnsi="仿宋_GB2312" w:eastAsia="仿宋_GB2312" w:cs="仿宋_GB2312"/>
        </w:rPr>
        <w:t>》</w:t>
      </w:r>
      <w:r>
        <w:rPr>
          <w:rFonts w:hint="eastAsia" w:ascii="仿宋_GB2312" w:hAnsi="仿宋_GB2312" w:eastAsia="仿宋_GB2312" w:cs="仿宋_GB2312"/>
          <w:lang w:val="en-US" w:eastAsia="zh-CN"/>
        </w:rPr>
        <w:t>(以下简称《纲要》)</w:t>
      </w:r>
      <w:r>
        <w:rPr>
          <w:rFonts w:hint="eastAsia" w:ascii="仿宋_GB2312" w:hAnsi="仿宋_GB2312" w:eastAsia="仿宋_GB2312" w:cs="仿宋_GB2312"/>
        </w:rPr>
        <w:t>已经区第十</w:t>
      </w:r>
      <w:r>
        <w:rPr>
          <w:rFonts w:hint="eastAsia" w:cs="仿宋_GB2312"/>
          <w:lang w:eastAsia="zh-CN"/>
        </w:rPr>
        <w:t>九</w:t>
      </w:r>
      <w:r>
        <w:rPr>
          <w:rFonts w:hint="eastAsia" w:ascii="仿宋_GB2312" w:hAnsi="仿宋_GB2312" w:eastAsia="仿宋_GB2312" w:cs="仿宋_GB2312"/>
        </w:rPr>
        <w:t>届人民代表大会第</w:t>
      </w:r>
      <w:r>
        <w:rPr>
          <w:rFonts w:hint="eastAsia" w:cs="仿宋_GB2312"/>
          <w:lang w:eastAsia="zh-CN"/>
        </w:rPr>
        <w:t>六</w:t>
      </w:r>
      <w:r>
        <w:rPr>
          <w:rFonts w:hint="eastAsia" w:ascii="仿宋_GB2312" w:hAnsi="仿宋_GB2312" w:eastAsia="仿宋_GB2312" w:cs="仿宋_GB2312"/>
        </w:rPr>
        <w:t xml:space="preserve">次会议审查批准，现印发给你们，请认真组织实施。 </w:t>
      </w:r>
    </w:p>
    <w:p w14:paraId="0ADBFA1C">
      <w:pPr>
        <w:keepNext w:val="0"/>
        <w:keepLines w:val="0"/>
        <w:pageBreakBefore w:val="0"/>
        <w:widowControl w:val="0"/>
        <w:kinsoku/>
        <w:wordWrap/>
        <w:overflowPunct w:val="0"/>
        <w:topLinePunct w:val="0"/>
        <w:autoSpaceDE/>
        <w:autoSpaceDN/>
        <w:bidi w:val="0"/>
        <w:adjustRightInd w:val="0"/>
        <w:snapToGrid w:val="0"/>
        <w:spacing w:line="590" w:lineRule="exact"/>
        <w:ind w:firstLine="640"/>
        <w:textAlignment w:val="baseline"/>
        <w:rPr>
          <w:rFonts w:hint="eastAsia" w:ascii="仿宋_GB2312" w:hAnsi="仿宋_GB2312" w:eastAsia="仿宋_GB2312" w:cs="仿宋_GB2312"/>
        </w:rPr>
      </w:pPr>
      <w:r>
        <w:rPr>
          <w:rFonts w:hint="eastAsia" w:ascii="仿宋_GB2312" w:hAnsi="仿宋_GB2312" w:eastAsia="仿宋_GB2312" w:cs="仿宋_GB2312"/>
        </w:rPr>
        <w:t>《纲要》坚持以习近平新时代中国特色社会主义思想为指导，深入贯彻党的二十大和二十届历次全会精神，认真落实习近平总书记视察山东重要讲话和重要指示批示精神，完整准确全面贯彻新发展理念，主动服务和融入新发展格局，坚持稳中求进工作总基调，全面总结“十四五”时期发展成就，系统阐述“十五五”时期发展战略、总体目标、主要任务和重要举措，是“十五五”时期</w:t>
      </w:r>
      <w:r>
        <w:rPr>
          <w:rFonts w:hint="eastAsia" w:cs="仿宋_GB2312"/>
          <w:b w:val="0"/>
          <w:bCs w:val="0"/>
          <w:spacing w:val="-6"/>
          <w:kern w:val="2"/>
          <w:sz w:val="32"/>
          <w:szCs w:val="32"/>
          <w:u w:val="none"/>
          <w:lang w:val="en-US" w:eastAsia="zh-CN"/>
        </w:rPr>
        <w:t>现代化强区建设</w:t>
      </w:r>
      <w:r>
        <w:rPr>
          <w:rFonts w:hint="eastAsia" w:ascii="仿宋_GB2312" w:hAnsi="仿宋_GB2312" w:eastAsia="仿宋_GB2312" w:cs="仿宋_GB2312"/>
        </w:rPr>
        <w:t>的宏伟蓝图，是全区人民共同的行动纲领。</w:t>
      </w:r>
    </w:p>
    <w:p w14:paraId="3DD6B41C">
      <w:pPr>
        <w:keepNext w:val="0"/>
        <w:keepLines w:val="0"/>
        <w:pageBreakBefore w:val="0"/>
        <w:widowControl w:val="0"/>
        <w:kinsoku/>
        <w:wordWrap/>
        <w:overflowPunct w:val="0"/>
        <w:topLinePunct w:val="0"/>
        <w:autoSpaceDE/>
        <w:autoSpaceDN/>
        <w:bidi w:val="0"/>
        <w:adjustRightInd w:val="0"/>
        <w:snapToGrid w:val="0"/>
        <w:spacing w:line="590" w:lineRule="exact"/>
        <w:ind w:firstLine="640"/>
        <w:textAlignment w:val="baseline"/>
        <w:rPr>
          <w:rFonts w:hint="eastAsia" w:ascii="仿宋_GB2312" w:hAnsi="仿宋_GB2312" w:eastAsia="仿宋_GB2312" w:cs="仿宋_GB2312"/>
        </w:rPr>
      </w:pPr>
      <w:r>
        <w:rPr>
          <w:rFonts w:hint="eastAsia" w:ascii="仿宋_GB2312" w:hAnsi="仿宋_GB2312" w:eastAsia="仿宋_GB2312" w:cs="仿宋_GB2312"/>
        </w:rPr>
        <w:t>各街道办事处、区人民政府各部门</w:t>
      </w:r>
      <w:r>
        <w:rPr>
          <w:rFonts w:hint="eastAsia" w:cs="仿宋_GB2312"/>
          <w:lang w:eastAsia="zh-CN"/>
        </w:rPr>
        <w:t>（单位）</w:t>
      </w:r>
      <w:r>
        <w:rPr>
          <w:rFonts w:hint="eastAsia" w:ascii="仿宋_GB2312" w:hAnsi="仿宋_GB2312" w:eastAsia="仿宋_GB2312" w:cs="仿宋_GB2312"/>
        </w:rPr>
        <w:t>要坚定扛牢使命担当，深入学习领会《纲要》精神，结合实际认真抓好落实，保障《纲要》顺利实施，奋力谱写新时代社会主义现代化强区建设新篇章。</w:t>
      </w:r>
    </w:p>
    <w:p w14:paraId="1A10D74B">
      <w:pPr>
        <w:ind w:firstLine="640"/>
        <w:textAlignment w:val="baseline"/>
        <w:rPr>
          <w:rFonts w:hint="eastAsia" w:ascii="仿宋_GB2312" w:hAnsi="仿宋_GB2312" w:eastAsia="仿宋_GB2312" w:cs="仿宋_GB2312"/>
        </w:rPr>
      </w:pPr>
    </w:p>
    <w:p w14:paraId="7D93E718">
      <w:pPr>
        <w:ind w:firstLine="640"/>
        <w:textAlignment w:val="baseline"/>
        <w:rPr>
          <w:rFonts w:hint="eastAsia" w:ascii="仿宋_GB2312" w:hAnsi="仿宋_GB2312" w:eastAsia="仿宋_GB2312" w:cs="仿宋_GB2312"/>
        </w:rPr>
      </w:pPr>
    </w:p>
    <w:p w14:paraId="592A78F0">
      <w:pPr>
        <w:ind w:firstLine="640"/>
        <w:jc w:val="right"/>
        <w:textAlignment w:val="baseline"/>
        <w:rPr>
          <w:rFonts w:hint="eastAsia" w:ascii="仿宋_GB2312" w:hAnsi="仿宋_GB2312" w:eastAsia="仿宋_GB2312" w:cs="仿宋_GB2312"/>
        </w:rPr>
      </w:pPr>
      <w:r>
        <w:rPr>
          <w:rFonts w:hint="eastAsia" w:ascii="仿宋_GB2312" w:hAnsi="仿宋_GB2312" w:eastAsia="仿宋_GB2312" w:cs="仿宋_GB2312"/>
        </w:rPr>
        <w:t xml:space="preserve">济南市天桥区人民政府 </w:t>
      </w:r>
    </w:p>
    <w:p w14:paraId="2E922C13">
      <w:pPr>
        <w:ind w:firstLine="640"/>
        <w:jc w:val="center"/>
        <w:textAlignment w:val="baseline"/>
        <w:rPr>
          <w:rFonts w:hint="eastAsia" w:ascii="仿宋_GB2312" w:hAnsi="仿宋_GB2312" w:eastAsia="仿宋_GB2312" w:cs="仿宋_GB2312"/>
          <w:color w:val="000000"/>
          <w:sz w:val="36"/>
          <w:szCs w:val="44"/>
        </w:rPr>
      </w:pPr>
      <w:r>
        <w:rPr>
          <w:rFonts w:hint="eastAsia" w:cs="仿宋_GB2312"/>
          <w:lang w:val="en-US" w:eastAsia="zh-CN"/>
        </w:rPr>
        <w:t xml:space="preserve">                                </w:t>
      </w:r>
      <w:r>
        <w:rPr>
          <w:rFonts w:hint="eastAsia" w:ascii="仿宋_GB2312" w:hAnsi="仿宋_GB2312" w:eastAsia="仿宋_GB2312" w:cs="仿宋_GB2312"/>
        </w:rPr>
        <w:t>202</w:t>
      </w:r>
      <w:r>
        <w:rPr>
          <w:rFonts w:hint="default" w:cs="仿宋_GB2312"/>
          <w:lang w:val="en-US"/>
        </w:rPr>
        <w:t>6</w:t>
      </w:r>
      <w:r>
        <w:rPr>
          <w:rFonts w:hint="eastAsia" w:ascii="仿宋_GB2312" w:hAnsi="仿宋_GB2312" w:eastAsia="仿宋_GB2312" w:cs="仿宋_GB2312"/>
        </w:rPr>
        <w:t>年</w:t>
      </w:r>
      <w:r>
        <w:rPr>
          <w:rFonts w:hint="default" w:cs="仿宋_GB2312"/>
          <w:lang w:val="en-US"/>
        </w:rPr>
        <w:t>8</w:t>
      </w:r>
      <w:r>
        <w:rPr>
          <w:rFonts w:hint="eastAsia" w:ascii="仿宋_GB2312" w:hAnsi="仿宋_GB2312" w:eastAsia="仿宋_GB2312" w:cs="仿宋_GB2312"/>
        </w:rPr>
        <w:t>月</w:t>
      </w:r>
      <w:r>
        <w:rPr>
          <w:rFonts w:hint="eastAsia" w:cs="仿宋_GB2312"/>
          <w:lang w:val="en-US" w:eastAsia="zh-CN"/>
        </w:rPr>
        <w:t>24</w:t>
      </w:r>
      <w:r>
        <w:rPr>
          <w:rFonts w:hint="eastAsia" w:ascii="仿宋_GB2312" w:hAnsi="仿宋_GB2312" w:eastAsia="仿宋_GB2312" w:cs="仿宋_GB2312"/>
        </w:rPr>
        <w:t>日</w:t>
      </w:r>
    </w:p>
    <w:p w14:paraId="1B50DD36">
      <w:pPr>
        <w:ind w:firstLine="0" w:firstLineChars="0"/>
        <w:jc w:val="center"/>
        <w:textAlignment w:val="baseline"/>
        <w:rPr>
          <w:rFonts w:ascii="Times New Roman" w:hAnsi="Times New Roman" w:eastAsia="文星标宋" w:cs="Times New Roman"/>
          <w:color w:val="000000"/>
          <w:sz w:val="36"/>
          <w:szCs w:val="44"/>
        </w:rPr>
      </w:pPr>
    </w:p>
    <w:p w14:paraId="199DA193">
      <w:pPr>
        <w:ind w:firstLine="0" w:firstLineChars="0"/>
        <w:jc w:val="left"/>
        <w:textAlignment w:val="baseline"/>
      </w:pPr>
      <w:r>
        <w:t>（联系电话：</w:t>
      </w:r>
      <w:r>
        <w:rPr>
          <w:rFonts w:hint="eastAsia"/>
        </w:rPr>
        <w:t>区</w:t>
      </w:r>
      <w:r>
        <w:t>发展改革</w:t>
      </w:r>
      <w:r>
        <w:rPr>
          <w:rFonts w:hint="eastAsia"/>
        </w:rPr>
        <w:t>局国民经济</w:t>
      </w:r>
      <w:r>
        <w:t>综合科，855599</w:t>
      </w:r>
      <w:r>
        <w:rPr>
          <w:rFonts w:hint="eastAsia"/>
          <w:lang w:val="en-US" w:eastAsia="zh-CN"/>
        </w:rPr>
        <w:t>01</w:t>
      </w:r>
      <w:r>
        <w:t xml:space="preserve">） </w:t>
      </w:r>
    </w:p>
    <w:p w14:paraId="62B6662D">
      <w:pPr>
        <w:ind w:firstLine="0" w:firstLineChars="0"/>
        <w:jc w:val="left"/>
        <w:textAlignment w:val="baseline"/>
        <w:rPr>
          <w:rFonts w:ascii="Times New Roman" w:hAnsi="Times New Roman" w:eastAsia="文星标宋" w:cs="Times New Roman"/>
          <w:color w:val="000000"/>
          <w:sz w:val="36"/>
          <w:szCs w:val="44"/>
        </w:rPr>
      </w:pPr>
      <w:r>
        <w:t>（此件公开发布）</w:t>
      </w:r>
    </w:p>
    <w:p w14:paraId="1107806B">
      <w:pPr>
        <w:ind w:firstLine="0" w:firstLineChars="0"/>
        <w:jc w:val="center"/>
        <w:textAlignment w:val="baseline"/>
        <w:rPr>
          <w:rFonts w:ascii="Times New Roman" w:hAnsi="Times New Roman" w:eastAsia="文星标宋" w:cs="Times New Roman"/>
          <w:color w:val="000000"/>
          <w:sz w:val="36"/>
          <w:szCs w:val="44"/>
        </w:rPr>
      </w:pPr>
    </w:p>
    <w:p w14:paraId="5B9886F3">
      <w:pPr>
        <w:rPr>
          <w:rFonts w:hint="eastAsia"/>
          <w:lang w:val="en-US" w:eastAsia="zh-CN"/>
        </w:rPr>
      </w:pPr>
      <w:r>
        <w:rPr>
          <w:rFonts w:hint="eastAsia"/>
          <w:lang w:val="en-US" w:eastAsia="zh-CN"/>
        </w:rPr>
        <w:br w:type="page"/>
      </w:r>
    </w:p>
    <w:p w14:paraId="1DF7EBF2">
      <w:pPr>
        <w:ind w:left="0" w:leftChars="0" w:firstLine="0" w:firstLineChars="0"/>
        <w:rPr>
          <w:rFonts w:hint="eastAsia"/>
          <w:lang w:val="en-US" w:eastAsia="zh-CN"/>
        </w:rPr>
      </w:pPr>
    </w:p>
    <w:p w14:paraId="3E603ED7">
      <w:pPr>
        <w:wordWrap/>
        <w:overflowPunct/>
        <w:adjustRightInd/>
        <w:snapToGrid/>
        <w:spacing w:line="240" w:lineRule="auto"/>
        <w:ind w:firstLine="0" w:firstLineChars="0"/>
        <w:jc w:val="center"/>
        <w:rPr>
          <w:rFonts w:hint="eastAsia" w:ascii="方正小标宋简体" w:hAnsi="方正小标宋简体" w:eastAsia="方正小标宋简体" w:cs="方正小标宋简体"/>
          <w:b w:val="0"/>
          <w:bCs w:val="0"/>
          <w:kern w:val="2"/>
          <w:sz w:val="60"/>
          <w:szCs w:val="60"/>
          <w:lang w:val="en-US" w:eastAsia="zh-CN" w:bidi="ar-SA"/>
        </w:rPr>
      </w:pPr>
      <w:r>
        <w:rPr>
          <w:rFonts w:hint="eastAsia" w:ascii="方正小标宋简体" w:hAnsi="方正小标宋简体" w:eastAsia="方正小标宋简体" w:cs="方正小标宋简体"/>
          <w:b w:val="0"/>
          <w:bCs w:val="0"/>
          <w:kern w:val="2"/>
          <w:sz w:val="60"/>
          <w:szCs w:val="60"/>
          <w:lang w:val="en-US" w:eastAsia="zh-CN" w:bidi="ar-SA"/>
        </w:rPr>
        <w:t>济南市天桥区国民经济和社会</w:t>
      </w:r>
    </w:p>
    <w:p w14:paraId="37FEB1AE">
      <w:pPr>
        <w:wordWrap/>
        <w:overflowPunct/>
        <w:adjustRightInd/>
        <w:snapToGrid/>
        <w:spacing w:line="240" w:lineRule="auto"/>
        <w:ind w:firstLine="0" w:firstLineChars="0"/>
        <w:jc w:val="center"/>
        <w:rPr>
          <w:rFonts w:hint="eastAsia" w:ascii="方正小标宋简体" w:hAnsi="方正小标宋简体" w:eastAsia="方正小标宋简体" w:cs="方正小标宋简体"/>
          <w:b w:val="0"/>
          <w:bCs w:val="0"/>
          <w:kern w:val="2"/>
          <w:sz w:val="60"/>
          <w:szCs w:val="60"/>
          <w:lang w:val="en-US" w:eastAsia="zh-CN" w:bidi="ar-SA"/>
        </w:rPr>
      </w:pPr>
      <w:r>
        <w:rPr>
          <w:rFonts w:hint="eastAsia" w:ascii="方正小标宋简体" w:hAnsi="方正小标宋简体" w:eastAsia="方正小标宋简体" w:cs="方正小标宋简体"/>
          <w:b w:val="0"/>
          <w:bCs w:val="0"/>
          <w:kern w:val="2"/>
          <w:sz w:val="60"/>
          <w:szCs w:val="60"/>
          <w:lang w:val="en-US" w:eastAsia="zh-CN" w:bidi="ar-SA"/>
        </w:rPr>
        <w:t>发展第十五个五年规划纲要</w:t>
      </w:r>
    </w:p>
    <w:p w14:paraId="50C83757">
      <w:pPr>
        <w:wordWrap/>
        <w:overflowPunct/>
        <w:adjustRightInd/>
        <w:snapToGrid/>
        <w:spacing w:line="240" w:lineRule="auto"/>
        <w:ind w:firstLine="0" w:firstLineChars="0"/>
        <w:jc w:val="center"/>
        <w:rPr>
          <w:rFonts w:hint="eastAsia" w:ascii="方正小标宋简体" w:hAnsi="方正小标宋简体" w:eastAsia="方正小标宋简体" w:cs="方正小标宋简体"/>
          <w:b w:val="0"/>
          <w:bCs w:val="0"/>
          <w:kern w:val="2"/>
          <w:sz w:val="60"/>
          <w:szCs w:val="60"/>
          <w:lang w:val="en-US" w:eastAsia="zh-CN" w:bidi="ar-SA"/>
        </w:rPr>
      </w:pPr>
    </w:p>
    <w:p w14:paraId="3C2C4340">
      <w:pPr>
        <w:keepNext w:val="0"/>
        <w:keepLines w:val="0"/>
        <w:pageBreakBefore w:val="0"/>
        <w:widowControl w:val="0"/>
        <w:kinsoku/>
        <w:wordWrap/>
        <w:overflowPunct w:val="0"/>
        <w:topLinePunct w:val="0"/>
        <w:autoSpaceDE/>
        <w:autoSpaceDN/>
        <w:bidi w:val="0"/>
        <w:adjustRightInd w:val="0"/>
        <w:snapToGrid w:val="0"/>
        <w:ind w:firstLine="0" w:firstLineChars="0"/>
        <w:jc w:val="center"/>
        <w:textAlignment w:val="auto"/>
        <w:rPr>
          <w:rFonts w:hint="eastAsia" w:ascii="方正小标宋简体" w:hAnsi="方正小标宋简体" w:eastAsia="方正小标宋简体" w:cs="方正小标宋简体"/>
          <w:b w:val="0"/>
          <w:bCs w:val="0"/>
          <w:color w:val="000000" w:themeColor="text1"/>
          <w:kern w:val="2"/>
          <w:sz w:val="52"/>
          <w:szCs w:val="52"/>
          <w:u w:val="none"/>
          <w:lang w:val="en-US" w:eastAsia="zh-CN" w:bidi="ar-SA"/>
          <w14:textFill>
            <w14:solidFill>
              <w14:schemeClr w14:val="tx1"/>
            </w14:solidFill>
          </w14:textFill>
        </w:rPr>
      </w:pPr>
    </w:p>
    <w:p w14:paraId="4AEA79B4">
      <w:pPr>
        <w:pStyle w:val="8"/>
        <w:rPr>
          <w:rFonts w:hint="eastAsia" w:ascii="方正小标宋简体" w:hAnsi="方正小标宋简体" w:eastAsia="方正小标宋简体" w:cs="方正小标宋简体"/>
          <w:b w:val="0"/>
          <w:bCs w:val="0"/>
          <w:kern w:val="2"/>
          <w:sz w:val="60"/>
          <w:szCs w:val="60"/>
          <w:lang w:val="en-US" w:eastAsia="zh-CN" w:bidi="ar-SA"/>
        </w:rPr>
      </w:pPr>
    </w:p>
    <w:p w14:paraId="35E24143">
      <w:pPr>
        <w:rPr>
          <w:rFonts w:hint="eastAsia" w:ascii="方正小标宋简体" w:hAnsi="方正小标宋简体" w:eastAsia="方正小标宋简体" w:cs="方正小标宋简体"/>
          <w:b w:val="0"/>
          <w:bCs w:val="0"/>
          <w:kern w:val="2"/>
          <w:sz w:val="60"/>
          <w:szCs w:val="60"/>
          <w:lang w:val="en-US" w:eastAsia="zh-CN" w:bidi="ar-SA"/>
        </w:rPr>
      </w:pPr>
    </w:p>
    <w:p w14:paraId="5CF01033">
      <w:pPr>
        <w:pStyle w:val="8"/>
        <w:rPr>
          <w:rFonts w:hint="eastAsia"/>
          <w:lang w:val="en-US" w:eastAsia="zh-CN"/>
        </w:rPr>
      </w:pPr>
    </w:p>
    <w:p w14:paraId="65955183">
      <w:pPr>
        <w:rPr>
          <w:rFonts w:hint="eastAsia" w:ascii="方正小标宋简体" w:hAnsi="方正小标宋简体" w:eastAsia="方正小标宋简体" w:cs="方正小标宋简体"/>
          <w:b w:val="0"/>
          <w:bCs w:val="0"/>
          <w:kern w:val="2"/>
          <w:sz w:val="60"/>
          <w:szCs w:val="60"/>
          <w:lang w:val="en-US" w:eastAsia="zh-CN" w:bidi="ar-SA"/>
        </w:rPr>
      </w:pPr>
    </w:p>
    <w:p w14:paraId="48157C44">
      <w:pPr>
        <w:pStyle w:val="8"/>
        <w:rPr>
          <w:rFonts w:hint="eastAsia" w:ascii="方正小标宋简体" w:hAnsi="方正小标宋简体" w:eastAsia="方正小标宋简体" w:cs="方正小标宋简体"/>
          <w:b w:val="0"/>
          <w:bCs w:val="0"/>
          <w:kern w:val="2"/>
          <w:sz w:val="60"/>
          <w:szCs w:val="60"/>
          <w:lang w:val="en-US" w:eastAsia="zh-CN" w:bidi="ar-SA"/>
        </w:rPr>
      </w:pPr>
    </w:p>
    <w:p w14:paraId="0F948724">
      <w:pPr>
        <w:rPr>
          <w:rFonts w:hint="eastAsia" w:ascii="方正小标宋简体" w:hAnsi="方正小标宋简体" w:eastAsia="方正小标宋简体" w:cs="方正小标宋简体"/>
          <w:b w:val="0"/>
          <w:bCs w:val="0"/>
          <w:kern w:val="2"/>
          <w:sz w:val="60"/>
          <w:szCs w:val="60"/>
          <w:lang w:val="en-US" w:eastAsia="zh-CN" w:bidi="ar-SA"/>
        </w:rPr>
      </w:pPr>
    </w:p>
    <w:p w14:paraId="05E5861C">
      <w:pPr>
        <w:pStyle w:val="8"/>
        <w:rPr>
          <w:rFonts w:hint="eastAsia" w:ascii="方正小标宋简体" w:hAnsi="方正小标宋简体" w:eastAsia="方正小标宋简体" w:cs="方正小标宋简体"/>
          <w:b w:val="0"/>
          <w:bCs w:val="0"/>
          <w:kern w:val="2"/>
          <w:sz w:val="60"/>
          <w:szCs w:val="60"/>
          <w:lang w:val="en-US" w:eastAsia="zh-CN" w:bidi="ar-SA"/>
        </w:rPr>
      </w:pPr>
    </w:p>
    <w:p w14:paraId="657B796F">
      <w:pPr>
        <w:keepNext w:val="0"/>
        <w:keepLines w:val="0"/>
        <w:pageBreakBefore w:val="0"/>
        <w:widowControl w:val="0"/>
        <w:kinsoku/>
        <w:wordWrap/>
        <w:overflowPunct w:val="0"/>
        <w:topLinePunct w:val="0"/>
        <w:autoSpaceDE/>
        <w:autoSpaceDN/>
        <w:bidi w:val="0"/>
        <w:adjustRightInd w:val="0"/>
        <w:snapToGrid w:val="0"/>
        <w:spacing w:beforeAutospacing="0" w:line="600" w:lineRule="exact"/>
        <w:ind w:firstLine="0" w:firstLineChars="0"/>
        <w:jc w:val="center"/>
        <w:textAlignment w:val="auto"/>
        <w:rPr>
          <w:rFonts w:hint="eastAsia" w:ascii="楷体_GB2312" w:hAnsi="楷体_GB2312" w:eastAsia="楷体_GB2312" w:cs="楷体_GB2312"/>
          <w:b w:val="0"/>
          <w:bCs w:val="0"/>
          <w:kern w:val="2"/>
          <w:sz w:val="44"/>
          <w:szCs w:val="52"/>
          <w:lang w:val="en-US" w:eastAsia="zh-CN" w:bidi="ar-SA"/>
        </w:rPr>
      </w:pPr>
    </w:p>
    <w:p w14:paraId="31A8540F">
      <w:pPr>
        <w:keepNext w:val="0"/>
        <w:keepLines w:val="0"/>
        <w:pageBreakBefore w:val="0"/>
        <w:widowControl w:val="0"/>
        <w:kinsoku/>
        <w:wordWrap/>
        <w:overflowPunct w:val="0"/>
        <w:topLinePunct w:val="0"/>
        <w:autoSpaceDE/>
        <w:autoSpaceDN/>
        <w:bidi w:val="0"/>
        <w:adjustRightInd w:val="0"/>
        <w:snapToGrid w:val="0"/>
        <w:spacing w:beforeAutospacing="0" w:line="600" w:lineRule="exact"/>
        <w:ind w:firstLine="0" w:firstLineChars="0"/>
        <w:jc w:val="center"/>
        <w:textAlignment w:val="auto"/>
        <w:rPr>
          <w:rFonts w:hint="eastAsia" w:ascii="楷体_GB2312" w:hAnsi="楷体_GB2312" w:eastAsia="楷体_GB2312" w:cs="楷体_GB2312"/>
          <w:b w:val="0"/>
          <w:bCs w:val="0"/>
          <w:color w:val="0000FF"/>
          <w:kern w:val="2"/>
          <w:sz w:val="44"/>
          <w:szCs w:val="52"/>
          <w:u w:val="single"/>
          <w:lang w:val="en-US" w:eastAsia="zh-CN" w:bidi="ar-SA"/>
        </w:rPr>
      </w:pPr>
      <w:r>
        <w:rPr>
          <w:rFonts w:hint="eastAsia" w:ascii="楷体_GB2312" w:hAnsi="楷体_GB2312" w:eastAsia="楷体_GB2312" w:cs="楷体_GB2312"/>
          <w:b w:val="0"/>
          <w:bCs w:val="0"/>
          <w:kern w:val="2"/>
          <w:sz w:val="44"/>
          <w:szCs w:val="52"/>
          <w:lang w:val="en-US" w:eastAsia="zh-CN" w:bidi="ar-SA"/>
        </w:rPr>
        <w:t>2026年</w:t>
      </w:r>
      <w:r>
        <w:rPr>
          <w:rFonts w:hint="eastAsia" w:ascii="楷体_GB2312" w:hAnsi="楷体_GB2312" w:eastAsia="楷体_GB2312" w:cs="楷体_GB2312"/>
          <w:b w:val="0"/>
          <w:bCs w:val="0"/>
          <w:color w:val="000000" w:themeColor="text1"/>
          <w:kern w:val="2"/>
          <w:sz w:val="44"/>
          <w:szCs w:val="52"/>
          <w:u w:val="none"/>
          <w:lang w:val="en-US" w:eastAsia="zh-CN" w:bidi="ar-SA"/>
          <w14:textFill>
            <w14:solidFill>
              <w14:schemeClr w14:val="tx1"/>
            </w14:solidFill>
          </w14:textFill>
        </w:rPr>
        <w:t>8月</w:t>
      </w:r>
    </w:p>
    <w:p w14:paraId="386FA405">
      <w:pPr>
        <w:rPr>
          <w:rFonts w:hint="eastAsia"/>
          <w:lang w:val="en-US" w:eastAsia="zh-CN"/>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E5A595C">
      <w:pPr>
        <w:ind w:left="0" w:leftChars="0" w:firstLine="0" w:firstLineChars="0"/>
        <w:rPr>
          <w:rFonts w:hint="eastAsia"/>
          <w:lang w:val="en-US" w:eastAsia="zh-CN"/>
        </w:rPr>
        <w:sectPr>
          <w:pgSz w:w="11906" w:h="16838"/>
          <w:pgMar w:top="2098" w:right="1474" w:bottom="1984" w:left="1587" w:header="851" w:footer="992" w:gutter="0"/>
          <w:pgBorders>
            <w:top w:val="none" w:sz="0" w:space="0"/>
            <w:left w:val="none" w:sz="0" w:space="0"/>
            <w:bottom w:val="none" w:sz="0" w:space="0"/>
            <w:right w:val="none" w:sz="0" w:space="0"/>
          </w:pgBorders>
          <w:pgNumType w:fmt="decimal"/>
          <w:cols w:space="425" w:num="1"/>
          <w:docGrid w:type="lines" w:linePitch="312" w:charSpace="0"/>
        </w:sectPr>
      </w:pPr>
    </w:p>
    <w:sdt>
      <w:sdtPr>
        <w:rPr>
          <w:rFonts w:hint="eastAsia" w:ascii="方正小标宋_GBK" w:hAnsi="方正小标宋_GBK" w:eastAsia="方正小标宋_GBK" w:cs="方正小标宋_GBK"/>
          <w:sz w:val="44"/>
          <w:szCs w:val="44"/>
          <w:lang w:val="en-US" w:eastAsia="zh-CN" w:bidi="ar-SA"/>
        </w:rPr>
        <w:id w:val="147477072"/>
        <w15:color w:val="DBDBDB"/>
        <w:docPartObj>
          <w:docPartGallery w:val="Table of Contents"/>
          <w:docPartUnique/>
        </w:docPartObj>
      </w:sdtPr>
      <w:sdtEndPr>
        <w:rPr>
          <w:rFonts w:hint="eastAsia" w:ascii="方正小标宋简体" w:hAnsi="方正小标宋简体" w:eastAsia="方正小标宋简体" w:cs="方正小标宋简体"/>
          <w:bCs w:val="0"/>
          <w:spacing w:val="-6"/>
          <w:kern w:val="2"/>
          <w:sz w:val="32"/>
          <w:szCs w:val="32"/>
          <w:u w:val="none"/>
          <w:lang w:val="en-US" w:eastAsia="zh-CN" w:bidi="ar-SA"/>
        </w:rPr>
      </w:sdtEndPr>
      <w:sdtContent>
        <w:p w14:paraId="4B1970AC">
          <w:pPr>
            <w:spacing w:before="0" w:beforeLines="0" w:after="0" w:afterLines="0" w:line="240" w:lineRule="auto"/>
            <w:ind w:left="0" w:leftChars="0" w:right="0" w:rightChars="0" w:firstLine="0" w:firstLineChars="0"/>
            <w:jc w:val="center"/>
            <w:rPr>
              <w:rFonts w:hint="eastAsia" w:ascii="方正小标宋_GBK" w:hAnsi="方正小标宋_GBK" w:eastAsia="方正小标宋_GBK" w:cs="方正小标宋_GBK"/>
              <w:bCs w:val="0"/>
              <w:spacing w:val="-6"/>
              <w:kern w:val="2"/>
              <w:sz w:val="44"/>
              <w:szCs w:val="44"/>
              <w:lang w:val="en-US" w:eastAsia="zh-CN" w:bidi="ar-SA"/>
            </w:rPr>
          </w:pPr>
          <w:bookmarkStart w:id="0" w:name="_Toc4032"/>
          <w:bookmarkStart w:id="1" w:name="_Toc6318"/>
          <w:bookmarkStart w:id="2" w:name="_Toc22875"/>
          <w:bookmarkStart w:id="3" w:name="_Toc1078"/>
          <w:r>
            <w:rPr>
              <w:rFonts w:hint="eastAsia" w:ascii="方正小标宋_GBK" w:hAnsi="方正小标宋_GBK" w:eastAsia="方正小标宋_GBK" w:cs="方正小标宋_GBK"/>
              <w:bCs w:val="0"/>
              <w:spacing w:val="-6"/>
              <w:kern w:val="2"/>
              <w:sz w:val="44"/>
              <w:szCs w:val="44"/>
              <w:lang w:val="en-US" w:eastAsia="zh-CN" w:bidi="ar-SA"/>
            </w:rPr>
            <w:t>目  录</w:t>
          </w:r>
        </w:p>
        <w:p w14:paraId="605EF211">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pPr>
          <w:r>
            <w:rPr>
              <w:rFonts w:hint="eastAsia" w:ascii="楷体_GB2312" w:hAnsi="楷体_GB2312" w:eastAsia="楷体_GB2312" w:cs="楷体_GB2312"/>
              <w:b w:val="0"/>
              <w:bCs w:val="0"/>
              <w:spacing w:val="-6"/>
              <w:kern w:val="2"/>
              <w:sz w:val="32"/>
              <w:szCs w:val="32"/>
              <w:u w:val="none"/>
              <w:lang w:val="en-US" w:eastAsia="zh-CN"/>
            </w:rPr>
            <w:fldChar w:fldCharType="begin"/>
          </w:r>
          <w:r>
            <w:rPr>
              <w:rFonts w:hint="eastAsia" w:ascii="楷体_GB2312" w:hAnsi="楷体_GB2312" w:eastAsia="楷体_GB2312" w:cs="楷体_GB2312"/>
              <w:b w:val="0"/>
              <w:bCs w:val="0"/>
              <w:spacing w:val="-6"/>
              <w:kern w:val="2"/>
              <w:sz w:val="32"/>
              <w:szCs w:val="32"/>
              <w:u w:val="none"/>
              <w:lang w:val="en-US" w:eastAsia="zh-CN"/>
            </w:rPr>
            <w:instrText xml:space="preserve">TOC \o "1-2" \h \u </w:instrText>
          </w:r>
          <w:r>
            <w:rPr>
              <w:rFonts w:hint="eastAsia" w:ascii="楷体_GB2312" w:hAnsi="楷体_GB2312" w:eastAsia="楷体_GB2312" w:cs="楷体_GB2312"/>
              <w:b w:val="0"/>
              <w:bCs w:val="0"/>
              <w:spacing w:val="-6"/>
              <w:kern w:val="2"/>
              <w:sz w:val="32"/>
              <w:szCs w:val="32"/>
              <w:u w:val="none"/>
              <w:lang w:val="en-US" w:eastAsia="zh-CN"/>
            </w:rPr>
            <w:fldChar w:fldCharType="separate"/>
          </w:r>
          <w:r>
            <w:rPr>
              <w:rFonts w:hint="eastAsia" w:ascii="黑体" w:hAnsi="黑体" w:eastAsia="黑体" w:cs="黑体"/>
              <w:bCs w:val="0"/>
              <w:spacing w:val="-6"/>
              <w:kern w:val="2"/>
              <w:szCs w:val="32"/>
              <w:u w:val="none"/>
              <w:lang w:val="en-US" w:eastAsia="zh-CN"/>
            </w:rPr>
            <w:fldChar w:fldCharType="begin"/>
          </w:r>
          <w:r>
            <w:rPr>
              <w:rFonts w:hint="eastAsia" w:ascii="黑体" w:hAnsi="黑体" w:eastAsia="黑体" w:cs="黑体"/>
              <w:bCs w:val="0"/>
              <w:spacing w:val="-6"/>
              <w:kern w:val="2"/>
              <w:szCs w:val="32"/>
              <w:lang w:val="en-US" w:eastAsia="zh-CN"/>
            </w:rPr>
            <w:instrText xml:space="preserve"> HYPERLINK \l _Toc211566345 </w:instrText>
          </w:r>
          <w:r>
            <w:rPr>
              <w:rFonts w:hint="eastAsia" w:ascii="黑体" w:hAnsi="黑体" w:eastAsia="黑体" w:cs="黑体"/>
              <w:bCs w:val="0"/>
              <w:spacing w:val="-6"/>
              <w:kern w:val="2"/>
              <w:szCs w:val="32"/>
              <w:lang w:val="en-US" w:eastAsia="zh-CN"/>
            </w:rPr>
            <w:fldChar w:fldCharType="separate"/>
          </w:r>
          <w:r>
            <w:rPr>
              <w:rFonts w:hint="eastAsia" w:ascii="黑体" w:hAnsi="黑体" w:eastAsia="黑体" w:cs="黑体"/>
              <w:bCs w:val="0"/>
              <w:spacing w:val="-6"/>
              <w:kern w:val="2"/>
              <w:szCs w:val="32"/>
              <w:lang w:val="en-US" w:eastAsia="zh-CN"/>
            </w:rPr>
            <w:t>第一章  开创高质量发展新征程</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_Toc211566345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bCs w:val="0"/>
              <w:spacing w:val="-6"/>
              <w:kern w:val="2"/>
              <w:szCs w:val="32"/>
              <w:u w:val="none"/>
              <w:lang w:val="en-US" w:eastAsia="zh-CN"/>
            </w:rPr>
            <w:fldChar w:fldCharType="end"/>
          </w:r>
        </w:p>
        <w:p w14:paraId="430077FB">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_Toc1548478404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第一节  发展基础</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_Toc1548478404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1</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4F9AD9D2">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_Toc437075375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第二节  发展形势</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_Toc437075375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6</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2662AFB2">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_Toc483078225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第三节  机遇挑战</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_Toc483078225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7</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6DF0F66">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_Toc1582145614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第四节  指导思想</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_Toc1582145614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8</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2BEE3AD8">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_Toc154983005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第五节  基本原则</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_Toc154983005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9</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43D10D1C">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_Toc121195179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第六节  发展目标</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_Toc121195179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10</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7A51A6CC">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rPr>
              <w:rFonts w:hint="eastAsia" w:ascii="黑体" w:hAnsi="黑体" w:eastAsia="黑体" w:cs="黑体"/>
            </w:rPr>
          </w:pPr>
          <w:r>
            <w:rPr>
              <w:rFonts w:hint="eastAsia" w:ascii="黑体" w:hAnsi="黑体" w:eastAsia="黑体" w:cs="黑体"/>
              <w:bCs w:val="0"/>
              <w:spacing w:val="-6"/>
              <w:kern w:val="2"/>
              <w:szCs w:val="32"/>
              <w:u w:val="none"/>
              <w:lang w:val="en-US" w:eastAsia="zh-CN"/>
            </w:rPr>
            <w:fldChar w:fldCharType="begin"/>
          </w:r>
          <w:r>
            <w:rPr>
              <w:rFonts w:hint="eastAsia" w:ascii="黑体" w:hAnsi="黑体" w:eastAsia="黑体" w:cs="黑体"/>
              <w:bCs w:val="0"/>
              <w:spacing w:val="-6"/>
              <w:kern w:val="2"/>
              <w:szCs w:val="32"/>
              <w:lang w:val="en-US" w:eastAsia="zh-CN"/>
            </w:rPr>
            <w:instrText xml:space="preserve"> HYPERLINK \l _Toc1015282549 </w:instrText>
          </w:r>
          <w:r>
            <w:rPr>
              <w:rFonts w:hint="eastAsia" w:ascii="黑体" w:hAnsi="黑体" w:eastAsia="黑体" w:cs="黑体"/>
              <w:bCs w:val="0"/>
              <w:spacing w:val="-6"/>
              <w:kern w:val="2"/>
              <w:szCs w:val="32"/>
              <w:lang w:val="en-US" w:eastAsia="zh-CN"/>
            </w:rPr>
            <w:fldChar w:fldCharType="separate"/>
          </w:r>
          <w:r>
            <w:rPr>
              <w:rFonts w:hint="eastAsia" w:ascii="黑体" w:hAnsi="黑体" w:eastAsia="黑体" w:cs="黑体"/>
              <w:bCs w:val="0"/>
              <w:spacing w:val="-6"/>
              <w:kern w:val="2"/>
              <w:szCs w:val="32"/>
              <w:lang w:val="en-US" w:eastAsia="zh-CN"/>
            </w:rPr>
            <w:t>第二章  加快构建现代产业体系</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_Toc1015282549 \h </w:instrText>
          </w:r>
          <w:r>
            <w:rPr>
              <w:rFonts w:hint="eastAsia" w:ascii="黑体" w:hAnsi="黑体" w:eastAsia="黑体" w:cs="黑体"/>
            </w:rPr>
            <w:fldChar w:fldCharType="separate"/>
          </w:r>
          <w:r>
            <w:rPr>
              <w:rFonts w:hint="eastAsia" w:ascii="黑体" w:hAnsi="黑体" w:eastAsia="黑体" w:cs="黑体"/>
            </w:rPr>
            <w:t>14</w:t>
          </w:r>
          <w:r>
            <w:rPr>
              <w:rFonts w:hint="eastAsia" w:ascii="黑体" w:hAnsi="黑体" w:eastAsia="黑体" w:cs="黑体"/>
            </w:rPr>
            <w:fldChar w:fldCharType="end"/>
          </w:r>
          <w:r>
            <w:rPr>
              <w:rFonts w:hint="eastAsia" w:ascii="黑体" w:hAnsi="黑体" w:eastAsia="黑体" w:cs="黑体"/>
              <w:bCs w:val="0"/>
              <w:spacing w:val="-6"/>
              <w:kern w:val="2"/>
              <w:szCs w:val="32"/>
              <w:u w:val="none"/>
              <w:lang w:val="en-US" w:eastAsia="zh-CN"/>
            </w:rPr>
            <w:fldChar w:fldCharType="end"/>
          </w:r>
        </w:p>
        <w:p w14:paraId="10C84E33">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_Toc608688467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第一节  </w:t>
          </w:r>
          <w:r>
            <w:rPr>
              <w:rFonts w:hint="eastAsia" w:ascii="楷体_GB2312" w:hAnsi="楷体_GB2312" w:eastAsia="楷体_GB2312" w:cs="楷体_GB2312"/>
              <w:sz w:val="32"/>
              <w:szCs w:val="32"/>
            </w:rPr>
            <w:t>推进工业强区建设</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_Toc608688467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14</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5FCB4497">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_Toc1788816218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highlight w:val="none"/>
              <w:lang w:val="en-US" w:eastAsia="zh-CN"/>
            </w:rPr>
            <w:t xml:space="preserve">第二节  </w:t>
          </w:r>
          <w:r>
            <w:rPr>
              <w:rFonts w:hint="eastAsia" w:ascii="楷体_GB2312" w:hAnsi="楷体_GB2312" w:eastAsia="楷体_GB2312" w:cs="楷体_GB2312"/>
              <w:sz w:val="32"/>
              <w:szCs w:val="32"/>
            </w:rPr>
            <w:t>促进服务业优质高效发展</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_Toc1788816218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16</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43FDFE1">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bCs w:val="0"/>
              <w:spacing w:val="-6"/>
              <w:kern w:val="2"/>
              <w:sz w:val="32"/>
              <w:szCs w:val="32"/>
              <w:u w:val="none"/>
              <w:lang w:val="en-US" w:eastAsia="zh-CN"/>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_Toc432915694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highlight w:val="none"/>
              <w:lang w:val="en-US" w:eastAsia="zh-CN"/>
            </w:rPr>
            <w:t xml:space="preserve">第三节  </w:t>
          </w:r>
          <w:r>
            <w:rPr>
              <w:rFonts w:hint="eastAsia" w:ascii="楷体_GB2312" w:hAnsi="楷体_GB2312" w:eastAsia="楷体_GB2312" w:cs="楷体_GB2312"/>
              <w:sz w:val="32"/>
              <w:szCs w:val="32"/>
            </w:rPr>
            <w:t>加快商贸业转型升级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_Toc432915694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17</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4A257656">
          <w:pPr>
            <w:spacing w:line="580" w:lineRule="exact"/>
            <w:ind w:left="0" w:leftChars="0" w:firstLine="640" w:firstLineChars="200"/>
            <w:rPr>
              <w:rFonts w:hint="default" w:ascii="楷体_GB2312" w:hAnsi="楷体_GB2312" w:eastAsia="楷体_GB2312" w:cs="楷体_GB2312"/>
              <w:kern w:val="2"/>
              <w:szCs w:val="32"/>
            </w:rPr>
          </w:pPr>
          <w:r>
            <w:rPr>
              <w:rFonts w:hint="eastAsia" w:ascii="楷体_GB2312" w:hAnsi="楷体_GB2312" w:eastAsia="楷体_GB2312" w:cs="楷体_GB2312"/>
              <w:kern w:val="2"/>
              <w:szCs w:val="32"/>
              <w:lang w:val="en-US" w:eastAsia="zh-CN"/>
            </w:rPr>
            <w:t>第四节  精准发力招商引资.</w:t>
          </w:r>
          <w:r>
            <w:rPr>
              <w:rFonts w:hint="eastAsia" w:ascii="楷体_GB2312" w:hAnsi="楷体_GB2312" w:eastAsia="楷体_GB2312" w:cs="楷体_GB2312"/>
              <w:kern w:val="2"/>
              <w:sz w:val="32"/>
              <w:szCs w:val="32"/>
              <w:lang w:val="en-US" w:eastAsia="zh-CN"/>
            </w:rPr>
            <w:t>........................19</w:t>
          </w:r>
        </w:p>
        <w:p w14:paraId="28F7FEF6">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pPr>
          <w:r>
            <w:rPr>
              <w:rFonts w:hint="eastAsia" w:ascii="黑体" w:hAnsi="黑体" w:eastAsia="黑体" w:cs="黑体"/>
              <w:bCs w:val="0"/>
              <w:spacing w:val="-6"/>
              <w:kern w:val="2"/>
              <w:szCs w:val="32"/>
              <w:u w:val="none"/>
              <w:lang w:val="en-US" w:eastAsia="zh-CN"/>
            </w:rPr>
            <w:fldChar w:fldCharType="begin"/>
          </w:r>
          <w:r>
            <w:rPr>
              <w:rFonts w:hint="eastAsia" w:ascii="黑体" w:hAnsi="黑体" w:eastAsia="黑体" w:cs="黑体"/>
              <w:bCs w:val="0"/>
              <w:spacing w:val="-6"/>
              <w:kern w:val="2"/>
              <w:szCs w:val="32"/>
              <w:lang w:val="en-US" w:eastAsia="zh-CN"/>
            </w:rPr>
            <w:instrText xml:space="preserve"> HYPERLINK \l _Toc623512089 </w:instrText>
          </w:r>
          <w:r>
            <w:rPr>
              <w:rFonts w:hint="eastAsia" w:ascii="黑体" w:hAnsi="黑体" w:eastAsia="黑体" w:cs="黑体"/>
              <w:bCs w:val="0"/>
              <w:spacing w:val="-6"/>
              <w:kern w:val="2"/>
              <w:szCs w:val="32"/>
              <w:lang w:val="en-US" w:eastAsia="zh-CN"/>
            </w:rPr>
            <w:fldChar w:fldCharType="separate"/>
          </w:r>
          <w:r>
            <w:rPr>
              <w:rFonts w:hint="eastAsia" w:ascii="黑体" w:hAnsi="黑体" w:eastAsia="黑体" w:cs="黑体"/>
              <w:bCs w:val="0"/>
              <w:spacing w:val="-6"/>
              <w:kern w:val="2"/>
              <w:szCs w:val="32"/>
              <w:lang w:val="en-US" w:eastAsia="zh-CN"/>
            </w:rPr>
            <w:t>第三章  坚持科技创新与产业创新融合发展</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_Toc623512089 \h </w:instrText>
          </w:r>
          <w:r>
            <w:rPr>
              <w:rFonts w:hint="eastAsia" w:ascii="黑体" w:hAnsi="黑体" w:eastAsia="黑体" w:cs="黑体"/>
            </w:rPr>
            <w:fldChar w:fldCharType="separate"/>
          </w:r>
          <w:r>
            <w:rPr>
              <w:rFonts w:hint="eastAsia" w:ascii="黑体" w:hAnsi="黑体" w:eastAsia="黑体" w:cs="黑体"/>
            </w:rPr>
            <w:t>20</w:t>
          </w:r>
          <w:r>
            <w:rPr>
              <w:rFonts w:hint="eastAsia" w:ascii="黑体" w:hAnsi="黑体" w:eastAsia="黑体" w:cs="黑体"/>
            </w:rPr>
            <w:fldChar w:fldCharType="end"/>
          </w:r>
          <w:r>
            <w:rPr>
              <w:rFonts w:hint="eastAsia" w:ascii="黑体" w:hAnsi="黑体" w:eastAsia="黑体" w:cs="黑体"/>
              <w:bCs w:val="0"/>
              <w:spacing w:val="-6"/>
              <w:kern w:val="2"/>
              <w:szCs w:val="32"/>
              <w:u w:val="none"/>
              <w:lang w:val="en-US" w:eastAsia="zh-CN"/>
            </w:rPr>
            <w:fldChar w:fldCharType="end"/>
          </w:r>
        </w:p>
        <w:p w14:paraId="5F1EC8D0">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_Toc877078079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trike w:val="0"/>
              <w:dstrike w:val="0"/>
              <w:sz w:val="32"/>
              <w:szCs w:val="32"/>
              <w:lang w:val="en-US" w:eastAsia="zh-CN"/>
            </w:rPr>
            <w:t>第一节  强化企业创新主体地位</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_Toc877078079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20</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3E614CAA">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_Toc788609324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第二节  推动科技成果转化应用</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_Toc788609324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20</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7DBBAF7C">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_Toc250827599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第三节  激发人才创新活力</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_Toc250827599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21</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33326AE">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_Toc1886062159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第四节  深化产业融合创新</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_Toc1886062159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22</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405EF82">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rPr>
              <w:rFonts w:hint="eastAsia" w:ascii="黑体" w:hAnsi="黑体" w:eastAsia="黑体" w:cs="黑体"/>
            </w:rPr>
          </w:pPr>
          <w:r>
            <w:rPr>
              <w:rFonts w:hint="eastAsia" w:ascii="黑体" w:hAnsi="黑体" w:eastAsia="黑体" w:cs="黑体"/>
              <w:bCs w:val="0"/>
              <w:spacing w:val="-6"/>
              <w:kern w:val="2"/>
              <w:szCs w:val="32"/>
              <w:u w:val="none"/>
              <w:lang w:val="en-US" w:eastAsia="zh-CN"/>
            </w:rPr>
            <w:fldChar w:fldCharType="begin"/>
          </w:r>
          <w:r>
            <w:rPr>
              <w:rFonts w:hint="eastAsia" w:ascii="黑体" w:hAnsi="黑体" w:eastAsia="黑体" w:cs="黑体"/>
              <w:bCs w:val="0"/>
              <w:spacing w:val="-6"/>
              <w:kern w:val="2"/>
              <w:szCs w:val="32"/>
              <w:lang w:val="en-US" w:eastAsia="zh-CN"/>
            </w:rPr>
            <w:instrText xml:space="preserve"> HYPERLINK \l _Toc1094599006 </w:instrText>
          </w:r>
          <w:r>
            <w:rPr>
              <w:rFonts w:hint="eastAsia" w:ascii="黑体" w:hAnsi="黑体" w:eastAsia="黑体" w:cs="黑体"/>
              <w:bCs w:val="0"/>
              <w:spacing w:val="-6"/>
              <w:kern w:val="2"/>
              <w:szCs w:val="32"/>
              <w:lang w:val="en-US" w:eastAsia="zh-CN"/>
            </w:rPr>
            <w:fldChar w:fldCharType="separate"/>
          </w:r>
          <w:r>
            <w:rPr>
              <w:rFonts w:hint="eastAsia" w:ascii="黑体" w:hAnsi="黑体" w:eastAsia="黑体" w:cs="黑体"/>
              <w:bCs w:val="0"/>
              <w:spacing w:val="-6"/>
              <w:kern w:val="2"/>
              <w:szCs w:val="32"/>
              <w:highlight w:val="none"/>
              <w:lang w:val="en-US" w:eastAsia="zh-CN"/>
            </w:rPr>
            <w:t>第四章  坚定落实扩大内需战略</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_Toc1094599006 \h </w:instrText>
          </w:r>
          <w:r>
            <w:rPr>
              <w:rFonts w:hint="eastAsia" w:ascii="黑体" w:hAnsi="黑体" w:eastAsia="黑体" w:cs="黑体"/>
            </w:rPr>
            <w:fldChar w:fldCharType="separate"/>
          </w:r>
          <w:r>
            <w:rPr>
              <w:rFonts w:hint="eastAsia" w:ascii="黑体" w:hAnsi="黑体" w:eastAsia="黑体" w:cs="黑体"/>
            </w:rPr>
            <w:t>24</w:t>
          </w:r>
          <w:r>
            <w:rPr>
              <w:rFonts w:hint="eastAsia" w:ascii="黑体" w:hAnsi="黑体" w:eastAsia="黑体" w:cs="黑体"/>
            </w:rPr>
            <w:fldChar w:fldCharType="end"/>
          </w:r>
          <w:r>
            <w:rPr>
              <w:rFonts w:hint="eastAsia" w:ascii="黑体" w:hAnsi="黑体" w:eastAsia="黑体" w:cs="黑体"/>
              <w:bCs w:val="0"/>
              <w:spacing w:val="-6"/>
              <w:kern w:val="2"/>
              <w:szCs w:val="32"/>
              <w:u w:val="none"/>
              <w:lang w:val="en-US" w:eastAsia="zh-CN"/>
            </w:rPr>
            <w:fldChar w:fldCharType="end"/>
          </w:r>
        </w:p>
        <w:p w14:paraId="6BF44E86">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_Toc493839054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sz w:val="32"/>
              <w:szCs w:val="32"/>
            </w:rPr>
            <w:t>第一节  激发消费潜能</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_Toc493839054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24</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6023952B">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_Toc235373704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sz w:val="32"/>
              <w:szCs w:val="32"/>
            </w:rPr>
            <w:t>第二节  扩大有效投资</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_Toc235373704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24</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41F5C9BC">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_Toc1692148413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sz w:val="32"/>
              <w:szCs w:val="32"/>
            </w:rPr>
            <w:t>第三节  构建现代化基础设施体系</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_Toc1692148413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25</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7D011CA">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rPr>
              <w:rFonts w:hint="eastAsia" w:ascii="黑体" w:hAnsi="黑体" w:eastAsia="黑体" w:cs="黑体"/>
            </w:rPr>
          </w:pPr>
          <w:r>
            <w:rPr>
              <w:rFonts w:hint="eastAsia" w:ascii="黑体" w:hAnsi="黑体" w:eastAsia="黑体" w:cs="黑体"/>
              <w:bCs w:val="0"/>
              <w:spacing w:val="-6"/>
              <w:kern w:val="2"/>
              <w:szCs w:val="32"/>
              <w:u w:val="none"/>
              <w:lang w:val="en-US" w:eastAsia="zh-CN"/>
            </w:rPr>
            <w:fldChar w:fldCharType="begin"/>
          </w:r>
          <w:r>
            <w:rPr>
              <w:rFonts w:hint="eastAsia" w:ascii="黑体" w:hAnsi="黑体" w:eastAsia="黑体" w:cs="黑体"/>
              <w:bCs w:val="0"/>
              <w:spacing w:val="-6"/>
              <w:kern w:val="2"/>
              <w:szCs w:val="32"/>
              <w:lang w:val="en-US" w:eastAsia="zh-CN"/>
            </w:rPr>
            <w:instrText xml:space="preserve"> HYPERLINK \l _Toc1686845060 </w:instrText>
          </w:r>
          <w:r>
            <w:rPr>
              <w:rFonts w:hint="eastAsia" w:ascii="黑体" w:hAnsi="黑体" w:eastAsia="黑体" w:cs="黑体"/>
              <w:bCs w:val="0"/>
              <w:spacing w:val="-6"/>
              <w:kern w:val="2"/>
              <w:szCs w:val="32"/>
              <w:lang w:val="en-US" w:eastAsia="zh-CN"/>
            </w:rPr>
            <w:fldChar w:fldCharType="separate"/>
          </w:r>
          <w:r>
            <w:rPr>
              <w:rFonts w:hint="eastAsia" w:ascii="黑体" w:hAnsi="黑体" w:eastAsia="黑体" w:cs="黑体"/>
              <w:bCs w:val="0"/>
              <w:spacing w:val="-6"/>
              <w:kern w:val="2"/>
              <w:szCs w:val="32"/>
              <w:lang w:val="en-US" w:eastAsia="zh-CN"/>
            </w:rPr>
            <w:t>第五章  服务融入区域重大战略</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_Toc1686845060 \h </w:instrText>
          </w:r>
          <w:r>
            <w:rPr>
              <w:rFonts w:hint="eastAsia" w:ascii="黑体" w:hAnsi="黑体" w:eastAsia="黑体" w:cs="黑体"/>
            </w:rPr>
            <w:fldChar w:fldCharType="separate"/>
          </w:r>
          <w:r>
            <w:rPr>
              <w:rFonts w:hint="eastAsia" w:ascii="黑体" w:hAnsi="黑体" w:eastAsia="黑体" w:cs="黑体"/>
            </w:rPr>
            <w:t>27</w:t>
          </w:r>
          <w:r>
            <w:rPr>
              <w:rFonts w:hint="eastAsia" w:ascii="黑体" w:hAnsi="黑体" w:eastAsia="黑体" w:cs="黑体"/>
            </w:rPr>
            <w:fldChar w:fldCharType="end"/>
          </w:r>
          <w:r>
            <w:rPr>
              <w:rFonts w:hint="eastAsia" w:ascii="黑体" w:hAnsi="黑体" w:eastAsia="黑体" w:cs="黑体"/>
              <w:bCs w:val="0"/>
              <w:spacing w:val="-6"/>
              <w:kern w:val="2"/>
              <w:szCs w:val="32"/>
              <w:u w:val="none"/>
              <w:lang w:val="en-US" w:eastAsia="zh-CN"/>
            </w:rPr>
            <w:fldChar w:fldCharType="end"/>
          </w:r>
        </w:p>
        <w:p w14:paraId="38B4ECA7">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_Toc1693524647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第一节  </w:t>
          </w:r>
          <w:r>
            <w:rPr>
              <w:rFonts w:hint="eastAsia" w:ascii="楷体_GB2312" w:hAnsi="楷体_GB2312" w:eastAsia="楷体_GB2312" w:cs="楷体_GB2312"/>
              <w:bCs w:val="0"/>
              <w:spacing w:val="-11"/>
              <w:sz w:val="32"/>
              <w:szCs w:val="32"/>
              <w:lang w:val="en-US" w:eastAsia="zh-CN"/>
            </w:rPr>
            <w:t>深入落实黄河流域生态保护和高质量发展战略</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_Toc1693524647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27</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528BB1A0">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_Toc160062651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第二节  推动多层次区域合作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_Toc160062651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28</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6D0B6037">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pPr>
          <w:r>
            <w:rPr>
              <w:rFonts w:hint="eastAsia" w:ascii="黑体" w:hAnsi="黑体" w:eastAsia="黑体" w:cs="黑体"/>
              <w:bCs w:val="0"/>
              <w:spacing w:val="-6"/>
              <w:kern w:val="2"/>
              <w:szCs w:val="32"/>
              <w:u w:val="none"/>
              <w:lang w:val="en-US" w:eastAsia="zh-CN"/>
            </w:rPr>
            <w:fldChar w:fldCharType="begin"/>
          </w:r>
          <w:r>
            <w:rPr>
              <w:rFonts w:hint="eastAsia" w:ascii="黑体" w:hAnsi="黑体" w:eastAsia="黑体" w:cs="黑体"/>
              <w:bCs w:val="0"/>
              <w:spacing w:val="-6"/>
              <w:kern w:val="2"/>
              <w:szCs w:val="32"/>
              <w:lang w:val="en-US" w:eastAsia="zh-CN"/>
            </w:rPr>
            <w:instrText xml:space="preserve"> HYPERLINK \l _Toc696098145 </w:instrText>
          </w:r>
          <w:r>
            <w:rPr>
              <w:rFonts w:hint="eastAsia" w:ascii="黑体" w:hAnsi="黑体" w:eastAsia="黑体" w:cs="黑体"/>
              <w:bCs w:val="0"/>
              <w:spacing w:val="-6"/>
              <w:kern w:val="2"/>
              <w:szCs w:val="32"/>
              <w:lang w:val="en-US" w:eastAsia="zh-CN"/>
            </w:rPr>
            <w:fldChar w:fldCharType="separate"/>
          </w:r>
          <w:r>
            <w:rPr>
              <w:rFonts w:hint="eastAsia" w:ascii="黑体" w:hAnsi="黑体" w:eastAsia="黑体" w:cs="黑体"/>
              <w:bCs w:val="0"/>
              <w:spacing w:val="-6"/>
              <w:kern w:val="2"/>
              <w:szCs w:val="32"/>
              <w:lang w:val="en-US" w:eastAsia="zh-CN"/>
            </w:rPr>
            <w:t>第六章  提升城市功能品质</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_Toc696098145 \h </w:instrText>
          </w:r>
          <w:r>
            <w:rPr>
              <w:rFonts w:hint="eastAsia" w:ascii="黑体" w:hAnsi="黑体" w:eastAsia="黑体" w:cs="黑体"/>
            </w:rPr>
            <w:fldChar w:fldCharType="separate"/>
          </w:r>
          <w:r>
            <w:rPr>
              <w:rFonts w:hint="eastAsia" w:ascii="黑体" w:hAnsi="黑体" w:eastAsia="黑体" w:cs="黑体"/>
            </w:rPr>
            <w:t>30</w:t>
          </w:r>
          <w:r>
            <w:rPr>
              <w:rFonts w:hint="eastAsia" w:ascii="黑体" w:hAnsi="黑体" w:eastAsia="黑体" w:cs="黑体"/>
            </w:rPr>
            <w:fldChar w:fldCharType="end"/>
          </w:r>
          <w:r>
            <w:rPr>
              <w:rFonts w:hint="eastAsia" w:ascii="黑体" w:hAnsi="黑体" w:eastAsia="黑体" w:cs="黑体"/>
              <w:bCs w:val="0"/>
              <w:spacing w:val="-6"/>
              <w:kern w:val="2"/>
              <w:szCs w:val="32"/>
              <w:u w:val="none"/>
              <w:lang w:val="en-US" w:eastAsia="zh-CN"/>
            </w:rPr>
            <w:fldChar w:fldCharType="end"/>
          </w:r>
        </w:p>
        <w:p w14:paraId="694F43AF">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_Toc816663403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第一节  有序推进城市更新</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_Toc816663403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30</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2E0A964C">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_Toc445636309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第二节  </w:t>
          </w:r>
          <w:r>
            <w:rPr>
              <w:rFonts w:hint="eastAsia" w:ascii="楷体_GB2312" w:hAnsi="楷体_GB2312" w:eastAsia="楷体_GB2312" w:cs="楷体_GB2312"/>
              <w:sz w:val="32"/>
              <w:szCs w:val="32"/>
            </w:rPr>
            <w:t>提升城市治理精细化水平</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_Toc445636309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31</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E91A3EA">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rPr>
              <w:rFonts w:hint="eastAsia" w:ascii="黑体" w:hAnsi="黑体" w:eastAsia="黑体" w:cs="黑体"/>
            </w:rPr>
          </w:pPr>
          <w:r>
            <w:rPr>
              <w:rFonts w:hint="eastAsia" w:ascii="黑体" w:hAnsi="黑体" w:eastAsia="黑体" w:cs="黑体"/>
              <w:bCs w:val="0"/>
              <w:spacing w:val="-6"/>
              <w:kern w:val="2"/>
              <w:szCs w:val="32"/>
              <w:u w:val="none"/>
              <w:lang w:val="en-US" w:eastAsia="zh-CN"/>
            </w:rPr>
            <w:fldChar w:fldCharType="begin"/>
          </w:r>
          <w:r>
            <w:rPr>
              <w:rFonts w:hint="eastAsia" w:ascii="黑体" w:hAnsi="黑体" w:eastAsia="黑体" w:cs="黑体"/>
              <w:bCs w:val="0"/>
              <w:spacing w:val="-6"/>
              <w:kern w:val="2"/>
              <w:szCs w:val="32"/>
              <w:lang w:val="en-US" w:eastAsia="zh-CN"/>
            </w:rPr>
            <w:instrText xml:space="preserve"> HYPERLINK \l _Toc1820038570 </w:instrText>
          </w:r>
          <w:r>
            <w:rPr>
              <w:rFonts w:hint="eastAsia" w:ascii="黑体" w:hAnsi="黑体" w:eastAsia="黑体" w:cs="黑体"/>
              <w:bCs w:val="0"/>
              <w:spacing w:val="-6"/>
              <w:kern w:val="2"/>
              <w:szCs w:val="32"/>
              <w:lang w:val="en-US" w:eastAsia="zh-CN"/>
            </w:rPr>
            <w:fldChar w:fldCharType="separate"/>
          </w:r>
          <w:r>
            <w:rPr>
              <w:rFonts w:hint="eastAsia" w:ascii="黑体" w:hAnsi="黑体" w:eastAsia="黑体" w:cs="黑体"/>
              <w:spacing w:val="-6"/>
              <w:kern w:val="2"/>
              <w:szCs w:val="32"/>
            </w:rPr>
            <w:t>第</w:t>
          </w:r>
          <w:r>
            <w:rPr>
              <w:rFonts w:hint="eastAsia" w:ascii="黑体" w:hAnsi="黑体" w:eastAsia="黑体" w:cs="黑体"/>
              <w:spacing w:val="-6"/>
              <w:kern w:val="2"/>
              <w:szCs w:val="32"/>
              <w:lang w:val="en-US" w:eastAsia="zh-CN"/>
            </w:rPr>
            <w:t>七</w:t>
          </w:r>
          <w:r>
            <w:rPr>
              <w:rFonts w:hint="eastAsia" w:ascii="黑体" w:hAnsi="黑体" w:eastAsia="黑体" w:cs="黑体"/>
              <w:spacing w:val="-6"/>
              <w:kern w:val="2"/>
              <w:szCs w:val="32"/>
            </w:rPr>
            <w:t xml:space="preserve">章 </w:t>
          </w:r>
          <w:r>
            <w:rPr>
              <w:rFonts w:hint="eastAsia" w:ascii="黑体" w:hAnsi="黑体" w:eastAsia="黑体" w:cs="黑体"/>
              <w:spacing w:val="-6"/>
              <w:kern w:val="2"/>
              <w:szCs w:val="32"/>
              <w:lang w:val="en-US" w:eastAsia="zh-CN"/>
            </w:rPr>
            <w:t xml:space="preserve"> </w:t>
          </w:r>
          <w:r>
            <w:rPr>
              <w:rFonts w:hint="eastAsia" w:ascii="黑体" w:hAnsi="黑体" w:eastAsia="黑体" w:cs="黑体"/>
              <w:spacing w:val="-6"/>
              <w:kern w:val="2"/>
              <w:szCs w:val="32"/>
              <w:lang w:eastAsia="zh-CN"/>
            </w:rPr>
            <w:t>扎实</w:t>
          </w:r>
          <w:r>
            <w:rPr>
              <w:rFonts w:hint="eastAsia" w:ascii="黑体" w:hAnsi="黑体" w:eastAsia="黑体" w:cs="黑体"/>
              <w:spacing w:val="-6"/>
              <w:kern w:val="2"/>
              <w:szCs w:val="32"/>
            </w:rPr>
            <w:t>推进乡村全面振兴</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_Toc1820038570 \h </w:instrText>
          </w:r>
          <w:r>
            <w:rPr>
              <w:rFonts w:hint="eastAsia" w:ascii="黑体" w:hAnsi="黑体" w:eastAsia="黑体" w:cs="黑体"/>
            </w:rPr>
            <w:fldChar w:fldCharType="separate"/>
          </w:r>
          <w:r>
            <w:rPr>
              <w:rFonts w:hint="eastAsia" w:ascii="黑体" w:hAnsi="黑体" w:eastAsia="黑体" w:cs="黑体"/>
            </w:rPr>
            <w:t>32</w:t>
          </w:r>
          <w:r>
            <w:rPr>
              <w:rFonts w:hint="eastAsia" w:ascii="黑体" w:hAnsi="黑体" w:eastAsia="黑体" w:cs="黑体"/>
            </w:rPr>
            <w:fldChar w:fldCharType="end"/>
          </w:r>
          <w:r>
            <w:rPr>
              <w:rFonts w:hint="eastAsia" w:ascii="黑体" w:hAnsi="黑体" w:eastAsia="黑体" w:cs="黑体"/>
              <w:bCs w:val="0"/>
              <w:spacing w:val="-6"/>
              <w:kern w:val="2"/>
              <w:szCs w:val="32"/>
              <w:u w:val="none"/>
              <w:lang w:val="en-US" w:eastAsia="zh-CN"/>
            </w:rPr>
            <w:fldChar w:fldCharType="end"/>
          </w:r>
        </w:p>
        <w:p w14:paraId="662F44A2">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_Toc2088424444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sz w:val="32"/>
              <w:szCs w:val="32"/>
            </w:rPr>
            <w:t>第一节  提升农业综合生产能力和质量效益</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_Toc2088424444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32</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3FF45800">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_Toc657202654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sz w:val="32"/>
              <w:szCs w:val="32"/>
            </w:rPr>
            <w:t>第二节  推进宜居宜业和美乡村建设</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_Toc657202654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33</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599CF8E7">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_Toc1221033326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sz w:val="32"/>
              <w:szCs w:val="32"/>
            </w:rPr>
            <w:t>第三节  提高强农惠农富农政策效能</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_Toc1221033326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34</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3F0B6CF3">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rPr>
              <w:rFonts w:hint="eastAsia" w:ascii="黑体" w:hAnsi="黑体" w:eastAsia="黑体" w:cs="黑体"/>
            </w:rPr>
          </w:pPr>
          <w:r>
            <w:rPr>
              <w:rFonts w:hint="eastAsia" w:ascii="黑体" w:hAnsi="黑体" w:eastAsia="黑体" w:cs="黑体"/>
              <w:bCs w:val="0"/>
              <w:spacing w:val="-6"/>
              <w:kern w:val="2"/>
              <w:szCs w:val="32"/>
              <w:u w:val="none"/>
              <w:lang w:val="en-US" w:eastAsia="zh-CN"/>
            </w:rPr>
            <w:fldChar w:fldCharType="begin"/>
          </w:r>
          <w:r>
            <w:rPr>
              <w:rFonts w:hint="eastAsia" w:ascii="黑体" w:hAnsi="黑体" w:eastAsia="黑体" w:cs="黑体"/>
              <w:bCs w:val="0"/>
              <w:spacing w:val="-6"/>
              <w:kern w:val="2"/>
              <w:szCs w:val="32"/>
              <w:lang w:val="en-US" w:eastAsia="zh-CN"/>
            </w:rPr>
            <w:instrText xml:space="preserve"> HYPERLINK \l _Toc378016171 </w:instrText>
          </w:r>
          <w:r>
            <w:rPr>
              <w:rFonts w:hint="eastAsia" w:ascii="黑体" w:hAnsi="黑体" w:eastAsia="黑体" w:cs="黑体"/>
              <w:bCs w:val="0"/>
              <w:spacing w:val="-6"/>
              <w:kern w:val="2"/>
              <w:szCs w:val="32"/>
              <w:lang w:val="en-US" w:eastAsia="zh-CN"/>
            </w:rPr>
            <w:fldChar w:fldCharType="separate"/>
          </w:r>
          <w:r>
            <w:rPr>
              <w:rFonts w:hint="eastAsia" w:ascii="黑体" w:hAnsi="黑体" w:eastAsia="黑体" w:cs="黑体"/>
              <w:spacing w:val="-6"/>
              <w:kern w:val="2"/>
              <w:szCs w:val="32"/>
            </w:rPr>
            <w:t>第</w:t>
          </w:r>
          <w:r>
            <w:rPr>
              <w:rFonts w:hint="eastAsia" w:ascii="黑体" w:hAnsi="黑体" w:eastAsia="黑体" w:cs="黑体"/>
              <w:spacing w:val="-6"/>
              <w:kern w:val="2"/>
              <w:szCs w:val="32"/>
              <w:lang w:val="en-US" w:eastAsia="zh-CN"/>
            </w:rPr>
            <w:t>八</w:t>
          </w:r>
          <w:r>
            <w:rPr>
              <w:rFonts w:hint="eastAsia" w:ascii="黑体" w:hAnsi="黑体" w:eastAsia="黑体" w:cs="黑体"/>
              <w:spacing w:val="-6"/>
              <w:kern w:val="2"/>
              <w:szCs w:val="32"/>
            </w:rPr>
            <w:t xml:space="preserve">章 </w:t>
          </w:r>
          <w:r>
            <w:rPr>
              <w:rFonts w:hint="eastAsia" w:ascii="黑体" w:hAnsi="黑体" w:eastAsia="黑体" w:cs="黑体"/>
              <w:spacing w:val="-6"/>
              <w:kern w:val="2"/>
              <w:szCs w:val="32"/>
              <w:lang w:val="en-US" w:eastAsia="zh-CN"/>
            </w:rPr>
            <w:t xml:space="preserve"> </w:t>
          </w:r>
          <w:r>
            <w:rPr>
              <w:rFonts w:hint="eastAsia" w:ascii="黑体" w:hAnsi="黑体" w:eastAsia="黑体" w:cs="黑体"/>
              <w:spacing w:val="-6"/>
              <w:kern w:val="2"/>
              <w:szCs w:val="32"/>
            </w:rPr>
            <w:t>进一步全面深化改革扩大开放</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_Toc378016171 \h </w:instrText>
          </w:r>
          <w:r>
            <w:rPr>
              <w:rFonts w:hint="eastAsia" w:ascii="黑体" w:hAnsi="黑体" w:eastAsia="黑体" w:cs="黑体"/>
            </w:rPr>
            <w:fldChar w:fldCharType="separate"/>
          </w:r>
          <w:r>
            <w:rPr>
              <w:rFonts w:hint="eastAsia" w:ascii="黑体" w:hAnsi="黑体" w:eastAsia="黑体" w:cs="黑体"/>
            </w:rPr>
            <w:t>35</w:t>
          </w:r>
          <w:r>
            <w:rPr>
              <w:rFonts w:hint="eastAsia" w:ascii="黑体" w:hAnsi="黑体" w:eastAsia="黑体" w:cs="黑体"/>
            </w:rPr>
            <w:fldChar w:fldCharType="end"/>
          </w:r>
          <w:r>
            <w:rPr>
              <w:rFonts w:hint="eastAsia" w:ascii="黑体" w:hAnsi="黑体" w:eastAsia="黑体" w:cs="黑体"/>
              <w:bCs w:val="0"/>
              <w:spacing w:val="-6"/>
              <w:kern w:val="2"/>
              <w:szCs w:val="32"/>
              <w:u w:val="none"/>
              <w:lang w:val="en-US" w:eastAsia="zh-CN"/>
            </w:rPr>
            <w:fldChar w:fldCharType="end"/>
          </w:r>
        </w:p>
        <w:p w14:paraId="40F750EE">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_Toc630482277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sz w:val="32"/>
              <w:szCs w:val="32"/>
            </w:rPr>
            <w:t>第一节  深化重点领域改革</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_Toc630482277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35</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242848EC">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_Toc1704111551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sz w:val="32"/>
              <w:szCs w:val="32"/>
            </w:rPr>
            <w:t>第</w:t>
          </w:r>
          <w:r>
            <w:rPr>
              <w:rFonts w:hint="eastAsia" w:ascii="楷体_GB2312" w:hAnsi="楷体_GB2312" w:eastAsia="楷体_GB2312" w:cs="楷体_GB2312"/>
              <w:sz w:val="32"/>
              <w:szCs w:val="32"/>
              <w:lang w:eastAsia="zh-CN"/>
            </w:rPr>
            <w:t>二</w:t>
          </w:r>
          <w:r>
            <w:rPr>
              <w:rFonts w:hint="eastAsia" w:ascii="楷体_GB2312" w:hAnsi="楷体_GB2312" w:eastAsia="楷体_GB2312" w:cs="楷体_GB2312"/>
              <w:sz w:val="32"/>
              <w:szCs w:val="32"/>
            </w:rPr>
            <w:t>节  打造一流营商环境</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_Toc1704111551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36</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4CB7A343">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_Toc1960161786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sz w:val="32"/>
              <w:szCs w:val="32"/>
            </w:rPr>
            <w:t>第</w:t>
          </w:r>
          <w:r>
            <w:rPr>
              <w:rFonts w:hint="eastAsia" w:ascii="楷体_GB2312" w:hAnsi="楷体_GB2312" w:eastAsia="楷体_GB2312" w:cs="楷体_GB2312"/>
              <w:sz w:val="32"/>
              <w:szCs w:val="32"/>
              <w:lang w:eastAsia="zh-CN"/>
            </w:rPr>
            <w:t>三</w:t>
          </w:r>
          <w:r>
            <w:rPr>
              <w:rFonts w:hint="eastAsia" w:ascii="楷体_GB2312" w:hAnsi="楷体_GB2312" w:eastAsia="楷体_GB2312" w:cs="楷体_GB2312"/>
              <w:sz w:val="32"/>
              <w:szCs w:val="32"/>
            </w:rPr>
            <w:t>节  提升开放合作水平</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_Toc1960161786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37</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319D6DF">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rPr>
              <w:rFonts w:hint="eastAsia" w:ascii="黑体" w:hAnsi="黑体" w:eastAsia="黑体" w:cs="黑体"/>
              <w:spacing w:val="-6"/>
              <w:kern w:val="2"/>
              <w:szCs w:val="32"/>
            </w:rPr>
          </w:pPr>
          <w:r>
            <w:rPr>
              <w:rFonts w:hint="eastAsia" w:ascii="黑体" w:hAnsi="黑体" w:eastAsia="黑体" w:cs="黑体"/>
              <w:spacing w:val="-6"/>
              <w:kern w:val="2"/>
              <w:szCs w:val="32"/>
              <w:lang w:val="en-US" w:eastAsia="zh-CN"/>
            </w:rPr>
            <w:fldChar w:fldCharType="begin"/>
          </w:r>
          <w:r>
            <w:rPr>
              <w:rFonts w:hint="eastAsia" w:ascii="黑体" w:hAnsi="黑体" w:eastAsia="黑体" w:cs="黑体"/>
              <w:spacing w:val="-6"/>
              <w:kern w:val="2"/>
              <w:szCs w:val="32"/>
              <w:lang w:val="en-US" w:eastAsia="zh-CN"/>
            </w:rPr>
            <w:instrText xml:space="preserve"> HYPERLINK \l _Toc785465283 </w:instrText>
          </w:r>
          <w:r>
            <w:rPr>
              <w:rFonts w:hint="eastAsia" w:ascii="黑体" w:hAnsi="黑体" w:eastAsia="黑体" w:cs="黑体"/>
              <w:spacing w:val="-6"/>
              <w:kern w:val="2"/>
              <w:szCs w:val="32"/>
              <w:lang w:val="en-US" w:eastAsia="zh-CN"/>
            </w:rPr>
            <w:fldChar w:fldCharType="separate"/>
          </w:r>
          <w:r>
            <w:rPr>
              <w:rFonts w:hint="eastAsia" w:ascii="黑体" w:hAnsi="黑体" w:eastAsia="黑体" w:cs="黑体"/>
              <w:spacing w:val="-6"/>
              <w:kern w:val="2"/>
              <w:szCs w:val="32"/>
              <w:lang w:val="en-US" w:eastAsia="zh-CN"/>
            </w:rPr>
            <w:t>第九章  加快绿色低碳转型</w:t>
          </w:r>
          <w:r>
            <w:rPr>
              <w:rFonts w:hint="eastAsia" w:ascii="黑体" w:hAnsi="黑体" w:eastAsia="黑体" w:cs="黑体"/>
              <w:spacing w:val="-6"/>
              <w:kern w:val="2"/>
              <w:szCs w:val="32"/>
            </w:rPr>
            <w:tab/>
          </w:r>
          <w:r>
            <w:rPr>
              <w:rFonts w:hint="eastAsia" w:ascii="黑体" w:hAnsi="黑体" w:eastAsia="黑体" w:cs="黑体"/>
              <w:spacing w:val="-6"/>
              <w:kern w:val="2"/>
              <w:szCs w:val="32"/>
            </w:rPr>
            <w:fldChar w:fldCharType="begin"/>
          </w:r>
          <w:r>
            <w:rPr>
              <w:rFonts w:hint="eastAsia" w:ascii="黑体" w:hAnsi="黑体" w:eastAsia="黑体" w:cs="黑体"/>
              <w:spacing w:val="-6"/>
              <w:kern w:val="2"/>
              <w:szCs w:val="32"/>
            </w:rPr>
            <w:instrText xml:space="preserve"> PAGEREF _Toc785465283 \h </w:instrText>
          </w:r>
          <w:r>
            <w:rPr>
              <w:rFonts w:hint="eastAsia" w:ascii="黑体" w:hAnsi="黑体" w:eastAsia="黑体" w:cs="黑体"/>
              <w:spacing w:val="-6"/>
              <w:kern w:val="2"/>
              <w:szCs w:val="32"/>
            </w:rPr>
            <w:fldChar w:fldCharType="separate"/>
          </w:r>
          <w:r>
            <w:rPr>
              <w:rFonts w:hint="eastAsia" w:ascii="黑体" w:hAnsi="黑体" w:eastAsia="黑体" w:cs="黑体"/>
              <w:spacing w:val="-6"/>
              <w:kern w:val="2"/>
              <w:szCs w:val="32"/>
            </w:rPr>
            <w:t>38</w:t>
          </w:r>
          <w:r>
            <w:rPr>
              <w:rFonts w:hint="eastAsia" w:ascii="黑体" w:hAnsi="黑体" w:eastAsia="黑体" w:cs="黑体"/>
              <w:spacing w:val="-6"/>
              <w:kern w:val="2"/>
              <w:szCs w:val="32"/>
            </w:rPr>
            <w:fldChar w:fldCharType="end"/>
          </w:r>
          <w:r>
            <w:rPr>
              <w:rFonts w:hint="eastAsia" w:ascii="黑体" w:hAnsi="黑体" w:eastAsia="黑体" w:cs="黑体"/>
              <w:spacing w:val="-6"/>
              <w:kern w:val="2"/>
              <w:szCs w:val="32"/>
              <w:lang w:val="en-US" w:eastAsia="zh-CN"/>
            </w:rPr>
            <w:fldChar w:fldCharType="end"/>
          </w:r>
        </w:p>
        <w:p w14:paraId="3B824FE0">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_Toc827960687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第一节  持续深入推进污染防治攻坚</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_Toc827960687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38</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64BF272B">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_Toc1394153750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第二节  </w:t>
          </w:r>
          <w:r>
            <w:rPr>
              <w:rFonts w:hint="eastAsia" w:ascii="楷体_GB2312" w:hAnsi="楷体_GB2312" w:eastAsia="楷体_GB2312" w:cs="楷体_GB2312"/>
              <w:sz w:val="32"/>
              <w:szCs w:val="32"/>
            </w:rPr>
            <w:t>加强生态保护监管</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_Toc1394153750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39</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5AB31744">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_Toc1466639301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第三节  </w:t>
          </w:r>
          <w:r>
            <w:rPr>
              <w:rFonts w:hint="eastAsia" w:ascii="楷体_GB2312" w:hAnsi="楷体_GB2312" w:eastAsia="楷体_GB2312" w:cs="楷体_GB2312"/>
              <w:sz w:val="32"/>
              <w:szCs w:val="32"/>
            </w:rPr>
            <w:t>推动生产生活方式绿色转型</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_Toc1466639301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40</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752D4770">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rPr>
              <w:rFonts w:hint="eastAsia" w:ascii="黑体" w:hAnsi="黑体" w:eastAsia="黑体" w:cs="黑体"/>
              <w:spacing w:val="-6"/>
              <w:kern w:val="2"/>
              <w:szCs w:val="32"/>
              <w:lang w:val="en-US" w:eastAsia="zh-CN"/>
            </w:rPr>
          </w:pPr>
          <w:r>
            <w:rPr>
              <w:rFonts w:hint="eastAsia" w:ascii="黑体" w:hAnsi="黑体" w:eastAsia="黑体" w:cs="黑体"/>
              <w:spacing w:val="-6"/>
              <w:kern w:val="2"/>
              <w:szCs w:val="32"/>
              <w:lang w:val="en-US" w:eastAsia="zh-CN"/>
            </w:rPr>
            <w:fldChar w:fldCharType="begin"/>
          </w:r>
          <w:r>
            <w:rPr>
              <w:rFonts w:hint="eastAsia" w:ascii="黑体" w:hAnsi="黑体" w:eastAsia="黑体" w:cs="黑体"/>
              <w:spacing w:val="-6"/>
              <w:kern w:val="2"/>
              <w:szCs w:val="32"/>
              <w:lang w:val="en-US" w:eastAsia="zh-CN"/>
            </w:rPr>
            <w:instrText xml:space="preserve"> HYPERLINK \l _Toc1260876381 </w:instrText>
          </w:r>
          <w:r>
            <w:rPr>
              <w:rFonts w:hint="eastAsia" w:ascii="黑体" w:hAnsi="黑体" w:eastAsia="黑体" w:cs="黑体"/>
              <w:spacing w:val="-6"/>
              <w:kern w:val="2"/>
              <w:szCs w:val="32"/>
              <w:lang w:val="en-US" w:eastAsia="zh-CN"/>
            </w:rPr>
            <w:fldChar w:fldCharType="separate"/>
          </w:r>
          <w:r>
            <w:rPr>
              <w:rFonts w:hint="eastAsia" w:ascii="黑体" w:hAnsi="黑体" w:eastAsia="黑体" w:cs="黑体"/>
              <w:spacing w:val="-6"/>
              <w:kern w:val="2"/>
              <w:szCs w:val="32"/>
              <w:lang w:val="en-US" w:eastAsia="zh-CN"/>
            </w:rPr>
            <w:t>第十章  激发文化创新创造活力</w:t>
          </w:r>
          <w:r>
            <w:rPr>
              <w:rFonts w:hint="eastAsia" w:ascii="黑体" w:hAnsi="黑体" w:eastAsia="黑体" w:cs="黑体"/>
              <w:spacing w:val="-6"/>
              <w:kern w:val="2"/>
              <w:szCs w:val="32"/>
              <w:lang w:val="en-US" w:eastAsia="zh-CN"/>
            </w:rPr>
            <w:tab/>
          </w:r>
          <w:r>
            <w:rPr>
              <w:rFonts w:hint="eastAsia" w:ascii="黑体" w:hAnsi="黑体" w:eastAsia="黑体" w:cs="黑体"/>
              <w:spacing w:val="-6"/>
              <w:kern w:val="2"/>
              <w:szCs w:val="32"/>
              <w:lang w:val="en-US" w:eastAsia="zh-CN"/>
            </w:rPr>
            <w:fldChar w:fldCharType="begin"/>
          </w:r>
          <w:r>
            <w:rPr>
              <w:rFonts w:hint="eastAsia" w:ascii="黑体" w:hAnsi="黑体" w:eastAsia="黑体" w:cs="黑体"/>
              <w:spacing w:val="-6"/>
              <w:kern w:val="2"/>
              <w:szCs w:val="32"/>
              <w:lang w:val="en-US" w:eastAsia="zh-CN"/>
            </w:rPr>
            <w:instrText xml:space="preserve"> PAGEREF _Toc1260876381 \h </w:instrText>
          </w:r>
          <w:r>
            <w:rPr>
              <w:rFonts w:hint="eastAsia" w:ascii="黑体" w:hAnsi="黑体" w:eastAsia="黑体" w:cs="黑体"/>
              <w:spacing w:val="-6"/>
              <w:kern w:val="2"/>
              <w:szCs w:val="32"/>
              <w:lang w:val="en-US" w:eastAsia="zh-CN"/>
            </w:rPr>
            <w:fldChar w:fldCharType="separate"/>
          </w:r>
          <w:r>
            <w:rPr>
              <w:rFonts w:hint="eastAsia" w:ascii="黑体" w:hAnsi="黑体" w:eastAsia="黑体" w:cs="黑体"/>
              <w:spacing w:val="-6"/>
              <w:kern w:val="2"/>
              <w:szCs w:val="32"/>
              <w:lang w:val="en-US" w:eastAsia="zh-CN"/>
            </w:rPr>
            <w:t>42</w:t>
          </w:r>
          <w:r>
            <w:rPr>
              <w:rFonts w:hint="eastAsia" w:ascii="黑体" w:hAnsi="黑体" w:eastAsia="黑体" w:cs="黑体"/>
              <w:spacing w:val="-6"/>
              <w:kern w:val="2"/>
              <w:szCs w:val="32"/>
              <w:lang w:val="en-US" w:eastAsia="zh-CN"/>
            </w:rPr>
            <w:fldChar w:fldCharType="end"/>
          </w:r>
          <w:r>
            <w:rPr>
              <w:rFonts w:hint="eastAsia" w:ascii="黑体" w:hAnsi="黑体" w:eastAsia="黑体" w:cs="黑体"/>
              <w:spacing w:val="-6"/>
              <w:kern w:val="2"/>
              <w:szCs w:val="32"/>
              <w:lang w:val="en-US" w:eastAsia="zh-CN"/>
            </w:rPr>
            <w:fldChar w:fldCharType="end"/>
          </w:r>
        </w:p>
        <w:p w14:paraId="41303B3B">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_Toc2017665839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第一节  </w:t>
          </w:r>
          <w:r>
            <w:rPr>
              <w:rFonts w:hint="eastAsia" w:ascii="楷体_GB2312" w:hAnsi="楷体_GB2312" w:eastAsia="楷体_GB2312" w:cs="楷体_GB2312"/>
              <w:sz w:val="32"/>
              <w:szCs w:val="32"/>
            </w:rPr>
            <w:t>弘扬和践行社会主义核心价值观</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_Toc2017665839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42</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58049F05">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_Toc68505969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第二节  </w:t>
          </w:r>
          <w:r>
            <w:rPr>
              <w:rFonts w:hint="eastAsia" w:ascii="楷体_GB2312" w:hAnsi="楷体_GB2312" w:eastAsia="楷体_GB2312" w:cs="楷体_GB2312"/>
              <w:sz w:val="32"/>
              <w:szCs w:val="32"/>
            </w:rPr>
            <w:t>繁荣发展文化事业</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_Toc68505969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43</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3F6D24D4">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_Toc2137954460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第三节  加快发展文化产业</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_Toc2137954460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44</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06775AF">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rPr>
              <w:rFonts w:hint="eastAsia" w:ascii="黑体" w:hAnsi="黑体" w:eastAsia="黑体" w:cs="黑体"/>
              <w:spacing w:val="-6"/>
              <w:kern w:val="2"/>
              <w:szCs w:val="32"/>
              <w:lang w:val="en-US" w:eastAsia="zh-CN"/>
            </w:rPr>
          </w:pPr>
          <w:r>
            <w:rPr>
              <w:rFonts w:hint="eastAsia" w:ascii="黑体" w:hAnsi="黑体" w:eastAsia="黑体" w:cs="黑体"/>
              <w:spacing w:val="-6"/>
              <w:kern w:val="2"/>
              <w:szCs w:val="32"/>
              <w:lang w:val="en-US" w:eastAsia="zh-CN"/>
            </w:rPr>
            <w:fldChar w:fldCharType="begin"/>
          </w:r>
          <w:r>
            <w:rPr>
              <w:rFonts w:hint="eastAsia" w:ascii="黑体" w:hAnsi="黑体" w:eastAsia="黑体" w:cs="黑体"/>
              <w:spacing w:val="-6"/>
              <w:kern w:val="2"/>
              <w:szCs w:val="32"/>
              <w:lang w:val="en-US" w:eastAsia="zh-CN"/>
            </w:rPr>
            <w:instrText xml:space="preserve"> HYPERLINK \l _Toc658791516 </w:instrText>
          </w:r>
          <w:r>
            <w:rPr>
              <w:rFonts w:hint="eastAsia" w:ascii="黑体" w:hAnsi="黑体" w:eastAsia="黑体" w:cs="黑体"/>
              <w:spacing w:val="-6"/>
              <w:kern w:val="2"/>
              <w:szCs w:val="32"/>
              <w:lang w:val="en-US" w:eastAsia="zh-CN"/>
            </w:rPr>
            <w:fldChar w:fldCharType="separate"/>
          </w:r>
          <w:r>
            <w:rPr>
              <w:rFonts w:hint="eastAsia" w:ascii="黑体" w:hAnsi="黑体" w:eastAsia="黑体" w:cs="黑体"/>
              <w:spacing w:val="-6"/>
              <w:kern w:val="2"/>
              <w:szCs w:val="32"/>
              <w:lang w:val="en-US" w:eastAsia="zh-CN"/>
            </w:rPr>
            <w:t>第十一章  着力保障和改善民生</w:t>
          </w:r>
          <w:r>
            <w:rPr>
              <w:rFonts w:hint="eastAsia" w:ascii="黑体" w:hAnsi="黑体" w:eastAsia="黑体" w:cs="黑体"/>
              <w:spacing w:val="-6"/>
              <w:kern w:val="2"/>
              <w:szCs w:val="32"/>
              <w:lang w:val="en-US" w:eastAsia="zh-CN"/>
            </w:rPr>
            <w:tab/>
          </w:r>
          <w:r>
            <w:rPr>
              <w:rFonts w:hint="eastAsia" w:ascii="黑体" w:hAnsi="黑体" w:eastAsia="黑体" w:cs="黑体"/>
              <w:spacing w:val="-6"/>
              <w:kern w:val="2"/>
              <w:szCs w:val="32"/>
              <w:lang w:val="en-US" w:eastAsia="zh-CN"/>
            </w:rPr>
            <w:fldChar w:fldCharType="begin"/>
          </w:r>
          <w:r>
            <w:rPr>
              <w:rFonts w:hint="eastAsia" w:ascii="黑体" w:hAnsi="黑体" w:eastAsia="黑体" w:cs="黑体"/>
              <w:spacing w:val="-6"/>
              <w:kern w:val="2"/>
              <w:szCs w:val="32"/>
              <w:lang w:val="en-US" w:eastAsia="zh-CN"/>
            </w:rPr>
            <w:instrText xml:space="preserve"> PAGEREF _Toc658791516 \h </w:instrText>
          </w:r>
          <w:r>
            <w:rPr>
              <w:rFonts w:hint="eastAsia" w:ascii="黑体" w:hAnsi="黑体" w:eastAsia="黑体" w:cs="黑体"/>
              <w:spacing w:val="-6"/>
              <w:kern w:val="2"/>
              <w:szCs w:val="32"/>
              <w:lang w:val="en-US" w:eastAsia="zh-CN"/>
            </w:rPr>
            <w:fldChar w:fldCharType="separate"/>
          </w:r>
          <w:r>
            <w:rPr>
              <w:rFonts w:hint="eastAsia" w:ascii="黑体" w:hAnsi="黑体" w:eastAsia="黑体" w:cs="黑体"/>
              <w:spacing w:val="-6"/>
              <w:kern w:val="2"/>
              <w:szCs w:val="32"/>
              <w:lang w:val="en-US" w:eastAsia="zh-CN"/>
            </w:rPr>
            <w:t>46</w:t>
          </w:r>
          <w:r>
            <w:rPr>
              <w:rFonts w:hint="eastAsia" w:ascii="黑体" w:hAnsi="黑体" w:eastAsia="黑体" w:cs="黑体"/>
              <w:spacing w:val="-6"/>
              <w:kern w:val="2"/>
              <w:szCs w:val="32"/>
              <w:lang w:val="en-US" w:eastAsia="zh-CN"/>
            </w:rPr>
            <w:fldChar w:fldCharType="end"/>
          </w:r>
          <w:r>
            <w:rPr>
              <w:rFonts w:hint="eastAsia" w:ascii="黑体" w:hAnsi="黑体" w:eastAsia="黑体" w:cs="黑体"/>
              <w:spacing w:val="-6"/>
              <w:kern w:val="2"/>
              <w:szCs w:val="32"/>
              <w:lang w:val="en-US" w:eastAsia="zh-CN"/>
            </w:rPr>
            <w:fldChar w:fldCharType="end"/>
          </w:r>
        </w:p>
        <w:p w14:paraId="4C839E21">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_Toc319333569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第一节  </w:t>
          </w:r>
          <w:r>
            <w:rPr>
              <w:rFonts w:hint="eastAsia" w:ascii="楷体_GB2312" w:hAnsi="楷体_GB2312" w:eastAsia="楷体_GB2312" w:cs="楷体_GB2312"/>
              <w:sz w:val="32"/>
              <w:szCs w:val="32"/>
            </w:rPr>
            <w:t>积极促进就业与增收</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_Toc319333569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46</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31E0119E">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_Toc1722682010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highlight w:val="none"/>
              <w:lang w:val="en-US" w:eastAsia="zh-CN"/>
            </w:rPr>
            <w:t xml:space="preserve">第二节  </w:t>
          </w:r>
          <w:r>
            <w:rPr>
              <w:rFonts w:hint="eastAsia" w:ascii="楷体_GB2312" w:hAnsi="楷体_GB2312" w:eastAsia="楷体_GB2312" w:cs="楷体_GB2312"/>
              <w:sz w:val="32"/>
              <w:szCs w:val="32"/>
              <w:highlight w:val="none"/>
            </w:rPr>
            <w:t>办</w:t>
          </w:r>
          <w:r>
            <w:rPr>
              <w:rFonts w:hint="eastAsia" w:ascii="楷体_GB2312" w:hAnsi="楷体_GB2312" w:eastAsia="楷体_GB2312" w:cs="楷体_GB2312"/>
              <w:sz w:val="32"/>
              <w:szCs w:val="32"/>
            </w:rPr>
            <w:t>好人民满意的教育</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_Toc1722682010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47</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891B19C">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_Toc397370027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第三节  </w:t>
          </w:r>
          <w:r>
            <w:rPr>
              <w:rFonts w:hint="eastAsia" w:ascii="楷体_GB2312" w:hAnsi="楷体_GB2312" w:eastAsia="楷体_GB2312" w:cs="楷体_GB2312"/>
              <w:sz w:val="32"/>
              <w:szCs w:val="32"/>
            </w:rPr>
            <w:t>加快建设健康天桥</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_Toc397370027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48</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9BEFB84">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_Toc958597340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第四节  </w:t>
          </w:r>
          <w:r>
            <w:rPr>
              <w:rFonts w:hint="eastAsia" w:ascii="楷体_GB2312" w:hAnsi="楷体_GB2312" w:eastAsia="楷体_GB2312" w:cs="楷体_GB2312"/>
              <w:sz w:val="32"/>
              <w:szCs w:val="32"/>
            </w:rPr>
            <w:t>提高社会保障水平</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_Toc958597340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49</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4F4A2B98">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_Toc1755882477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第五节  </w:t>
          </w:r>
          <w:r>
            <w:rPr>
              <w:rFonts w:hint="eastAsia" w:ascii="楷体_GB2312" w:hAnsi="楷体_GB2312" w:eastAsia="楷体_GB2312" w:cs="楷体_GB2312"/>
              <w:sz w:val="32"/>
              <w:szCs w:val="32"/>
            </w:rPr>
            <w:t>推动房地产高质量发展</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_Toc1755882477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51</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015481A6">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rPr>
              <w:rFonts w:hint="eastAsia" w:ascii="黑体" w:hAnsi="黑体" w:eastAsia="黑体" w:cs="黑体"/>
              <w:spacing w:val="-6"/>
              <w:kern w:val="2"/>
              <w:szCs w:val="32"/>
              <w:lang w:val="en-US" w:eastAsia="zh-CN"/>
            </w:rPr>
          </w:pPr>
          <w:r>
            <w:rPr>
              <w:rFonts w:hint="eastAsia" w:ascii="黑体" w:hAnsi="黑体" w:eastAsia="黑体" w:cs="黑体"/>
              <w:spacing w:val="-6"/>
              <w:kern w:val="2"/>
              <w:szCs w:val="32"/>
              <w:lang w:val="en-US" w:eastAsia="zh-CN"/>
            </w:rPr>
            <w:fldChar w:fldCharType="begin"/>
          </w:r>
          <w:r>
            <w:rPr>
              <w:rFonts w:hint="eastAsia" w:ascii="黑体" w:hAnsi="黑体" w:eastAsia="黑体" w:cs="黑体"/>
              <w:spacing w:val="-6"/>
              <w:kern w:val="2"/>
              <w:szCs w:val="32"/>
              <w:lang w:val="en-US" w:eastAsia="zh-CN"/>
            </w:rPr>
            <w:instrText xml:space="preserve"> HYPERLINK \l _Toc178784731 </w:instrText>
          </w:r>
          <w:r>
            <w:rPr>
              <w:rFonts w:hint="eastAsia" w:ascii="黑体" w:hAnsi="黑体" w:eastAsia="黑体" w:cs="黑体"/>
              <w:spacing w:val="-6"/>
              <w:kern w:val="2"/>
              <w:szCs w:val="32"/>
              <w:lang w:val="en-US" w:eastAsia="zh-CN"/>
            </w:rPr>
            <w:fldChar w:fldCharType="separate"/>
          </w:r>
          <w:r>
            <w:rPr>
              <w:rFonts w:hint="eastAsia" w:ascii="黑体" w:hAnsi="黑体" w:eastAsia="黑体" w:cs="黑体"/>
              <w:spacing w:val="-6"/>
              <w:kern w:val="2"/>
              <w:szCs w:val="32"/>
              <w:lang w:val="en-US" w:eastAsia="zh-CN"/>
            </w:rPr>
            <w:t>第十二章  加强基层治理体系和治理能力现代化建设</w:t>
          </w:r>
          <w:r>
            <w:rPr>
              <w:rFonts w:hint="eastAsia" w:ascii="黑体" w:hAnsi="黑体" w:eastAsia="黑体" w:cs="黑体"/>
              <w:spacing w:val="-6"/>
              <w:kern w:val="2"/>
              <w:szCs w:val="32"/>
              <w:lang w:val="en-US" w:eastAsia="zh-CN"/>
            </w:rPr>
            <w:tab/>
          </w:r>
          <w:r>
            <w:rPr>
              <w:rFonts w:hint="eastAsia" w:ascii="黑体" w:hAnsi="黑体" w:eastAsia="黑体" w:cs="黑体"/>
              <w:spacing w:val="-6"/>
              <w:kern w:val="2"/>
              <w:szCs w:val="32"/>
              <w:lang w:val="en-US" w:eastAsia="zh-CN"/>
            </w:rPr>
            <w:fldChar w:fldCharType="begin"/>
          </w:r>
          <w:r>
            <w:rPr>
              <w:rFonts w:hint="eastAsia" w:ascii="黑体" w:hAnsi="黑体" w:eastAsia="黑体" w:cs="黑体"/>
              <w:spacing w:val="-6"/>
              <w:kern w:val="2"/>
              <w:szCs w:val="32"/>
              <w:lang w:val="en-US" w:eastAsia="zh-CN"/>
            </w:rPr>
            <w:instrText xml:space="preserve"> PAGEREF _Toc178784731 \h </w:instrText>
          </w:r>
          <w:r>
            <w:rPr>
              <w:rFonts w:hint="eastAsia" w:ascii="黑体" w:hAnsi="黑体" w:eastAsia="黑体" w:cs="黑体"/>
              <w:spacing w:val="-6"/>
              <w:kern w:val="2"/>
              <w:szCs w:val="32"/>
              <w:lang w:val="en-US" w:eastAsia="zh-CN"/>
            </w:rPr>
            <w:fldChar w:fldCharType="separate"/>
          </w:r>
          <w:r>
            <w:rPr>
              <w:rFonts w:hint="eastAsia" w:ascii="黑体" w:hAnsi="黑体" w:eastAsia="黑体" w:cs="黑体"/>
              <w:spacing w:val="-6"/>
              <w:kern w:val="2"/>
              <w:szCs w:val="32"/>
              <w:lang w:val="en-US" w:eastAsia="zh-CN"/>
            </w:rPr>
            <w:t>52</w:t>
          </w:r>
          <w:r>
            <w:rPr>
              <w:rFonts w:hint="eastAsia" w:ascii="黑体" w:hAnsi="黑体" w:eastAsia="黑体" w:cs="黑体"/>
              <w:spacing w:val="-6"/>
              <w:kern w:val="2"/>
              <w:szCs w:val="32"/>
              <w:lang w:val="en-US" w:eastAsia="zh-CN"/>
            </w:rPr>
            <w:fldChar w:fldCharType="end"/>
          </w:r>
          <w:r>
            <w:rPr>
              <w:rFonts w:hint="eastAsia" w:ascii="黑体" w:hAnsi="黑体" w:eastAsia="黑体" w:cs="黑体"/>
              <w:spacing w:val="-6"/>
              <w:kern w:val="2"/>
              <w:szCs w:val="32"/>
              <w:lang w:val="en-US" w:eastAsia="zh-CN"/>
            </w:rPr>
            <w:fldChar w:fldCharType="end"/>
          </w:r>
        </w:p>
        <w:p w14:paraId="53560ABF">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_Toc1118659991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第一节  加快推进平安天桥建设</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_Toc1118659991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52</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1A975A66">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_Toc304496974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第二节  扎实推进全面依法治区</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_Toc304496974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54</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652D8AF8">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_Toc995448134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 xml:space="preserve">第三节  </w:t>
          </w:r>
          <w:r>
            <w:rPr>
              <w:rFonts w:hint="eastAsia" w:ascii="楷体_GB2312" w:hAnsi="楷体_GB2312" w:eastAsia="楷体_GB2312" w:cs="楷体_GB2312"/>
              <w:sz w:val="32"/>
              <w:szCs w:val="32"/>
            </w:rPr>
            <w:t>加强和创新社会治理</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_Toc995448134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54</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08F839E4">
          <w:pPr>
            <w:pStyle w:val="11"/>
            <w:keepNext w:val="0"/>
            <w:keepLines w:val="0"/>
            <w:pageBreakBefore w:val="0"/>
            <w:widowControl w:val="0"/>
            <w:tabs>
              <w:tab w:val="right" w:leader="dot" w:pos="8845"/>
            </w:tabs>
            <w:kinsoku/>
            <w:wordWrap/>
            <w:overflowPunct w:val="0"/>
            <w:topLinePunct w:val="0"/>
            <w:autoSpaceDE/>
            <w:autoSpaceDN/>
            <w:bidi w:val="0"/>
            <w:adjustRightInd w:val="0"/>
            <w:snapToGrid w:val="0"/>
            <w:spacing w:line="580" w:lineRule="exact"/>
            <w:ind w:left="0" w:leftChars="0" w:firstLine="0" w:firstLineChars="0"/>
            <w:textAlignment w:val="auto"/>
            <w:rPr>
              <w:rFonts w:hint="eastAsia" w:ascii="黑体" w:hAnsi="黑体" w:eastAsia="黑体" w:cs="黑体"/>
              <w:spacing w:val="-6"/>
              <w:kern w:val="2"/>
              <w:szCs w:val="32"/>
              <w:lang w:val="en-US" w:eastAsia="zh-CN"/>
            </w:rPr>
          </w:pPr>
          <w:r>
            <w:rPr>
              <w:rFonts w:hint="eastAsia" w:ascii="黑体" w:hAnsi="黑体" w:eastAsia="黑体" w:cs="黑体"/>
              <w:spacing w:val="-6"/>
              <w:kern w:val="2"/>
              <w:szCs w:val="32"/>
              <w:lang w:val="en-US" w:eastAsia="zh-CN"/>
            </w:rPr>
            <w:fldChar w:fldCharType="begin"/>
          </w:r>
          <w:r>
            <w:rPr>
              <w:rFonts w:hint="eastAsia" w:ascii="黑体" w:hAnsi="黑体" w:eastAsia="黑体" w:cs="黑体"/>
              <w:spacing w:val="-6"/>
              <w:kern w:val="2"/>
              <w:szCs w:val="32"/>
              <w:lang w:val="en-US" w:eastAsia="zh-CN"/>
            </w:rPr>
            <w:instrText xml:space="preserve"> HYPERLINK \l _Toc2124535544 </w:instrText>
          </w:r>
          <w:r>
            <w:rPr>
              <w:rFonts w:hint="eastAsia" w:ascii="黑体" w:hAnsi="黑体" w:eastAsia="黑体" w:cs="黑体"/>
              <w:spacing w:val="-6"/>
              <w:kern w:val="2"/>
              <w:szCs w:val="32"/>
              <w:lang w:val="en-US" w:eastAsia="zh-CN"/>
            </w:rPr>
            <w:fldChar w:fldCharType="separate"/>
          </w:r>
          <w:r>
            <w:rPr>
              <w:rFonts w:hint="eastAsia" w:ascii="黑体" w:hAnsi="黑体" w:eastAsia="黑体" w:cs="黑体"/>
              <w:spacing w:val="-6"/>
              <w:kern w:val="2"/>
              <w:szCs w:val="32"/>
              <w:lang w:val="en-US" w:eastAsia="zh-CN"/>
            </w:rPr>
            <w:t>第十三章  保障措施</w:t>
          </w:r>
          <w:r>
            <w:rPr>
              <w:rFonts w:hint="eastAsia" w:ascii="黑体" w:hAnsi="黑体" w:eastAsia="黑体" w:cs="黑体"/>
              <w:spacing w:val="-6"/>
              <w:kern w:val="2"/>
              <w:szCs w:val="32"/>
              <w:lang w:val="en-US" w:eastAsia="zh-CN"/>
            </w:rPr>
            <w:tab/>
          </w:r>
          <w:r>
            <w:rPr>
              <w:rFonts w:hint="eastAsia" w:ascii="黑体" w:hAnsi="黑体" w:eastAsia="黑体" w:cs="黑体"/>
              <w:spacing w:val="-6"/>
              <w:kern w:val="2"/>
              <w:szCs w:val="32"/>
              <w:lang w:val="en-US" w:eastAsia="zh-CN"/>
            </w:rPr>
            <w:fldChar w:fldCharType="begin"/>
          </w:r>
          <w:r>
            <w:rPr>
              <w:rFonts w:hint="eastAsia" w:ascii="黑体" w:hAnsi="黑体" w:eastAsia="黑体" w:cs="黑体"/>
              <w:spacing w:val="-6"/>
              <w:kern w:val="2"/>
              <w:szCs w:val="32"/>
              <w:lang w:val="en-US" w:eastAsia="zh-CN"/>
            </w:rPr>
            <w:instrText xml:space="preserve"> PAGEREF _Toc2124535544 \h </w:instrText>
          </w:r>
          <w:r>
            <w:rPr>
              <w:rFonts w:hint="eastAsia" w:ascii="黑体" w:hAnsi="黑体" w:eastAsia="黑体" w:cs="黑体"/>
              <w:spacing w:val="-6"/>
              <w:kern w:val="2"/>
              <w:szCs w:val="32"/>
              <w:lang w:val="en-US" w:eastAsia="zh-CN"/>
            </w:rPr>
            <w:fldChar w:fldCharType="separate"/>
          </w:r>
          <w:r>
            <w:rPr>
              <w:rFonts w:hint="eastAsia" w:ascii="黑体" w:hAnsi="黑体" w:eastAsia="黑体" w:cs="黑体"/>
              <w:spacing w:val="-6"/>
              <w:kern w:val="2"/>
              <w:szCs w:val="32"/>
              <w:lang w:val="en-US" w:eastAsia="zh-CN"/>
            </w:rPr>
            <w:t>56</w:t>
          </w:r>
          <w:r>
            <w:rPr>
              <w:rFonts w:hint="eastAsia" w:ascii="黑体" w:hAnsi="黑体" w:eastAsia="黑体" w:cs="黑体"/>
              <w:spacing w:val="-6"/>
              <w:kern w:val="2"/>
              <w:szCs w:val="32"/>
              <w:lang w:val="en-US" w:eastAsia="zh-CN"/>
            </w:rPr>
            <w:fldChar w:fldCharType="end"/>
          </w:r>
          <w:r>
            <w:rPr>
              <w:rFonts w:hint="eastAsia" w:ascii="黑体" w:hAnsi="黑体" w:eastAsia="黑体" w:cs="黑体"/>
              <w:spacing w:val="-6"/>
              <w:kern w:val="2"/>
              <w:szCs w:val="32"/>
              <w:lang w:val="en-US" w:eastAsia="zh-CN"/>
            </w:rPr>
            <w:fldChar w:fldCharType="end"/>
          </w:r>
        </w:p>
        <w:p w14:paraId="5FC7CB15">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_Toc74015307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第一节  坚持和加强党的全面领导</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_Toc74015307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56</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09BD5FA7">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_Toc1198085223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第二节  纵深推进全面从严治党</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_Toc1198085223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56</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084AAA47">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_Toc1314405102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第三节  广泛凝聚社会合力</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_Toc1314405102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57</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4FD8748F">
          <w:pPr>
            <w:pStyle w:val="12"/>
            <w:keepNext w:val="0"/>
            <w:keepLines w:val="0"/>
            <w:pageBreakBefore w:val="0"/>
            <w:widowControl w:val="0"/>
            <w:tabs>
              <w:tab w:val="right" w:leader="dot" w:pos="8845"/>
              <w:tab w:val="clear" w:pos="9060"/>
            </w:tabs>
            <w:kinsoku/>
            <w:wordWrap/>
            <w:overflowPunct w:val="0"/>
            <w:topLinePunct w:val="0"/>
            <w:autoSpaceDE/>
            <w:autoSpaceDN/>
            <w:bidi w:val="0"/>
            <w:adjustRightInd w:val="0"/>
            <w:snapToGrid w:val="0"/>
            <w:spacing w:line="580" w:lineRule="exact"/>
            <w:textAlignment w:val="auto"/>
          </w:pPr>
          <w:r>
            <w:rPr>
              <w:rFonts w:hint="eastAsia" w:ascii="楷体_GB2312" w:hAnsi="楷体_GB2312" w:eastAsia="楷体_GB2312" w:cs="楷体_GB2312"/>
              <w:bCs w:val="0"/>
              <w:spacing w:val="-6"/>
              <w:kern w:val="2"/>
              <w:sz w:val="32"/>
              <w:szCs w:val="32"/>
              <w:u w:val="none"/>
              <w:lang w:val="en-US" w:eastAsia="zh-CN"/>
            </w:rPr>
            <w:fldChar w:fldCharType="begin"/>
          </w:r>
          <w:r>
            <w:rPr>
              <w:rFonts w:hint="eastAsia" w:ascii="楷体_GB2312" w:hAnsi="楷体_GB2312" w:eastAsia="楷体_GB2312" w:cs="楷体_GB2312"/>
              <w:bCs w:val="0"/>
              <w:spacing w:val="-6"/>
              <w:kern w:val="2"/>
              <w:sz w:val="32"/>
              <w:szCs w:val="32"/>
              <w:lang w:val="en-US" w:eastAsia="zh-CN"/>
            </w:rPr>
            <w:instrText xml:space="preserve"> HYPERLINK \l _Toc704497584 </w:instrText>
          </w:r>
          <w:r>
            <w:rPr>
              <w:rFonts w:hint="eastAsia" w:ascii="楷体_GB2312" w:hAnsi="楷体_GB2312" w:eastAsia="楷体_GB2312" w:cs="楷体_GB2312"/>
              <w:bCs w:val="0"/>
              <w:spacing w:val="-6"/>
              <w:kern w:val="2"/>
              <w:sz w:val="32"/>
              <w:szCs w:val="32"/>
              <w:lang w:val="en-US" w:eastAsia="zh-CN"/>
            </w:rPr>
            <w:fldChar w:fldCharType="separate"/>
          </w:r>
          <w:r>
            <w:rPr>
              <w:rFonts w:hint="eastAsia" w:ascii="楷体_GB2312" w:hAnsi="楷体_GB2312" w:eastAsia="楷体_GB2312" w:cs="楷体_GB2312"/>
              <w:bCs w:val="0"/>
              <w:sz w:val="32"/>
              <w:szCs w:val="32"/>
              <w:lang w:val="en-US" w:eastAsia="zh-CN"/>
            </w:rPr>
            <w:t>第四节  健全完善落实机制</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_Toc704497584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58</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bCs w:val="0"/>
              <w:spacing w:val="-6"/>
              <w:kern w:val="2"/>
              <w:sz w:val="32"/>
              <w:szCs w:val="32"/>
              <w:u w:val="none"/>
              <w:lang w:val="en-US" w:eastAsia="zh-CN"/>
            </w:rPr>
            <w:fldChar w:fldCharType="end"/>
          </w:r>
        </w:p>
        <w:p w14:paraId="00A31995">
          <w:pPr>
            <w:pStyle w:val="3"/>
            <w:keepNext w:val="0"/>
            <w:keepLines w:val="0"/>
            <w:pageBreakBefore w:val="0"/>
            <w:widowControl w:val="0"/>
            <w:kinsoku/>
            <w:wordWrap/>
            <w:overflowPunct w:val="0"/>
            <w:topLinePunct w:val="0"/>
            <w:autoSpaceDE/>
            <w:autoSpaceDN/>
            <w:bidi w:val="0"/>
            <w:adjustRightInd w:val="0"/>
            <w:snapToGrid w:val="0"/>
            <w:spacing w:before="313" w:beforeLines="100" w:after="313" w:afterLines="100" w:line="600" w:lineRule="exact"/>
            <w:ind w:left="0" w:leftChars="0" w:firstLine="0" w:firstLineChars="0"/>
            <w:jc w:val="center"/>
            <w:textAlignment w:val="auto"/>
            <w:rPr>
              <w:rFonts w:hint="eastAsia" w:ascii="楷体_GB2312" w:hAnsi="楷体_GB2312" w:eastAsia="楷体_GB2312" w:cs="楷体_GB2312"/>
              <w:bCs w:val="0"/>
              <w:spacing w:val="-6"/>
              <w:kern w:val="2"/>
              <w:szCs w:val="32"/>
              <w:u w:val="none"/>
              <w:lang w:val="en-US" w:eastAsia="zh-CN"/>
            </w:rPr>
          </w:pPr>
          <w:r>
            <w:rPr>
              <w:rFonts w:hint="eastAsia" w:ascii="楷体_GB2312" w:hAnsi="楷体_GB2312" w:eastAsia="楷体_GB2312" w:cs="楷体_GB2312"/>
              <w:bCs w:val="0"/>
              <w:spacing w:val="-6"/>
              <w:kern w:val="2"/>
              <w:szCs w:val="32"/>
              <w:u w:val="none"/>
              <w:lang w:val="en-US" w:eastAsia="zh-CN"/>
            </w:rPr>
            <w:fldChar w:fldCharType="end"/>
          </w:r>
        </w:p>
        <w:p w14:paraId="7101A739">
          <w:pPr>
            <w:rPr>
              <w:rFonts w:hint="eastAsia"/>
              <w:lang w:val="en-US" w:eastAsia="zh-CN"/>
            </w:rPr>
            <w:sectPr>
              <w:footerReference r:id="rId5" w:type="default"/>
              <w:pgSz w:w="11906" w:h="16838"/>
              <w:pgMar w:top="1984" w:right="1502" w:bottom="1814" w:left="1502"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7783279A">
          <w:pPr>
            <w:keepNext w:val="0"/>
            <w:keepLines w:val="0"/>
            <w:pageBreakBefore w:val="0"/>
            <w:widowControl w:val="0"/>
            <w:kinsoku/>
            <w:wordWrap/>
            <w:overflowPunct w:val="0"/>
            <w:topLinePunct w:val="0"/>
            <w:autoSpaceDE/>
            <w:autoSpaceDN/>
            <w:bidi w:val="0"/>
            <w:adjustRightInd w:val="0"/>
            <w:snapToGrid w:val="0"/>
            <w:spacing w:beforeLines="0" w:afterLines="0" w:line="600" w:lineRule="exact"/>
            <w:ind w:left="0" w:leftChars="0" w:firstLine="0" w:firstLineChars="0"/>
            <w:jc w:val="both"/>
            <w:textAlignment w:val="auto"/>
            <w:outlineLvl w:val="9"/>
          </w:pPr>
          <w:bookmarkStart w:id="4" w:name="_Toc211566345"/>
        </w:p>
      </w:sdtContent>
    </w:sdt>
    <w:p w14:paraId="4C610C57">
      <w:pPr>
        <w:keepNext w:val="0"/>
        <w:keepLines w:val="0"/>
        <w:pageBreakBefore w:val="0"/>
        <w:widowControl w:val="0"/>
        <w:kinsoku/>
        <w:wordWrap/>
        <w:overflowPunct w:val="0"/>
        <w:topLinePunct w:val="0"/>
        <w:autoSpaceDE/>
        <w:autoSpaceDN/>
        <w:bidi w:val="0"/>
        <w:adjustRightInd w:val="0"/>
        <w:snapToGrid w:val="0"/>
        <w:spacing w:beforeLines="0" w:afterLines="0" w:line="600" w:lineRule="exact"/>
        <w:ind w:left="0" w:leftChars="0" w:firstLine="0" w:firstLineChars="0"/>
        <w:jc w:val="both"/>
        <w:textAlignment w:val="auto"/>
        <w:outlineLvl w:val="9"/>
        <w:rPr>
          <w:rFonts w:hint="eastAsia" w:ascii="仿宋_GB2312" w:hAnsi="仿宋_GB2312" w:eastAsia="仿宋_GB2312" w:cs="仿宋_GB2312"/>
          <w:b w:val="0"/>
          <w:bCs w:val="0"/>
          <w:spacing w:val="-6"/>
          <w:kern w:val="2"/>
          <w:sz w:val="32"/>
          <w:szCs w:val="32"/>
          <w:u w:val="none"/>
          <w:lang w:val="en-US" w:eastAsia="zh-CN"/>
        </w:rPr>
      </w:pPr>
    </w:p>
    <w:p w14:paraId="66A61B87">
      <w:pPr>
        <w:pStyle w:val="3"/>
        <w:keepNext w:val="0"/>
        <w:keepLines w:val="0"/>
        <w:pageBreakBefore w:val="0"/>
        <w:widowControl w:val="0"/>
        <w:kinsoku/>
        <w:wordWrap/>
        <w:overflowPunct w:val="0"/>
        <w:topLinePunct w:val="0"/>
        <w:autoSpaceDE/>
        <w:autoSpaceDN/>
        <w:bidi w:val="0"/>
        <w:adjustRightInd w:val="0"/>
        <w:snapToGrid w:val="0"/>
        <w:spacing w:beforeLines="0" w:afterLines="0" w:line="600" w:lineRule="exact"/>
        <w:ind w:left="0" w:leftChars="0" w:firstLine="0" w:firstLineChars="0"/>
        <w:jc w:val="both"/>
        <w:textAlignment w:val="auto"/>
        <w:rPr>
          <w:rFonts w:hint="eastAsia" w:ascii="仿宋_GB2312" w:hAnsi="仿宋_GB2312" w:eastAsia="仿宋_GB2312" w:cs="仿宋_GB2312"/>
          <w:b w:val="0"/>
          <w:bCs w:val="0"/>
          <w:spacing w:val="-6"/>
          <w:kern w:val="2"/>
          <w:sz w:val="32"/>
          <w:szCs w:val="32"/>
          <w:u w:val="none"/>
          <w:lang w:val="en-US" w:eastAsia="zh-CN"/>
        </w:rPr>
        <w:sectPr>
          <w:footerReference r:id="rId6" w:type="default"/>
          <w:pgSz w:w="11906" w:h="16838"/>
          <w:pgMar w:top="2098" w:right="1474" w:bottom="1984" w:left="1587"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462E6927">
      <w:pPr>
        <w:keepNext w:val="0"/>
        <w:keepLines w:val="0"/>
        <w:pageBreakBefore w:val="0"/>
        <w:widowControl w:val="0"/>
        <w:kinsoku/>
        <w:wordWrap/>
        <w:overflowPunct w:val="0"/>
        <w:topLinePunct w:val="0"/>
        <w:autoSpaceDE/>
        <w:autoSpaceDN/>
        <w:bidi w:val="0"/>
        <w:adjustRightInd w:val="0"/>
        <w:snapToGrid w:val="0"/>
        <w:spacing w:beforeLines="0" w:afterLines="0" w:line="570" w:lineRule="exact"/>
        <w:ind w:left="0" w:leftChars="0" w:firstLine="608" w:firstLineChars="200"/>
        <w:jc w:val="both"/>
        <w:textAlignment w:val="auto"/>
        <w:outlineLvl w:val="9"/>
        <w:rPr>
          <w:rFonts w:hint="eastAsia" w:ascii="方正小标宋简体" w:hAnsi="方正小标宋简体" w:eastAsia="方正小标宋简体" w:cs="方正小标宋简体"/>
          <w:b w:val="0"/>
          <w:bCs w:val="0"/>
          <w:spacing w:val="-6"/>
          <w:kern w:val="2"/>
          <w:sz w:val="32"/>
          <w:szCs w:val="32"/>
          <w:u w:val="none"/>
          <w:lang w:val="en-US" w:eastAsia="zh-CN"/>
        </w:rPr>
      </w:pPr>
      <w:r>
        <w:rPr>
          <w:rFonts w:hint="eastAsia" w:ascii="仿宋_GB2312" w:hAnsi="仿宋_GB2312" w:eastAsia="仿宋_GB2312" w:cs="仿宋_GB2312"/>
          <w:b w:val="0"/>
          <w:bCs w:val="0"/>
          <w:spacing w:val="-6"/>
          <w:kern w:val="2"/>
          <w:sz w:val="32"/>
          <w:szCs w:val="32"/>
          <w:u w:val="none"/>
          <w:lang w:val="en-US" w:eastAsia="zh-CN"/>
        </w:rPr>
        <w:t>济南市天桥区国民经济和社会发展第十五个五年（2026</w:t>
      </w:r>
      <w:r>
        <w:rPr>
          <w:rFonts w:hint="eastAsia" w:cs="仿宋_GB2312"/>
          <w:b w:val="0"/>
          <w:bCs w:val="0"/>
          <w:spacing w:val="-6"/>
          <w:kern w:val="2"/>
          <w:sz w:val="32"/>
          <w:szCs w:val="32"/>
          <w:u w:val="none"/>
          <w:lang w:val="en-US" w:eastAsia="zh-CN"/>
        </w:rPr>
        <w:t>—</w:t>
      </w:r>
      <w:r>
        <w:rPr>
          <w:rFonts w:hint="eastAsia" w:ascii="仿宋_GB2312" w:hAnsi="仿宋_GB2312" w:eastAsia="仿宋_GB2312" w:cs="仿宋_GB2312"/>
          <w:b w:val="0"/>
          <w:bCs w:val="0"/>
          <w:spacing w:val="-6"/>
          <w:kern w:val="2"/>
          <w:sz w:val="32"/>
          <w:szCs w:val="32"/>
          <w:u w:val="none"/>
          <w:lang w:val="en-US" w:eastAsia="zh-CN"/>
        </w:rPr>
        <w:t>2030年）规划纲要，以习近平新时代中国特色社会主义思想为指导，深入贯彻党的二十届</w:t>
      </w:r>
      <w:r>
        <w:rPr>
          <w:rFonts w:hint="eastAsia" w:cs="仿宋_GB2312"/>
          <w:b w:val="0"/>
          <w:bCs w:val="0"/>
          <w:spacing w:val="-6"/>
          <w:kern w:val="2"/>
          <w:sz w:val="32"/>
          <w:szCs w:val="32"/>
          <w:u w:val="none"/>
          <w:lang w:val="en-US" w:eastAsia="zh-CN"/>
        </w:rPr>
        <w:t>四中</w:t>
      </w:r>
      <w:r>
        <w:rPr>
          <w:rFonts w:hint="eastAsia" w:ascii="仿宋_GB2312" w:hAnsi="仿宋_GB2312" w:eastAsia="仿宋_GB2312" w:cs="仿宋_GB2312"/>
          <w:b w:val="0"/>
          <w:bCs w:val="0"/>
          <w:spacing w:val="-6"/>
          <w:kern w:val="2"/>
          <w:sz w:val="32"/>
          <w:szCs w:val="32"/>
          <w:u w:val="none"/>
          <w:lang w:val="en-US" w:eastAsia="zh-CN"/>
        </w:rPr>
        <w:t>全会精神，认真落实中共山东省委十二届十次全会、市委十二届九次全会暨市委经济工作会议部署，根据《中共济南市天桥区委关于制定济南市天桥区国民经济和社会发展第十五个五年规划的建议》编制，主要阐明</w:t>
      </w:r>
      <w:r>
        <w:rPr>
          <w:rFonts w:hint="eastAsia" w:cs="仿宋_GB2312"/>
          <w:b w:val="0"/>
          <w:bCs w:val="0"/>
          <w:spacing w:val="-6"/>
          <w:kern w:val="2"/>
          <w:sz w:val="32"/>
          <w:szCs w:val="32"/>
          <w:u w:val="none"/>
          <w:lang w:val="en-US" w:eastAsia="zh-CN"/>
        </w:rPr>
        <w:t>全区经济社会发展战略，明确政府工作重点，引导规范经营主体行为，是“十五五”时期现代化强区建设的宏伟蓝图</w:t>
      </w:r>
      <w:r>
        <w:rPr>
          <w:rFonts w:hint="eastAsia" w:ascii="仿宋_GB2312" w:hAnsi="仿宋_GB2312" w:eastAsia="仿宋_GB2312" w:cs="仿宋_GB2312"/>
          <w:b w:val="0"/>
          <w:bCs w:val="0"/>
          <w:spacing w:val="-6"/>
          <w:kern w:val="2"/>
          <w:sz w:val="32"/>
          <w:szCs w:val="32"/>
          <w:u w:val="none"/>
          <w:lang w:val="en-US" w:eastAsia="zh-CN"/>
        </w:rPr>
        <w:t>，是全区人民共同的行动纲领</w:t>
      </w:r>
      <w:r>
        <w:rPr>
          <w:rFonts w:hint="eastAsia" w:cs="仿宋_GB2312"/>
          <w:b w:val="0"/>
          <w:bCs w:val="0"/>
          <w:spacing w:val="-6"/>
          <w:kern w:val="2"/>
          <w:sz w:val="32"/>
          <w:szCs w:val="32"/>
          <w:u w:val="none"/>
          <w:lang w:val="en-US" w:eastAsia="zh-CN"/>
        </w:rPr>
        <w:t>。</w:t>
      </w:r>
    </w:p>
    <w:p w14:paraId="205CE6CC">
      <w:pPr>
        <w:pStyle w:val="2"/>
        <w:keepNext w:val="0"/>
        <w:keepLines w:val="0"/>
        <w:pageBreakBefore w:val="0"/>
        <w:widowControl w:val="0"/>
        <w:kinsoku/>
        <w:wordWrap/>
        <w:overflowPunct w:val="0"/>
        <w:topLinePunct w:val="0"/>
        <w:autoSpaceDE/>
        <w:autoSpaceDN/>
        <w:bidi w:val="0"/>
        <w:adjustRightInd w:val="0"/>
        <w:snapToGrid w:val="0"/>
        <w:spacing w:before="313" w:beforeLines="100" w:after="313" w:afterLines="100" w:line="570" w:lineRule="exact"/>
        <w:ind w:left="0" w:leftChars="0" w:firstLine="0" w:firstLineChars="0"/>
        <w:jc w:val="center"/>
        <w:textAlignment w:val="auto"/>
        <w:rPr>
          <w:rFonts w:hint="eastAsia" w:ascii="方正小标宋简体" w:hAnsi="方正小标宋简体" w:eastAsia="方正小标宋简体" w:cs="方正小标宋简体"/>
          <w:b w:val="0"/>
          <w:bCs w:val="0"/>
          <w:spacing w:val="-6"/>
          <w:sz w:val="32"/>
          <w:szCs w:val="32"/>
          <w:u w:val="none"/>
          <w:lang w:val="en-US" w:eastAsia="zh-CN"/>
        </w:rPr>
      </w:pPr>
      <w:r>
        <w:rPr>
          <w:rFonts w:hint="eastAsia" w:ascii="方正小标宋简体" w:hAnsi="方正小标宋简体" w:eastAsia="方正小标宋简体" w:cs="方正小标宋简体"/>
          <w:b w:val="0"/>
          <w:bCs w:val="0"/>
          <w:spacing w:val="-6"/>
          <w:kern w:val="2"/>
          <w:sz w:val="32"/>
          <w:szCs w:val="32"/>
          <w:u w:val="none"/>
          <w:lang w:val="en-US" w:eastAsia="zh-CN"/>
        </w:rPr>
        <w:t>第一章  开创高质量发展新征程</w:t>
      </w:r>
      <w:bookmarkEnd w:id="4"/>
    </w:p>
    <w:bookmarkEnd w:id="0"/>
    <w:bookmarkEnd w:id="1"/>
    <w:bookmarkEnd w:id="2"/>
    <w:bookmarkEnd w:id="3"/>
    <w:p w14:paraId="1F6AE987">
      <w:pPr>
        <w:keepNext w:val="0"/>
        <w:keepLines w:val="0"/>
        <w:pageBreakBefore w:val="0"/>
        <w:widowControl w:val="0"/>
        <w:kinsoku/>
        <w:wordWrap/>
        <w:overflowPunct/>
        <w:topLinePunct w:val="0"/>
        <w:autoSpaceDE/>
        <w:autoSpaceDN/>
        <w:bidi w:val="0"/>
        <w:adjustRightInd/>
        <w:snapToGrid/>
        <w:spacing w:line="590" w:lineRule="exact"/>
        <w:ind w:firstLine="632" w:firstLineChars="200"/>
        <w:jc w:val="both"/>
        <w:textAlignment w:val="auto"/>
        <w:rPr>
          <w:rFonts w:hint="eastAsia" w:ascii="仿宋_GB2312" w:hAnsi="仿宋_GB2312" w:eastAsia="仿宋_GB2312" w:cs="仿宋_GB2312"/>
          <w:color w:val="000000"/>
          <w:sz w:val="32"/>
          <w:szCs w:val="32"/>
        </w:rPr>
      </w:pPr>
      <w:r>
        <w:rPr>
          <w:rFonts w:hint="eastAsia"/>
          <w:b w:val="0"/>
          <w:bCs w:val="0"/>
          <w:color w:val="auto"/>
          <w:kern w:val="0"/>
          <w:sz w:val="32"/>
          <w:szCs w:val="32"/>
          <w:u w:val="none"/>
          <w:lang w:val="en-US" w:eastAsia="zh-CN"/>
        </w:rPr>
        <w:t>“十五五”时期，是基本实现社会主义现代化夯实基础、全面发力的关键时期，是济南“勇当排头兵、建设强省会”具有决定意义的五年，是天桥</w:t>
      </w:r>
      <w:r>
        <w:rPr>
          <w:rFonts w:hint="eastAsia" w:ascii="仿宋_GB2312" w:hAnsi="仿宋_GB2312" w:eastAsia="仿宋_GB2312" w:cs="仿宋_GB2312"/>
          <w:color w:val="000000"/>
          <w:sz w:val="32"/>
          <w:szCs w:val="32"/>
        </w:rPr>
        <w:t>基本建成新时代社会主义现代化强区积厚成势的关键时期</w:t>
      </w:r>
      <w:r>
        <w:rPr>
          <w:rFonts w:hint="eastAsia"/>
          <w:b w:val="0"/>
          <w:bCs w:val="0"/>
          <w:color w:val="auto"/>
          <w:kern w:val="0"/>
          <w:sz w:val="32"/>
          <w:szCs w:val="32"/>
          <w:u w:val="none"/>
          <w:lang w:val="en-US" w:eastAsia="zh-CN"/>
        </w:rPr>
        <w:t>。站在新的历史起点上，</w:t>
      </w:r>
      <w:r>
        <w:rPr>
          <w:rFonts w:hint="eastAsia" w:ascii="仿宋_GB2312" w:hAnsi="仿宋_GB2312" w:eastAsia="仿宋_GB2312" w:cs="仿宋_GB2312"/>
          <w:color w:val="000000"/>
          <w:sz w:val="32"/>
          <w:szCs w:val="32"/>
        </w:rPr>
        <w:t>必须深刻认识和准确把握“十五五”时期在天桥发展中的历史方位，持续攻坚、接续奋斗，巩固拓展优势、破除瓶颈制约、补强短板弱项，推动各项重点任务取得重大突破，为2035年基本建成新时代社会主义现代化强区奠定更加坚实的基础。</w:t>
      </w:r>
    </w:p>
    <w:p w14:paraId="58135CF3">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70" w:lineRule="exact"/>
        <w:ind w:left="0" w:leftChars="0" w:firstLine="0" w:firstLineChars="0"/>
        <w:jc w:val="center"/>
        <w:textAlignment w:val="auto"/>
        <w:rPr>
          <w:rFonts w:hint="eastAsia"/>
          <w:b w:val="0"/>
          <w:bCs w:val="0"/>
          <w:sz w:val="32"/>
          <w:szCs w:val="32"/>
          <w:u w:val="none"/>
          <w:lang w:val="en-US" w:eastAsia="zh-CN"/>
        </w:rPr>
      </w:pPr>
      <w:bookmarkStart w:id="5" w:name="_Toc1548478404"/>
      <w:r>
        <w:rPr>
          <w:rFonts w:hint="eastAsia"/>
          <w:b w:val="0"/>
          <w:bCs w:val="0"/>
          <w:sz w:val="32"/>
          <w:szCs w:val="32"/>
          <w:u w:val="none"/>
          <w:lang w:val="en-US" w:eastAsia="zh-CN"/>
        </w:rPr>
        <w:t>第一节  发展基础</w:t>
      </w:r>
      <w:bookmarkEnd w:id="5"/>
    </w:p>
    <w:p w14:paraId="5FD27F0C">
      <w:pPr>
        <w:keepNext w:val="0"/>
        <w:keepLines w:val="0"/>
        <w:pageBreakBefore w:val="0"/>
        <w:widowControl w:val="0"/>
        <w:kinsoku/>
        <w:wordWrap/>
        <w:overflowPunct w:val="0"/>
        <w:topLinePunct w:val="0"/>
        <w:autoSpaceDE/>
        <w:autoSpaceDN/>
        <w:bidi w:val="0"/>
        <w:adjustRightInd w:val="0"/>
        <w:snapToGrid w:val="0"/>
        <w:spacing w:afterAutospacing="0" w:line="570" w:lineRule="exact"/>
        <w:ind w:left="0" w:leftChars="0" w:firstLine="632" w:firstLineChars="200"/>
        <w:jc w:val="both"/>
        <w:textAlignment w:val="auto"/>
        <w:outlineLvl w:val="9"/>
        <w:rPr>
          <w:rFonts w:hint="eastAsia"/>
          <w:b w:val="0"/>
          <w:bCs w:val="0"/>
          <w:color w:val="000000" w:themeColor="text1"/>
          <w:kern w:val="0"/>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14:textFill>
            <w14:solidFill>
              <w14:schemeClr w14:val="tx1"/>
            </w14:solidFill>
          </w14:textFill>
        </w:rPr>
        <w:t>“十四五”时期是</w:t>
      </w:r>
      <w:r>
        <w:rPr>
          <w:rFonts w:hint="eastAsia" w:cs="仿宋_GB2312"/>
          <w:color w:val="000000" w:themeColor="text1"/>
          <w:sz w:val="32"/>
          <w:szCs w:val="32"/>
          <w:u w:val="none"/>
          <w:lang w:val="en-US" w:eastAsia="zh-CN"/>
          <w14:textFill>
            <w14:solidFill>
              <w14:schemeClr w14:val="tx1"/>
            </w14:solidFill>
          </w14:textFill>
        </w:rPr>
        <w:t>我</w:t>
      </w:r>
      <w:r>
        <w:rPr>
          <w:rFonts w:hint="eastAsia" w:ascii="仿宋_GB2312" w:hAnsi="仿宋_GB2312" w:eastAsia="仿宋_GB2312" w:cs="仿宋_GB2312"/>
          <w:color w:val="000000" w:themeColor="text1"/>
          <w:sz w:val="32"/>
          <w:szCs w:val="32"/>
          <w:u w:val="none"/>
          <w14:textFill>
            <w14:solidFill>
              <w14:schemeClr w14:val="tx1"/>
            </w14:solidFill>
          </w14:textFill>
        </w:rPr>
        <w:t>区发展进程中极不寻常、极不平凡的五年</w:t>
      </w:r>
      <w:r>
        <w:rPr>
          <w:rFonts w:hint="eastAsia"/>
          <w:b w:val="0"/>
          <w:bCs w:val="0"/>
          <w:color w:val="000000" w:themeColor="text1"/>
          <w:kern w:val="0"/>
          <w:sz w:val="32"/>
          <w:szCs w:val="32"/>
          <w:u w:val="none"/>
          <w:lang w:val="en-US" w:eastAsia="zh-CN"/>
          <w14:textFill>
            <w14:solidFill>
              <w14:schemeClr w14:val="tx1"/>
            </w14:solidFill>
          </w14:textFill>
        </w:rPr>
        <w:t>。</w:t>
      </w:r>
      <w:r>
        <w:rPr>
          <w:rFonts w:hint="eastAsia" w:ascii="仿宋_GB2312" w:hAnsi="仿宋_GB2312" w:eastAsia="仿宋_GB2312" w:cs="仿宋_GB2312"/>
          <w:color w:val="000000"/>
          <w:sz w:val="32"/>
          <w:szCs w:val="32"/>
        </w:rPr>
        <w:t>在以习近平同志为核心的党中央坚强领导下，</w:t>
      </w:r>
      <w:r>
        <w:rPr>
          <w:rFonts w:hint="eastAsia"/>
          <w:b w:val="0"/>
          <w:bCs w:val="0"/>
          <w:color w:val="auto"/>
          <w:kern w:val="0"/>
          <w:sz w:val="32"/>
          <w:szCs w:val="32"/>
          <w:u w:val="none"/>
          <w:lang w:val="en-US" w:eastAsia="zh-CN"/>
        </w:rPr>
        <w:t>天桥区委、区人民政府</w:t>
      </w:r>
      <w:r>
        <w:rPr>
          <w:rFonts w:hint="eastAsia" w:ascii="仿宋_GB2312" w:hAnsi="仿宋_GB2312" w:eastAsia="仿宋_GB2312" w:cs="仿宋_GB2312"/>
          <w:color w:val="000000"/>
          <w:sz w:val="32"/>
          <w:szCs w:val="32"/>
        </w:rPr>
        <w:t>坚持以习近平新时代中国特色社会主义思想为指导，团结</w:t>
      </w:r>
      <w:r>
        <w:rPr>
          <w:rFonts w:hint="eastAsia" w:ascii="仿宋_GB2312" w:hAnsi="仿宋_GB2312" w:eastAsia="仿宋_GB2312" w:cs="仿宋_GB2312"/>
          <w:color w:val="000000"/>
          <w:sz w:val="32"/>
          <w:szCs w:val="32"/>
          <w:highlight w:val="none"/>
        </w:rPr>
        <w:t>带领全区人民迎难而上、砥砺前行，</w:t>
      </w:r>
      <w:r>
        <w:rPr>
          <w:rFonts w:hint="eastAsia" w:ascii="仿宋_GB2312" w:hAnsi="仿宋_GB2312" w:eastAsia="仿宋_GB2312" w:cs="仿宋_GB2312"/>
          <w:color w:val="000000"/>
          <w:sz w:val="32"/>
          <w:szCs w:val="32"/>
        </w:rPr>
        <w:t>积极应对各种风险挑战，奋发有为推进各项事业，经济社会高质量发展取得新成效。</w:t>
      </w:r>
    </w:p>
    <w:p w14:paraId="72EA7FA3">
      <w:pPr>
        <w:pStyle w:val="12"/>
        <w:keepNext w:val="0"/>
        <w:keepLines w:val="0"/>
        <w:pageBreakBefore w:val="0"/>
        <w:widowControl w:val="0"/>
        <w:tabs>
          <w:tab w:val="right" w:leader="dot" w:pos="8306"/>
          <w:tab w:val="clear" w:pos="9060"/>
        </w:tabs>
        <w:kinsoku/>
        <w:wordWrap/>
        <w:overflowPunct w:val="0"/>
        <w:topLinePunct w:val="0"/>
        <w:autoSpaceDE/>
        <w:autoSpaceDN/>
        <w:bidi w:val="0"/>
        <w:adjustRightInd/>
        <w:snapToGrid/>
        <w:spacing w:line="570" w:lineRule="exact"/>
        <w:ind w:firstLine="632" w:firstLineChars="200"/>
        <w:textAlignment w:val="auto"/>
        <w:rPr>
          <w:rFonts w:hint="eastAsia" w:ascii="仿宋_GB2312" w:hAnsi="仿宋_GB2312" w:eastAsia="仿宋_GB2312" w:cs="仿宋_GB2312"/>
          <w:color w:val="000000" w:themeColor="text1"/>
          <w:kern w:val="2"/>
          <w:sz w:val="32"/>
          <w:szCs w:val="32"/>
          <w:u w:val="none"/>
          <w:lang w:val="en-US" w:eastAsia="zh-CN" w:bidi="ar-SA"/>
          <w14:textFill>
            <w14:solidFill>
              <w14:schemeClr w14:val="tx1"/>
            </w14:solidFill>
          </w14:textFill>
        </w:rPr>
      </w:pPr>
      <w:r>
        <w:rPr>
          <w:rFonts w:hint="eastAsia" w:ascii="仿宋_GB2312" w:hAnsi="仿宋_GB2312" w:eastAsia="仿宋_GB2312" w:cs="仿宋_GB2312"/>
          <w:b/>
          <w:bCs/>
          <w:kern w:val="2"/>
          <w:sz w:val="32"/>
          <w:szCs w:val="32"/>
          <w:lang w:val="en-US" w:eastAsia="zh-CN" w:bidi="ar-SA"/>
        </w:rPr>
        <w:t>黄河流域生态保护和高质量发展战略深入落实。</w:t>
      </w:r>
      <w:r>
        <w:rPr>
          <w:rFonts w:hint="eastAsia" w:ascii="仿宋_GB2312" w:hAnsi="仿宋_GB2312" w:eastAsia="仿宋_GB2312" w:cs="仿宋_GB2312"/>
          <w:kern w:val="2"/>
          <w:sz w:val="32"/>
          <w:szCs w:val="32"/>
          <w:lang w:val="en-US" w:eastAsia="zh-CN" w:bidi="ar-SA"/>
        </w:rPr>
        <w:t>全力保障黄河长治久安，圆满完成全区雨污合流管网清零任务目标，以全省第1名成绩入选全国第六批节水型社会建设达标县（区）。济南黄河标准化堤防工程记事碑入选“共和国印记”见证物，泺口黄河风景区入选水利部第四届水工程与水文化有机融合案例，</w:t>
      </w:r>
      <w:r>
        <w:rPr>
          <w:rFonts w:hint="eastAsia" w:ascii="仿宋_GB2312" w:hAnsi="仿宋_GB2312" w:eastAsia="仿宋_GB2312" w:cs="仿宋_GB2312"/>
          <w:sz w:val="32"/>
          <w:szCs w:val="32"/>
          <w:lang w:val="en-US" w:eastAsia="zh-CN"/>
        </w:rPr>
        <w:t>济南百里黄河风景区</w:t>
      </w:r>
      <w:r>
        <w:rPr>
          <w:rFonts w:hint="eastAsia" w:ascii="仿宋_GB2312" w:hAnsi="仿宋_GB2312" w:eastAsia="仿宋_GB2312" w:cs="仿宋_GB2312"/>
          <w:kern w:val="2"/>
          <w:sz w:val="32"/>
          <w:szCs w:val="32"/>
          <w:lang w:val="en-US" w:eastAsia="zh-CN" w:bidi="ar-SA"/>
        </w:rPr>
        <w:t>晋级为国家3A级旅游景区并入选水利部《红色基因水利风景区名录》，</w:t>
      </w:r>
      <w:r>
        <w:rPr>
          <w:rFonts w:hint="eastAsia" w:ascii="仿宋_GB2312" w:hAnsi="仿宋_GB2312" w:eastAsia="仿宋_GB2312" w:cs="仿宋_GB2312"/>
          <w:b w:val="0"/>
          <w:bCs/>
          <w:color w:val="000000" w:themeColor="text1"/>
          <w:sz w:val="32"/>
          <w:szCs w:val="32"/>
          <w:highlight w:val="none"/>
          <w:u w:val="none"/>
          <w:lang w:val="en-US" w:eastAsia="zh-CN"/>
          <w14:textFill>
            <w14:solidFill>
              <w14:schemeClr w14:val="tx1"/>
            </w14:solidFill>
          </w14:textFill>
        </w:rPr>
        <w:t>持续擦亮“天桥百工”、“黄河非遗娃”、“泉城非遗娃”文化品牌</w:t>
      </w:r>
      <w:r>
        <w:rPr>
          <w:rFonts w:hint="eastAsia" w:ascii="仿宋_GB2312" w:hAnsi="仿宋_GB2312" w:eastAsia="仿宋_GB2312" w:cs="仿宋_GB2312"/>
          <w:color w:val="000000" w:themeColor="text1"/>
          <w:kern w:val="2"/>
          <w:sz w:val="32"/>
          <w:szCs w:val="32"/>
          <w:u w:val="none"/>
          <w:lang w:val="en-US" w:eastAsia="zh-CN" w:bidi="ar-SA"/>
          <w14:textFill>
            <w14:solidFill>
              <w14:schemeClr w14:val="tx1"/>
            </w14:solidFill>
          </w14:textFill>
        </w:rPr>
        <w:t>。</w:t>
      </w:r>
    </w:p>
    <w:p w14:paraId="775EFED2">
      <w:pPr>
        <w:pStyle w:val="12"/>
        <w:keepNext w:val="0"/>
        <w:keepLines w:val="0"/>
        <w:pageBreakBefore w:val="0"/>
        <w:widowControl w:val="0"/>
        <w:tabs>
          <w:tab w:val="right" w:leader="dot" w:pos="8306"/>
          <w:tab w:val="clear" w:pos="9060"/>
        </w:tabs>
        <w:kinsoku/>
        <w:wordWrap/>
        <w:overflowPunct w:val="0"/>
        <w:topLinePunct w:val="0"/>
        <w:autoSpaceDE/>
        <w:autoSpaceDN/>
        <w:bidi w:val="0"/>
        <w:adjustRightInd/>
        <w:snapToGrid/>
        <w:spacing w:line="570" w:lineRule="exact"/>
        <w:ind w:firstLine="632"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color w:val="auto"/>
          <w:kern w:val="0"/>
          <w:sz w:val="32"/>
          <w:szCs w:val="32"/>
          <w:u w:val="none"/>
          <w:lang w:val="en-US" w:eastAsia="zh-CN"/>
        </w:rPr>
        <w:t>综合实力显著增强</w:t>
      </w:r>
      <w:r>
        <w:rPr>
          <w:rFonts w:hint="eastAsia" w:ascii="仿宋_GB2312" w:hAnsi="仿宋_GB2312" w:eastAsia="仿宋_GB2312" w:cs="仿宋_GB2312"/>
          <w:b/>
          <w:bCs/>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全区经济发展总体平稳、稳中有进。“十四五”时期，地区生产总值达到868.5亿元，经济总量跨越600亿元、700亿元、800亿元三个百亿级台阶；一般公共预算收入累计完成204亿元；固定资产投资累计超过1000亿元；社会消费品零售总额达到438亿元；</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规模以上工业总产值增长45%；</w:t>
      </w:r>
      <w:r>
        <w:rPr>
          <w:rFonts w:hint="eastAsia" w:ascii="仿宋_GB2312" w:hAnsi="仿宋_GB2312" w:eastAsia="仿宋_GB2312" w:cs="仿宋_GB2312"/>
          <w:kern w:val="2"/>
          <w:sz w:val="32"/>
          <w:szCs w:val="32"/>
          <w:lang w:val="en-US" w:eastAsia="zh-CN" w:bidi="ar-SA"/>
        </w:rPr>
        <w:t>进出口总额年均增长10.4%；</w:t>
      </w:r>
      <w:r>
        <w:rPr>
          <w:rFonts w:hint="eastAsia" w:ascii="仿宋_GB2312" w:hAnsi="仿宋_GB2312" w:eastAsia="仿宋_GB2312" w:cs="仿宋_GB2312"/>
          <w:kern w:val="2"/>
          <w:sz w:val="32"/>
          <w:szCs w:val="32"/>
          <w:highlight w:val="none"/>
          <w:lang w:val="en-US" w:eastAsia="zh-CN" w:bidi="ar-SA"/>
        </w:rPr>
        <w:t>全体居民人均可支配收入年均增长5.3%。</w:t>
      </w:r>
    </w:p>
    <w:p w14:paraId="62FBE34C">
      <w:pPr>
        <w:keepNext w:val="0"/>
        <w:keepLines w:val="0"/>
        <w:pageBreakBefore w:val="0"/>
        <w:widowControl w:val="0"/>
        <w:kinsoku/>
        <w:wordWrap/>
        <w:overflowPunct w:val="0"/>
        <w:topLinePunct w:val="0"/>
        <w:autoSpaceDE/>
        <w:autoSpaceDN/>
        <w:bidi w:val="0"/>
        <w:spacing w:line="570" w:lineRule="exact"/>
        <w:textAlignment w:val="auto"/>
        <w:rPr>
          <w:rFonts w:hint="eastAsia" w:cs="仿宋_GB2312"/>
          <w:kern w:val="2"/>
          <w:sz w:val="32"/>
          <w:szCs w:val="32"/>
          <w:lang w:val="en-US" w:eastAsia="zh-CN" w:bidi="ar-SA"/>
        </w:rPr>
      </w:pPr>
      <w:r>
        <w:rPr>
          <w:rFonts w:hint="default" w:cs="仿宋_GB2312"/>
          <w:b/>
          <w:bCs/>
          <w:color w:val="auto"/>
          <w:kern w:val="0"/>
          <w:sz w:val="32"/>
          <w:szCs w:val="32"/>
          <w:highlight w:val="none"/>
          <w:u w:val="none"/>
          <w:lang w:val="en-US" w:eastAsia="zh-CN"/>
        </w:rPr>
        <w:t>产业体系</w:t>
      </w:r>
      <w:r>
        <w:rPr>
          <w:rFonts w:hint="eastAsia" w:cs="仿宋_GB2312"/>
          <w:b/>
          <w:bCs/>
          <w:color w:val="auto"/>
          <w:kern w:val="0"/>
          <w:sz w:val="32"/>
          <w:szCs w:val="32"/>
          <w:highlight w:val="none"/>
          <w:u w:val="none"/>
          <w:lang w:val="en-US" w:eastAsia="zh-CN"/>
        </w:rPr>
        <w:t>显著升级。</w:t>
      </w:r>
      <w:r>
        <w:rPr>
          <w:rFonts w:hint="eastAsia" w:ascii="仿宋_GB2312" w:hAnsi="仿宋_GB2312" w:eastAsia="仿宋_GB2312" w:cs="仿宋_GB2312"/>
          <w:kern w:val="2"/>
          <w:sz w:val="32"/>
          <w:szCs w:val="32"/>
          <w:highlight w:val="none"/>
          <w:lang w:val="en-US" w:eastAsia="zh-CN" w:bidi="ar-SA"/>
        </w:rPr>
        <w:t>坚定不移实施</w:t>
      </w:r>
      <w:r>
        <w:rPr>
          <w:rFonts w:hint="eastAsia" w:cs="仿宋_GB2312"/>
          <w:kern w:val="2"/>
          <w:sz w:val="32"/>
          <w:szCs w:val="32"/>
          <w:highlight w:val="none"/>
          <w:lang w:val="en-US" w:eastAsia="zh-CN" w:bidi="ar-SA"/>
        </w:rPr>
        <w:t>“</w:t>
      </w:r>
      <w:r>
        <w:rPr>
          <w:rFonts w:hint="eastAsia" w:ascii="仿宋_GB2312" w:hAnsi="仿宋_GB2312" w:eastAsia="仿宋_GB2312" w:cs="仿宋_GB2312"/>
          <w:kern w:val="2"/>
          <w:sz w:val="32"/>
          <w:szCs w:val="32"/>
          <w:highlight w:val="none"/>
          <w:lang w:val="en-US" w:eastAsia="zh-CN" w:bidi="ar-SA"/>
        </w:rPr>
        <w:t>工业强</w:t>
      </w:r>
      <w:r>
        <w:rPr>
          <w:rFonts w:hint="eastAsia" w:cs="仿宋_GB2312"/>
          <w:kern w:val="2"/>
          <w:sz w:val="32"/>
          <w:szCs w:val="32"/>
          <w:highlight w:val="none"/>
          <w:lang w:val="en-US" w:eastAsia="zh-CN" w:bidi="ar-SA"/>
        </w:rPr>
        <w:t>区”</w:t>
      </w:r>
      <w:r>
        <w:rPr>
          <w:rFonts w:hint="eastAsia" w:ascii="仿宋_GB2312" w:hAnsi="仿宋_GB2312" w:eastAsia="仿宋_GB2312" w:cs="仿宋_GB2312"/>
          <w:kern w:val="2"/>
          <w:sz w:val="32"/>
          <w:szCs w:val="32"/>
          <w:highlight w:val="none"/>
          <w:lang w:val="en-US" w:eastAsia="zh-CN" w:bidi="ar-SA"/>
        </w:rPr>
        <w:t>战略，</w:t>
      </w:r>
      <w:r>
        <w:rPr>
          <w:rFonts w:hint="eastAsia" w:cs="仿宋_GB2312"/>
          <w:kern w:val="2"/>
          <w:sz w:val="32"/>
          <w:szCs w:val="32"/>
          <w:highlight w:val="none"/>
          <w:lang w:val="en-US" w:eastAsia="zh-CN" w:bidi="ar-SA"/>
        </w:rPr>
        <w:t>持续推动济南新材料产业园区发展壮大，园区面积由4.7平</w:t>
      </w:r>
      <w:r>
        <w:rPr>
          <w:rFonts w:hint="eastAsia" w:cs="仿宋_GB2312"/>
          <w:kern w:val="2"/>
          <w:sz w:val="32"/>
          <w:szCs w:val="32"/>
          <w:lang w:val="en-US" w:eastAsia="zh-CN" w:bidi="ar-SA"/>
        </w:rPr>
        <w:t>方公里拓展至14.85平方公里。</w:t>
      </w:r>
      <w:r>
        <w:rPr>
          <w:rFonts w:hint="eastAsia"/>
          <w:kern w:val="2"/>
          <w:szCs w:val="32"/>
          <w:highlight w:val="none"/>
        </w:rPr>
        <w:t>聚焦新能源装备、高端数控机床与机器人、先进材料等主导产业，着力构建现代化产业链体系。</w:t>
      </w:r>
      <w:r>
        <w:rPr>
          <w:rFonts w:hint="eastAsia" w:cs="仿宋_GB2312"/>
          <w:kern w:val="2"/>
          <w:sz w:val="32"/>
          <w:szCs w:val="32"/>
          <w:lang w:val="en-US" w:eastAsia="zh-CN" w:bidi="ar-SA"/>
        </w:rPr>
        <w:t>招引东方雨虹绿色建材生产基地、德源电力智能设备研发生产等制造业项目。</w:t>
      </w:r>
      <w:r>
        <w:rPr>
          <w:rFonts w:hint="eastAsia" w:ascii="仿宋_GB2312" w:hAnsi="仿宋_GB2312" w:eastAsia="仿宋_GB2312" w:cs="仿宋_GB2312"/>
          <w:kern w:val="2"/>
          <w:sz w:val="32"/>
          <w:szCs w:val="32"/>
          <w:lang w:val="en-US" w:eastAsia="zh-CN" w:bidi="ar-SA"/>
        </w:rPr>
        <w:t>商贸转型消费活力</w:t>
      </w:r>
      <w:r>
        <w:rPr>
          <w:rFonts w:hint="eastAsia" w:cs="仿宋_GB2312"/>
          <w:kern w:val="2"/>
          <w:sz w:val="32"/>
          <w:szCs w:val="32"/>
          <w:lang w:val="en-US" w:eastAsia="zh-CN" w:bidi="ar-SA"/>
        </w:rPr>
        <w:t>持续激发，堤口果品、泺口服装城泺享汇2个国家级现代商贸流通体系试点项目顺利通过验收。打造凤凰山、黄台两个国家级电商园区，6家专业市场在首届中国服务消费创新大会暨第二十五届中国商品交易市场大会获奖，招引上药控股和优配车联山东总部等商贸业领军项目。现代服务业能级持续跃升，招引中科卫星、国网英大金融中心等服务业重点项目，金融业、营利性服务业等细分领域增长稳定，成为推动天桥经济增长的重要引擎。</w:t>
      </w:r>
    </w:p>
    <w:p w14:paraId="38DF7DE2">
      <w:pPr>
        <w:keepNext w:val="0"/>
        <w:keepLines w:val="0"/>
        <w:pageBreakBefore w:val="0"/>
        <w:widowControl w:val="0"/>
        <w:kinsoku/>
        <w:wordWrap/>
        <w:overflowPunct w:val="0"/>
        <w:topLinePunct w:val="0"/>
        <w:autoSpaceDE/>
        <w:autoSpaceDN/>
        <w:bidi w:val="0"/>
        <w:spacing w:line="570" w:lineRule="exact"/>
        <w:textAlignment w:val="auto"/>
        <w:rPr>
          <w:rFonts w:hint="eastAsia" w:cs="仿宋_GB2312"/>
          <w:b w:val="0"/>
          <w:bCs w:val="0"/>
          <w:color w:val="auto"/>
          <w:kern w:val="0"/>
          <w:sz w:val="32"/>
          <w:szCs w:val="32"/>
          <w:u w:val="none"/>
          <w:lang w:val="en-US" w:eastAsia="zh-CN"/>
        </w:rPr>
      </w:pPr>
      <w:r>
        <w:rPr>
          <w:rFonts w:hint="default" w:cs="仿宋_GB2312"/>
          <w:b/>
          <w:bCs/>
          <w:color w:val="auto"/>
          <w:kern w:val="0"/>
          <w:sz w:val="32"/>
          <w:szCs w:val="32"/>
          <w:u w:val="none"/>
          <w:lang w:val="en-US" w:eastAsia="zh-CN"/>
        </w:rPr>
        <w:t>创新能力显著</w:t>
      </w:r>
      <w:r>
        <w:rPr>
          <w:rFonts w:hint="eastAsia" w:cs="仿宋_GB2312"/>
          <w:b/>
          <w:bCs/>
          <w:color w:val="auto"/>
          <w:kern w:val="0"/>
          <w:sz w:val="32"/>
          <w:szCs w:val="32"/>
          <w:u w:val="none"/>
          <w:lang w:val="en-US" w:eastAsia="zh-CN"/>
        </w:rPr>
        <w:t>增强</w:t>
      </w:r>
      <w:r>
        <w:rPr>
          <w:rFonts w:hint="eastAsia" w:cs="仿宋_GB2312"/>
          <w:b w:val="0"/>
          <w:bCs w:val="0"/>
          <w:color w:val="auto"/>
          <w:kern w:val="0"/>
          <w:sz w:val="32"/>
          <w:szCs w:val="32"/>
          <w:u w:val="none"/>
          <w:lang w:val="en-US" w:eastAsia="zh-CN"/>
        </w:rPr>
        <w:t>。</w:t>
      </w:r>
      <w:r>
        <w:rPr>
          <w:rFonts w:hint="eastAsia" w:cs="仿宋_GB2312"/>
          <w:b w:val="0"/>
          <w:bCs w:val="0"/>
          <w:color w:val="auto"/>
          <w:kern w:val="0"/>
          <w:sz w:val="32"/>
          <w:szCs w:val="32"/>
          <w:highlight w:val="none"/>
          <w:u w:val="none"/>
          <w:lang w:val="en-US" w:eastAsia="zh-CN"/>
        </w:rPr>
        <w:t>科技成果不断涌现，</w:t>
      </w:r>
      <w:r>
        <w:rPr>
          <w:rFonts w:hint="eastAsia" w:cs="仿宋_GB2312"/>
          <w:kern w:val="2"/>
          <w:sz w:val="32"/>
          <w:szCs w:val="32"/>
          <w:highlight w:val="none"/>
          <w:lang w:val="en-US" w:eastAsia="zh-CN" w:bidi="ar-SA"/>
        </w:rPr>
        <w:t>中科卫星在星载领域突破关键技术创造多项“全国第一”。</w:t>
      </w:r>
      <w:r>
        <w:rPr>
          <w:rFonts w:hint="eastAsia" w:cs="仿宋_GB2312"/>
          <w:b w:val="0"/>
          <w:bCs w:val="0"/>
          <w:color w:val="auto"/>
          <w:kern w:val="0"/>
          <w:sz w:val="32"/>
          <w:szCs w:val="32"/>
          <w:highlight w:val="none"/>
          <w:u w:val="none"/>
          <w:lang w:val="en-US" w:eastAsia="zh-CN"/>
        </w:rPr>
        <w:t>科技创新平台加速汇集，新增院士专家工作站、重点实验室等市级以上科技创新平台94个，成立国内首家电磁功能结构创新中心，检验检测产业园获评国家智能与检测协同创新中心。创新型企业数量、质量齐增长，实施“高新技术企业倍增计划”、“科技型中小企业育苗工程”，高新技术企业数量翻番、产值占规模以上工业总产值比重达82%。</w:t>
      </w:r>
      <w:r>
        <w:rPr>
          <w:rFonts w:hint="eastAsia" w:cs="仿宋_GB2312"/>
          <w:b w:val="0"/>
          <w:bCs w:val="0"/>
          <w:color w:val="auto"/>
          <w:kern w:val="0"/>
          <w:sz w:val="32"/>
          <w:szCs w:val="32"/>
          <w:u w:val="none"/>
          <w:lang w:val="en-US" w:eastAsia="zh-CN"/>
        </w:rPr>
        <w:t>高层次人才加速集聚，创新打造“桥楚人才”品牌，济南特种结构研究所成功获批国家级博士后科研工作站。获评“全国科技创新百强区”、“国家知识产权强县工程示范区”、“山东首批技术转移先进区”等荣誉称号。</w:t>
      </w:r>
    </w:p>
    <w:p w14:paraId="54455FFF">
      <w:pPr>
        <w:keepNext w:val="0"/>
        <w:keepLines w:val="0"/>
        <w:pageBreakBefore w:val="0"/>
        <w:widowControl w:val="0"/>
        <w:kinsoku/>
        <w:wordWrap/>
        <w:overflowPunct w:val="0"/>
        <w:topLinePunct w:val="0"/>
        <w:autoSpaceDE/>
        <w:autoSpaceDN/>
        <w:bidi w:val="0"/>
        <w:spacing w:line="570" w:lineRule="exact"/>
        <w:textAlignment w:val="auto"/>
        <w:rPr>
          <w:rFonts w:hint="eastAsia" w:cs="仿宋_GB2312"/>
          <w:b w:val="0"/>
          <w:bCs w:val="0"/>
          <w:color w:val="auto"/>
          <w:kern w:val="0"/>
          <w:sz w:val="32"/>
          <w:szCs w:val="32"/>
          <w:u w:val="none"/>
          <w:lang w:val="en-US" w:eastAsia="zh-CN"/>
        </w:rPr>
      </w:pPr>
      <w:r>
        <w:rPr>
          <w:rFonts w:hint="eastAsia" w:cs="仿宋_GB2312"/>
          <w:b/>
          <w:bCs/>
          <w:color w:val="auto"/>
          <w:kern w:val="0"/>
          <w:sz w:val="32"/>
          <w:szCs w:val="32"/>
          <w:u w:val="none"/>
          <w:lang w:val="en-US" w:eastAsia="zh-CN"/>
        </w:rPr>
        <w:t>城市品质显著提升。</w:t>
      </w:r>
      <w:r>
        <w:rPr>
          <w:rFonts w:hint="eastAsia" w:cs="仿宋_GB2312"/>
          <w:b w:val="0"/>
          <w:bCs w:val="0"/>
          <w:color w:val="auto"/>
          <w:kern w:val="0"/>
          <w:sz w:val="32"/>
          <w:szCs w:val="32"/>
          <w:u w:val="none"/>
          <w:lang w:val="en-US" w:eastAsia="zh-CN"/>
        </w:rPr>
        <w:t>全力推进产城融合发展，</w:t>
      </w:r>
      <w:r>
        <w:rPr>
          <w:rFonts w:hint="eastAsia" w:ascii="仿宋_GB2312" w:hAnsi="仿宋_GB2312" w:eastAsia="仿宋_GB2312" w:cs="仿宋_GB2312"/>
          <w:kern w:val="2"/>
          <w:sz w:val="32"/>
          <w:szCs w:val="32"/>
          <w:highlight w:val="none"/>
          <w:lang w:val="en-US" w:eastAsia="zh-CN" w:bidi="ar-SA"/>
        </w:rPr>
        <w:t>成为全市首个批复</w:t>
      </w:r>
      <w:r>
        <w:rPr>
          <w:rFonts w:hint="eastAsia" w:cs="仿宋_GB2312"/>
          <w:kern w:val="2"/>
          <w:sz w:val="32"/>
          <w:szCs w:val="32"/>
          <w:highlight w:val="none"/>
          <w:lang w:val="en-US" w:eastAsia="zh-CN" w:bidi="ar-SA"/>
        </w:rPr>
        <w:t>及</w:t>
      </w:r>
      <w:r>
        <w:rPr>
          <w:rFonts w:hint="eastAsia" w:ascii="仿宋_GB2312" w:hAnsi="仿宋_GB2312" w:eastAsia="仿宋_GB2312" w:cs="仿宋_GB2312"/>
          <w:kern w:val="2"/>
          <w:sz w:val="32"/>
          <w:szCs w:val="32"/>
          <w:highlight w:val="none"/>
          <w:lang w:val="en-US" w:eastAsia="zh-CN" w:bidi="ar-SA"/>
        </w:rPr>
        <w:t>完成控规全覆盖</w:t>
      </w:r>
      <w:r>
        <w:rPr>
          <w:rFonts w:hint="eastAsia" w:cs="仿宋_GB2312"/>
          <w:kern w:val="2"/>
          <w:sz w:val="32"/>
          <w:szCs w:val="32"/>
          <w:highlight w:val="none"/>
          <w:lang w:val="en-US" w:eastAsia="zh-CN" w:bidi="ar-SA"/>
        </w:rPr>
        <w:t>的</w:t>
      </w:r>
      <w:r>
        <w:rPr>
          <w:rFonts w:hint="eastAsia" w:ascii="仿宋_GB2312" w:hAnsi="仿宋_GB2312" w:eastAsia="仿宋_GB2312" w:cs="仿宋_GB2312"/>
          <w:kern w:val="2"/>
          <w:sz w:val="32"/>
          <w:szCs w:val="32"/>
          <w:highlight w:val="none"/>
          <w:lang w:val="en-US" w:eastAsia="zh-CN" w:bidi="ar-SA"/>
        </w:rPr>
        <w:t>县区</w:t>
      </w:r>
      <w:r>
        <w:rPr>
          <w:rFonts w:hint="eastAsia" w:cs="仿宋_GB2312"/>
          <w:kern w:val="2"/>
          <w:sz w:val="32"/>
          <w:szCs w:val="32"/>
          <w:highlight w:val="none"/>
          <w:lang w:val="en-US" w:eastAsia="zh-CN" w:bidi="ar-SA"/>
        </w:rPr>
        <w:t>，</w:t>
      </w:r>
      <w:r>
        <w:rPr>
          <w:rFonts w:hint="eastAsia" w:cs="仿宋_GB2312"/>
          <w:b w:val="0"/>
          <w:bCs w:val="0"/>
          <w:color w:val="auto"/>
          <w:kern w:val="0"/>
          <w:sz w:val="32"/>
          <w:szCs w:val="32"/>
          <w:u w:val="none"/>
          <w:lang w:val="en-US" w:eastAsia="zh-CN"/>
        </w:rPr>
        <w:t>有序开展城市更新行动，大力推动片区开发建设，有力推进老旧小区改造，实现城区由规模扩张、形态建设向功能提升、</w:t>
      </w:r>
      <w:r>
        <w:rPr>
          <w:rFonts w:hint="eastAsia" w:cs="仿宋_GB2312"/>
          <w:b w:val="0"/>
          <w:bCs w:val="0"/>
          <w:color w:val="auto"/>
          <w:kern w:val="0"/>
          <w:sz w:val="32"/>
          <w:szCs w:val="32"/>
          <w:highlight w:val="none"/>
          <w:u w:val="none"/>
          <w:lang w:val="en-US" w:eastAsia="zh-CN"/>
        </w:rPr>
        <w:t>内涵式发展</w:t>
      </w:r>
      <w:r>
        <w:rPr>
          <w:rFonts w:hint="eastAsia" w:cs="仿宋_GB2312"/>
          <w:b w:val="0"/>
          <w:bCs w:val="0"/>
          <w:color w:val="auto"/>
          <w:kern w:val="0"/>
          <w:sz w:val="32"/>
          <w:szCs w:val="32"/>
          <w:u w:val="none"/>
          <w:lang w:val="en-US" w:eastAsia="zh-CN"/>
        </w:rPr>
        <w:t>转变，累计拆迁622万平方米，改造老旧小区588万平方米，北湖片区、药山西等重点区域形象焕然一新。济泺路穿黄隧道、黄河齐鲁大桥、轨道交通建成通车，黄岗路穿黄隧道开工建设，新沙路、美里路、无影山东路、顺河西街、标山路等道路完成改造，辖区路网结构不断提升，城市建管水平持续增强，“大城管”体系作用更加明显。农村人居环境持续改善，农村规模化供水全覆盖，生活垃圾无害化处理率100%。</w:t>
      </w:r>
    </w:p>
    <w:p w14:paraId="72429F00">
      <w:pPr>
        <w:keepNext w:val="0"/>
        <w:keepLines w:val="0"/>
        <w:pageBreakBefore w:val="0"/>
        <w:widowControl w:val="0"/>
        <w:kinsoku/>
        <w:wordWrap/>
        <w:overflowPunct w:val="0"/>
        <w:topLinePunct w:val="0"/>
        <w:autoSpaceDE/>
        <w:autoSpaceDN/>
        <w:bidi w:val="0"/>
        <w:spacing w:line="570" w:lineRule="exact"/>
        <w:textAlignment w:val="auto"/>
        <w:rPr>
          <w:rFonts w:hint="eastAsia" w:cs="仿宋_GB2312"/>
          <w:b w:val="0"/>
          <w:bCs w:val="0"/>
          <w:color w:val="auto"/>
          <w:kern w:val="0"/>
          <w:sz w:val="32"/>
          <w:szCs w:val="32"/>
          <w:u w:val="none"/>
          <w:lang w:val="en-US" w:eastAsia="zh-CN"/>
        </w:rPr>
      </w:pPr>
      <w:r>
        <w:rPr>
          <w:rFonts w:hint="eastAsia" w:cs="仿宋_GB2312"/>
          <w:b/>
          <w:bCs/>
          <w:color w:val="auto"/>
          <w:kern w:val="0"/>
          <w:sz w:val="32"/>
          <w:szCs w:val="32"/>
          <w:u w:val="none"/>
          <w:lang w:val="en-US" w:eastAsia="zh-CN"/>
        </w:rPr>
        <w:t>生态环境明显改善。</w:t>
      </w:r>
      <w:r>
        <w:rPr>
          <w:rFonts w:hint="eastAsia" w:cs="仿宋_GB2312"/>
          <w:b w:val="0"/>
          <w:bCs w:val="0"/>
          <w:color w:val="auto"/>
          <w:kern w:val="0"/>
          <w:sz w:val="32"/>
          <w:szCs w:val="32"/>
          <w:u w:val="none"/>
          <w:lang w:val="en-US" w:eastAsia="zh-CN"/>
        </w:rPr>
        <w:t>生态文明体系全面构筑，全区空气质量、水环境质量综合排名位居全市前列</w:t>
      </w:r>
      <w:r>
        <w:rPr>
          <w:rFonts w:hint="eastAsia" w:ascii="仿宋_GB2312" w:hAnsi="仿宋_GB2312" w:eastAsia="仿宋_GB2312" w:cs="仿宋_GB2312"/>
          <w:b w:val="0"/>
          <w:bCs w:val="0"/>
          <w:kern w:val="2"/>
          <w:sz w:val="32"/>
          <w:szCs w:val="32"/>
          <w:lang w:val="en-US" w:eastAsia="zh-CN" w:bidi="ar-SA"/>
        </w:rPr>
        <w:t>，</w:t>
      </w:r>
      <w:r>
        <w:rPr>
          <w:rFonts w:hint="eastAsia" w:cs="仿宋_GB2312"/>
          <w:b w:val="0"/>
          <w:bCs w:val="0"/>
          <w:color w:val="auto"/>
          <w:kern w:val="0"/>
          <w:sz w:val="32"/>
          <w:szCs w:val="32"/>
          <w:u w:val="none"/>
          <w:lang w:val="en-US" w:eastAsia="zh-CN"/>
        </w:rPr>
        <w:t>PM</w:t>
      </w:r>
      <w:r>
        <w:rPr>
          <w:rFonts w:hint="eastAsia" w:cs="仿宋_GB2312"/>
          <w:b w:val="0"/>
          <w:bCs w:val="0"/>
          <w:color w:val="auto"/>
          <w:kern w:val="0"/>
          <w:sz w:val="32"/>
          <w:szCs w:val="32"/>
          <w:u w:val="none"/>
          <w:vertAlign w:val="subscript"/>
          <w:lang w:val="en-US" w:eastAsia="zh-CN"/>
        </w:rPr>
        <w:t>2.5</w:t>
      </w:r>
      <w:r>
        <w:rPr>
          <w:rFonts w:hint="eastAsia" w:cs="仿宋_GB2312"/>
          <w:b w:val="0"/>
          <w:bCs w:val="0"/>
          <w:color w:val="auto"/>
          <w:kern w:val="0"/>
          <w:sz w:val="32"/>
          <w:szCs w:val="32"/>
          <w:u w:val="none"/>
          <w:lang w:val="en-US" w:eastAsia="zh-CN"/>
        </w:rPr>
        <w:t>浓度下降34.8%，国控断面优良水体比例连续五年保持100%，</w:t>
      </w:r>
      <w:r>
        <w:rPr>
          <w:rFonts w:hint="eastAsia" w:ascii="仿宋_GB2312" w:hAnsi="仿宋_GB2312" w:eastAsia="仿宋_GB2312" w:cs="仿宋_GB2312"/>
          <w:b w:val="0"/>
          <w:bCs w:val="0"/>
          <w:kern w:val="2"/>
          <w:sz w:val="32"/>
          <w:szCs w:val="32"/>
          <w:lang w:val="en-US" w:eastAsia="zh-CN" w:bidi="ar-SA"/>
        </w:rPr>
        <w:t>重点建设用地安全利用得到有效保障</w:t>
      </w:r>
      <w:r>
        <w:rPr>
          <w:rFonts w:hint="eastAsia" w:cs="仿宋_GB2312"/>
          <w:b w:val="0"/>
          <w:bCs w:val="0"/>
          <w:color w:val="auto"/>
          <w:kern w:val="0"/>
          <w:sz w:val="32"/>
          <w:szCs w:val="32"/>
          <w:u w:val="none"/>
          <w:lang w:val="en-US" w:eastAsia="zh-CN"/>
        </w:rPr>
        <w:t>。工商河开埠文化风貌带系统提升工程全线竣工，被评为省级美丽幸福示范河湖。积极推动“无废城市”建设，超额完成“无废细胞”建设任务。推进绿色低碳循环发展，完善碳排放双控体系，完成能耗双控和煤炭消费压减任务。水清、岸绿、景美成为靓丽生态名片，宜居宜业宜游的现代化中心城区加速形成。</w:t>
      </w:r>
    </w:p>
    <w:p w14:paraId="24B6D202">
      <w:pPr>
        <w:keepNext w:val="0"/>
        <w:keepLines w:val="0"/>
        <w:pageBreakBefore w:val="0"/>
        <w:widowControl w:val="0"/>
        <w:kinsoku/>
        <w:wordWrap/>
        <w:overflowPunct w:val="0"/>
        <w:topLinePunct w:val="0"/>
        <w:autoSpaceDE/>
        <w:autoSpaceDN/>
        <w:bidi w:val="0"/>
        <w:spacing w:line="570" w:lineRule="exact"/>
        <w:textAlignment w:val="auto"/>
        <w:rPr>
          <w:rFonts w:hint="eastAsia" w:cs="仿宋_GB2312"/>
          <w:b w:val="0"/>
          <w:bCs w:val="0"/>
          <w:color w:val="auto"/>
          <w:kern w:val="0"/>
          <w:sz w:val="32"/>
          <w:szCs w:val="32"/>
          <w:u w:val="none"/>
          <w:lang w:val="en-US" w:eastAsia="zh-CN"/>
        </w:rPr>
      </w:pPr>
      <w:r>
        <w:rPr>
          <w:rFonts w:hint="eastAsia" w:cs="仿宋_GB2312"/>
          <w:b/>
          <w:bCs/>
          <w:color w:val="auto"/>
          <w:kern w:val="0"/>
          <w:sz w:val="32"/>
          <w:szCs w:val="32"/>
          <w:u w:val="none"/>
          <w:lang w:val="en-US" w:eastAsia="zh-CN"/>
        </w:rPr>
        <w:t>改革开放显著突破。</w:t>
      </w:r>
      <w:r>
        <w:rPr>
          <w:rFonts w:hint="eastAsia" w:cs="仿宋_GB2312"/>
          <w:b w:val="0"/>
          <w:bCs w:val="0"/>
          <w:color w:val="auto"/>
          <w:kern w:val="0"/>
          <w:sz w:val="32"/>
          <w:szCs w:val="32"/>
          <w:u w:val="none"/>
          <w:lang w:val="en-US" w:eastAsia="zh-CN"/>
        </w:rPr>
        <w:t>扎实开展“以改革破难题，以规范促提升”行动，深化园区管理体制改革，典型经验入选济南“提升城市软实力”创新案例。稳步推进国资国企改革，创新建立应急储备金制度，启动产发集团、资管集团重组合并工作，大力整顿国有企业经营秩序，推动国企降本增效和高质量发展。持续擦亮“来天桥 办成事”营商环境品牌，扎实推进“高效办成一件事”，在全市率先上线“智慧辅助审批助手”，营商环境创新不断提升。</w:t>
      </w:r>
    </w:p>
    <w:p w14:paraId="4ED71474">
      <w:pPr>
        <w:keepNext w:val="0"/>
        <w:keepLines w:val="0"/>
        <w:pageBreakBefore w:val="0"/>
        <w:widowControl w:val="0"/>
        <w:kinsoku/>
        <w:wordWrap/>
        <w:overflowPunct w:val="0"/>
        <w:topLinePunct w:val="0"/>
        <w:autoSpaceDE/>
        <w:autoSpaceDN/>
        <w:bidi w:val="0"/>
        <w:spacing w:line="570" w:lineRule="exact"/>
        <w:textAlignment w:val="auto"/>
        <w:rPr>
          <w:rFonts w:hint="eastAsia" w:cs="仿宋_GB2312"/>
          <w:b w:val="0"/>
          <w:bCs w:val="0"/>
          <w:color w:val="auto"/>
          <w:kern w:val="0"/>
          <w:sz w:val="32"/>
          <w:szCs w:val="32"/>
          <w:u w:val="none"/>
          <w:lang w:val="en-US" w:eastAsia="zh-CN"/>
        </w:rPr>
      </w:pPr>
      <w:r>
        <w:rPr>
          <w:rFonts w:hint="eastAsia" w:cs="仿宋_GB2312"/>
          <w:b/>
          <w:bCs/>
          <w:color w:val="auto"/>
          <w:kern w:val="0"/>
          <w:sz w:val="32"/>
          <w:szCs w:val="32"/>
          <w:u w:val="none"/>
          <w:lang w:val="en-US" w:eastAsia="zh-CN"/>
        </w:rPr>
        <w:t>民生福祉显著增进。</w:t>
      </w:r>
      <w:r>
        <w:rPr>
          <w:rFonts w:hint="eastAsia" w:cs="仿宋_GB2312"/>
          <w:b w:val="0"/>
          <w:bCs w:val="0"/>
          <w:color w:val="auto"/>
          <w:kern w:val="0"/>
          <w:sz w:val="32"/>
          <w:szCs w:val="32"/>
          <w:u w:val="none"/>
          <w:lang w:val="en-US" w:eastAsia="zh-CN"/>
        </w:rPr>
        <w:t>深入开展城市设计、品质教育、健康文化、生态环境、服务保障、安全稳定和法治建设等七大“品质提升”行动，持续加大民生事业投入，民生支出占比保持在75%以上，累计办好民生实事83件。加快推进“全周期”教育体系扩优提质，新建、改扩建学校30所、新增学位2.6万余个；医疗卫生服务体系进一步健全，重大疾病防控、救治和应急处置能力明显增强，在全市率先启动“心电一张网”建设，以全省第1名成绩获评国家级健康区优秀案例；全面落实医保政策，应保尽保、各项医保待遇全面落实；建立健全分层分类社会救助体系，扎实做好低保、特困、临时救助等社会救助工作；落实就业政策，累计完成新增城镇就业人数10.4万；新增养老服务设施145处，成功创建全省养老服务体系创新示范区，北关社区被评为“全国老年友好型社区”，工人新村南村街道被评为“全国敬老文明号”，获评首批“幸福家园”村社互助工程全国联动示范区；文化繁荣兴盛，创新打造“西望里”、“康成里 幸福号”等8个市级文化书院。完成全民健身中心、市民文化中心等“四馆”建设，群众获得感、幸福感、安全感不断提升。</w:t>
      </w:r>
    </w:p>
    <w:p w14:paraId="1487E550">
      <w:pPr>
        <w:keepNext w:val="0"/>
        <w:keepLines w:val="0"/>
        <w:pageBreakBefore w:val="0"/>
        <w:widowControl w:val="0"/>
        <w:kinsoku/>
        <w:wordWrap/>
        <w:overflowPunct w:val="0"/>
        <w:topLinePunct w:val="0"/>
        <w:autoSpaceDE/>
        <w:autoSpaceDN/>
        <w:bidi w:val="0"/>
        <w:spacing w:line="570" w:lineRule="exact"/>
        <w:textAlignment w:val="auto"/>
        <w:rPr>
          <w:rFonts w:ascii="Times New Roman" w:hAnsi="Times New Roman" w:cs="Times New Roman"/>
          <w:szCs w:val="32"/>
        </w:rPr>
      </w:pPr>
      <w:r>
        <w:rPr>
          <w:rFonts w:hint="eastAsia" w:cs="仿宋_GB2312"/>
          <w:b/>
          <w:bCs/>
          <w:color w:val="auto"/>
          <w:kern w:val="0"/>
          <w:sz w:val="32"/>
          <w:szCs w:val="32"/>
          <w:u w:val="none"/>
          <w:lang w:val="en-US" w:eastAsia="zh-CN"/>
        </w:rPr>
        <w:t>社会大局和谐稳定。</w:t>
      </w:r>
      <w:r>
        <w:rPr>
          <w:rFonts w:hint="eastAsia" w:cs="仿宋_GB2312"/>
          <w:b w:val="0"/>
          <w:bCs w:val="0"/>
          <w:color w:val="auto"/>
          <w:kern w:val="0"/>
          <w:sz w:val="32"/>
          <w:szCs w:val="32"/>
          <w:u w:val="none"/>
          <w:lang w:val="en-US" w:eastAsia="zh-CN"/>
        </w:rPr>
        <w:t>深入贯彻总体国家安全观，法治天桥、平安天桥建设成效显著。常态化开展社会稳定风险隐患排查整治，重点领域防控扎实有力。深化社会治安综合治理，常态化扫黑除恶专项斗争走深走实。持续推进安全生产“审计式”监督检查服务，食药安全、粮食安全、能源安全监管力度不断加大。基层治理水平不断提高，官扎营街道“1+7+N”社区治理模式入选全国城乡社区高质量发展典型案例，“象霞社区工作法”在全国推广，华黎社区被评为“全国幸福小区”，西区社区被授予“全国最佳志愿服务社区”。</w:t>
      </w:r>
      <w:r>
        <w:rPr>
          <w:rFonts w:ascii="Times New Roman" w:hAnsi="Times New Roman" w:cs="Times New Roman"/>
          <w:szCs w:val="32"/>
        </w:rPr>
        <w:t>国防动员</w:t>
      </w:r>
      <w:r>
        <w:rPr>
          <w:rFonts w:hint="eastAsia" w:ascii="Times New Roman" w:hAnsi="Times New Roman" w:cs="Times New Roman"/>
          <w:szCs w:val="32"/>
        </w:rPr>
        <w:t>、</w:t>
      </w:r>
      <w:r>
        <w:rPr>
          <w:rFonts w:ascii="Times New Roman" w:hAnsi="Times New Roman" w:cs="Times New Roman"/>
          <w:color w:val="000000"/>
        </w:rPr>
        <w:t>双拥共建、</w:t>
      </w:r>
      <w:r>
        <w:rPr>
          <w:rFonts w:hint="eastAsia" w:ascii="Times New Roman" w:hAnsi="Times New Roman" w:cs="Times New Roman"/>
          <w:color w:val="000000"/>
        </w:rPr>
        <w:t>人防</w:t>
      </w:r>
      <w:r>
        <w:rPr>
          <w:rFonts w:ascii="Times New Roman" w:hAnsi="Times New Roman" w:cs="Times New Roman"/>
          <w:color w:val="000000"/>
        </w:rPr>
        <w:t>建设等工作深入开展，妇女、儿童、残疾人和退役军人合法权益得到有效保障，</w:t>
      </w:r>
      <w:r>
        <w:rPr>
          <w:rFonts w:ascii="Times New Roman" w:hAnsi="Times New Roman" w:cs="Times New Roman"/>
          <w:szCs w:val="32"/>
        </w:rPr>
        <w:t>台侨外事、档案史志</w:t>
      </w:r>
      <w:r>
        <w:rPr>
          <w:rFonts w:hint="eastAsia" w:ascii="Times New Roman" w:hAnsi="Times New Roman" w:cs="Times New Roman"/>
          <w:szCs w:val="32"/>
        </w:rPr>
        <w:t>、民族宗教</w:t>
      </w:r>
      <w:r>
        <w:rPr>
          <w:rFonts w:ascii="Times New Roman" w:hAnsi="Times New Roman" w:cs="Times New Roman"/>
          <w:szCs w:val="32"/>
        </w:rPr>
        <w:t>等各项事业全面进步。</w:t>
      </w:r>
    </w:p>
    <w:p w14:paraId="12B59CCE">
      <w:pPr>
        <w:keepLines w:val="0"/>
        <w:pageBreakBefore w:val="0"/>
        <w:widowControl w:val="0"/>
        <w:kinsoku/>
        <w:wordWrap/>
        <w:overflowPunct w:val="0"/>
        <w:topLinePunct w:val="0"/>
        <w:autoSpaceDE/>
        <w:autoSpaceDN/>
        <w:bidi w:val="0"/>
        <w:spacing w:line="570" w:lineRule="exact"/>
        <w:ind w:firstLine="640"/>
        <w:textAlignment w:val="baseline"/>
        <w:rPr>
          <w:rFonts w:hint="eastAsia" w:ascii="Times New Roman" w:hAnsi="Times New Roman" w:eastAsia="仿宋_GB2312" w:cs="Times New Roman"/>
          <w:szCs w:val="32"/>
          <w:lang w:val="en-US" w:eastAsia="zh-CN"/>
        </w:rPr>
      </w:pPr>
      <w:r>
        <w:rPr>
          <w:rFonts w:hint="eastAsia" w:ascii="Times New Roman" w:hAnsi="Times New Roman" w:cs="Times New Roman"/>
          <w:szCs w:val="32"/>
          <w:lang w:eastAsia="zh-CN"/>
        </w:rPr>
        <w:t>五年来，全区综合实力持续提升、发展活力持续增强、城乡面貌不断改善、社会福祉持续增进、社会大局和谐稳定，</w:t>
      </w:r>
      <w:r>
        <w:rPr>
          <w:rFonts w:ascii="Times New Roman" w:hAnsi="Times New Roman" w:cs="Times New Roman"/>
          <w:szCs w:val="32"/>
        </w:rPr>
        <w:t>为未来发展奠定了坚实基础。</w:t>
      </w:r>
    </w:p>
    <w:p w14:paraId="51893926">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70" w:lineRule="exact"/>
        <w:ind w:left="0" w:leftChars="0" w:firstLine="0" w:firstLineChars="0"/>
        <w:jc w:val="center"/>
        <w:textAlignment w:val="auto"/>
        <w:rPr>
          <w:rFonts w:hint="default"/>
          <w:b w:val="0"/>
          <w:bCs w:val="0"/>
          <w:sz w:val="32"/>
          <w:szCs w:val="32"/>
          <w:u w:val="none"/>
          <w:lang w:val="en-US" w:eastAsia="zh-CN"/>
        </w:rPr>
      </w:pPr>
      <w:bookmarkStart w:id="6" w:name="_Toc437075375"/>
      <w:r>
        <w:rPr>
          <w:rFonts w:hint="eastAsia"/>
          <w:b w:val="0"/>
          <w:bCs w:val="0"/>
          <w:sz w:val="32"/>
          <w:szCs w:val="32"/>
          <w:u w:val="none"/>
          <w:lang w:val="en-US" w:eastAsia="zh-CN"/>
        </w:rPr>
        <w:t>第二节  发展形势</w:t>
      </w:r>
      <w:bookmarkEnd w:id="6"/>
    </w:p>
    <w:p w14:paraId="34BE9634">
      <w:pPr>
        <w:keepNext w:val="0"/>
        <w:keepLines w:val="0"/>
        <w:pageBreakBefore w:val="0"/>
        <w:widowControl w:val="0"/>
        <w:kinsoku/>
        <w:wordWrap/>
        <w:overflowPunct w:val="0"/>
        <w:topLinePunct w:val="0"/>
        <w:autoSpaceDE/>
        <w:autoSpaceDN/>
        <w:bidi w:val="0"/>
        <w:adjustRightInd w:val="0"/>
        <w:snapToGrid w:val="0"/>
        <w:spacing w:afterAutospacing="0" w:line="570" w:lineRule="exact"/>
        <w:ind w:left="0" w:leftChars="0" w:firstLine="632" w:firstLineChars="200"/>
        <w:jc w:val="both"/>
        <w:textAlignment w:val="auto"/>
        <w:outlineLvl w:val="9"/>
        <w:rPr>
          <w:rFonts w:hint="eastAsia"/>
          <w:b w:val="0"/>
          <w:bCs w:val="0"/>
          <w:color w:val="auto"/>
          <w:kern w:val="0"/>
          <w:sz w:val="32"/>
          <w:szCs w:val="32"/>
          <w:u w:val="none"/>
          <w:lang w:val="en-US" w:eastAsia="zh-CN"/>
        </w:rPr>
      </w:pPr>
      <w:bookmarkStart w:id="7" w:name="_Toc5977"/>
      <w:bookmarkStart w:id="8" w:name="_Toc22082"/>
      <w:bookmarkStart w:id="9" w:name="_Toc12467"/>
      <w:bookmarkStart w:id="10" w:name="_Toc25766"/>
      <w:bookmarkStart w:id="11" w:name="_Toc20589"/>
      <w:r>
        <w:rPr>
          <w:rFonts w:hint="eastAsia"/>
          <w:b w:val="0"/>
          <w:bCs w:val="0"/>
          <w:color w:val="auto"/>
          <w:kern w:val="0"/>
          <w:sz w:val="32"/>
          <w:szCs w:val="32"/>
          <w:u w:val="none"/>
          <w:lang w:val="en-US" w:eastAsia="zh-CN"/>
        </w:rPr>
        <w:t>当前和今后一个时期，发展环境复杂变化，战略机遇和风险挑战并存、不确定难预料因素增多。</w:t>
      </w:r>
    </w:p>
    <w:p w14:paraId="42B1632F">
      <w:pPr>
        <w:keepNext w:val="0"/>
        <w:keepLines w:val="0"/>
        <w:pageBreakBefore w:val="0"/>
        <w:widowControl w:val="0"/>
        <w:kinsoku/>
        <w:wordWrap/>
        <w:overflowPunct w:val="0"/>
        <w:topLinePunct w:val="0"/>
        <w:autoSpaceDE/>
        <w:autoSpaceDN/>
        <w:bidi w:val="0"/>
        <w:adjustRightInd w:val="0"/>
        <w:snapToGrid w:val="0"/>
        <w:spacing w:beforeLines="0" w:afterLines="0" w:line="570" w:lineRule="exact"/>
        <w:ind w:left="0" w:leftChars="0" w:firstLine="640" w:firstLineChars="0"/>
        <w:jc w:val="both"/>
        <w:textAlignment w:val="auto"/>
        <w:outlineLvl w:val="9"/>
        <w:rPr>
          <w:rFonts w:hint="eastAsia" w:ascii="仿宋_GB2312" w:hAnsi="仿宋_GB2312" w:eastAsia="仿宋_GB2312" w:cs="仿宋_GB2312"/>
          <w:color w:val="000000"/>
          <w:sz w:val="32"/>
          <w:szCs w:val="32"/>
          <w:highlight w:val="none"/>
        </w:rPr>
      </w:pPr>
      <w:bookmarkStart w:id="12" w:name="_Toc2120763271"/>
      <w:r>
        <w:rPr>
          <w:rFonts w:hint="eastAsia" w:ascii="仿宋_GB2312" w:hAnsi="仿宋_GB2312" w:eastAsia="仿宋_GB2312" w:cs="仿宋_GB2312"/>
          <w:b/>
          <w:bCs/>
          <w:color w:val="000000"/>
          <w:sz w:val="32"/>
          <w:szCs w:val="32"/>
        </w:rPr>
        <w:t>从全球层面看</w:t>
      </w:r>
      <w:r>
        <w:rPr>
          <w:rFonts w:hint="eastAsia" w:ascii="仿宋_GB2312" w:hAnsi="仿宋_GB2312" w:eastAsia="仿宋_GB2312" w:cs="仿宋_GB2312"/>
          <w:color w:val="000000"/>
          <w:sz w:val="32"/>
          <w:szCs w:val="32"/>
        </w:rPr>
        <w:t>，世界百年变局加速演进，国际力量对比深刻调整，新一轮科技革命和产业变革加速突破，世界变乱交织、动荡加剧，</w:t>
      </w:r>
      <w:r>
        <w:rPr>
          <w:rFonts w:hint="eastAsia" w:ascii="仿宋_GB2312" w:hAnsi="仿宋_GB2312" w:eastAsia="仿宋_GB2312" w:cs="仿宋_GB2312"/>
          <w:color w:val="000000"/>
          <w:sz w:val="32"/>
          <w:szCs w:val="32"/>
          <w:lang w:val="en-US" w:eastAsia="zh-CN"/>
        </w:rPr>
        <w:t>大国博弈更加复杂激烈</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b/>
          <w:bCs/>
          <w:color w:val="000000"/>
          <w:sz w:val="32"/>
          <w:szCs w:val="32"/>
        </w:rPr>
        <w:t>从全国层面看</w:t>
      </w:r>
      <w:r>
        <w:rPr>
          <w:rFonts w:hint="eastAsia" w:ascii="仿宋_GB2312" w:hAnsi="仿宋_GB2312" w:eastAsia="仿宋_GB2312" w:cs="仿宋_GB2312"/>
          <w:color w:val="000000"/>
          <w:sz w:val="32"/>
          <w:szCs w:val="32"/>
        </w:rPr>
        <w:t>，我国经济基础稳、优势多、韧性强、潜能大，长期向好的支撑条件和基本趋势没有变，中国特色社会主义制度优势、超大规模市场优势、完整产业体系优势、丰富人才资源优势更加彰显。</w:t>
      </w:r>
      <w:r>
        <w:rPr>
          <w:rFonts w:hint="eastAsia" w:ascii="仿宋_GB2312" w:hAnsi="仿宋_GB2312" w:eastAsia="仿宋_GB2312" w:cs="仿宋_GB2312"/>
          <w:b/>
          <w:bCs/>
          <w:color w:val="000000"/>
          <w:sz w:val="32"/>
          <w:szCs w:val="32"/>
        </w:rPr>
        <w:t>从全省</w:t>
      </w:r>
      <w:r>
        <w:rPr>
          <w:rFonts w:hint="eastAsia" w:cs="仿宋_GB2312"/>
          <w:b/>
          <w:bCs/>
          <w:color w:val="000000"/>
          <w:sz w:val="32"/>
          <w:szCs w:val="32"/>
          <w:lang w:eastAsia="zh-CN"/>
        </w:rPr>
        <w:t>层面</w:t>
      </w:r>
      <w:r>
        <w:rPr>
          <w:rFonts w:hint="eastAsia" w:ascii="仿宋_GB2312" w:hAnsi="仿宋_GB2312" w:eastAsia="仿宋_GB2312" w:cs="仿宋_GB2312"/>
          <w:b/>
          <w:bCs/>
          <w:color w:val="000000"/>
          <w:sz w:val="32"/>
          <w:szCs w:val="32"/>
        </w:rPr>
        <w:t>看</w:t>
      </w:r>
      <w:r>
        <w:rPr>
          <w:rFonts w:hint="eastAsia" w:ascii="仿宋_GB2312" w:hAnsi="仿宋_GB2312" w:eastAsia="仿宋_GB2312" w:cs="仿宋_GB2312"/>
          <w:color w:val="000000"/>
          <w:sz w:val="32"/>
          <w:szCs w:val="32"/>
        </w:rPr>
        <w:t>，绿色低碳高质量发展加快推进，重大战略交汇叠加，创新要素不断集聚，改革红利加速释放，“两圈联动、三核引领、陆海统筹、全面发力”发展格局加速成型，趋势性关键性变化逐步显现。</w:t>
      </w:r>
      <w:r>
        <w:rPr>
          <w:rFonts w:hint="eastAsia" w:ascii="仿宋_GB2312" w:hAnsi="仿宋_GB2312" w:eastAsia="仿宋_GB2312" w:cs="仿宋_GB2312"/>
          <w:b/>
          <w:bCs/>
          <w:color w:val="000000"/>
          <w:sz w:val="32"/>
          <w:szCs w:val="32"/>
        </w:rPr>
        <w:t>从全市层面看</w:t>
      </w:r>
      <w:r>
        <w:rPr>
          <w:rFonts w:hint="eastAsia" w:ascii="仿宋_GB2312" w:hAnsi="仿宋_GB2312" w:eastAsia="仿宋_GB2312" w:cs="仿宋_GB2312"/>
          <w:color w:val="000000"/>
          <w:sz w:val="32"/>
          <w:szCs w:val="32"/>
        </w:rPr>
        <w:t>，强省会建设战略体系持续完善，</w:t>
      </w:r>
      <w:r>
        <w:rPr>
          <w:rFonts w:hint="eastAsia" w:ascii="仿宋_GB2312" w:hAnsi="仿宋_GB2312" w:eastAsia="仿宋_GB2312" w:cs="仿宋_GB2312"/>
          <w:kern w:val="0"/>
          <w:sz w:val="32"/>
          <w:szCs w:val="32"/>
          <w:lang w:val="en-US" w:eastAsia="zh-CN" w:bidi="ar"/>
        </w:rPr>
        <w:t>战略机遇交汇叠加、交通网络四通八达、科技创新实力雄厚、营商环境持续优化、城市品质生态宜居，高质量发展的内生动力不断增强。随着</w:t>
      </w:r>
      <w:r>
        <w:rPr>
          <w:rFonts w:hint="eastAsia" w:cs="仿宋_GB2312"/>
          <w:kern w:val="0"/>
          <w:sz w:val="32"/>
          <w:szCs w:val="32"/>
          <w:lang w:val="en-US" w:eastAsia="zh-CN" w:bidi="ar"/>
        </w:rPr>
        <w:t>黄河流域生态保护和高质量发展战略</w:t>
      </w:r>
      <w:r>
        <w:rPr>
          <w:rFonts w:hint="eastAsia" w:ascii="仿宋_GB2312" w:hAnsi="仿宋_GB2312" w:eastAsia="仿宋_GB2312" w:cs="仿宋_GB2312"/>
          <w:kern w:val="0"/>
          <w:sz w:val="32"/>
          <w:szCs w:val="32"/>
          <w:lang w:val="en-US" w:eastAsia="zh-CN" w:bidi="ar"/>
        </w:rPr>
        <w:t>深入实施，绿色低碳高质量发展加快推进，一批重大工程、重大项目、重大平台加速落地，济南发展优势将更加凸显。</w:t>
      </w:r>
      <w:r>
        <w:rPr>
          <w:rFonts w:hint="eastAsia" w:ascii="仿宋_GB2312" w:hAnsi="仿宋_GB2312" w:eastAsia="仿宋_GB2312" w:cs="仿宋_GB2312"/>
          <w:b/>
          <w:bCs/>
          <w:color w:val="000000"/>
          <w:sz w:val="32"/>
          <w:szCs w:val="32"/>
        </w:rPr>
        <w:t>从天桥自身看</w:t>
      </w:r>
      <w:r>
        <w:rPr>
          <w:rFonts w:hint="eastAsia" w:ascii="仿宋_GB2312" w:hAnsi="仿宋_GB2312" w:eastAsia="仿宋_GB2312" w:cs="仿宋_GB2312"/>
          <w:color w:val="000000"/>
          <w:sz w:val="32"/>
          <w:szCs w:val="32"/>
        </w:rPr>
        <w:t>，我区开启全面建设新时代社会主义现代化强区的新征程，集聚了多重积极因素，发展思路更加清晰，发展方向更加聚</w:t>
      </w:r>
      <w:r>
        <w:rPr>
          <w:rFonts w:hint="eastAsia" w:ascii="仿宋_GB2312" w:hAnsi="仿宋_GB2312" w:eastAsia="仿宋_GB2312" w:cs="仿宋_GB2312"/>
          <w:color w:val="000000"/>
          <w:sz w:val="32"/>
          <w:szCs w:val="32"/>
          <w:highlight w:val="none"/>
        </w:rPr>
        <w:t>焦，发展基础更加坚实，发展势头更加强劲，发展氛围更加浓</w:t>
      </w:r>
      <w:r>
        <w:rPr>
          <w:rFonts w:hint="eastAsia" w:ascii="仿宋_GB2312" w:hAnsi="仿宋_GB2312" w:eastAsia="仿宋_GB2312" w:cs="仿宋_GB2312"/>
          <w:color w:val="000000"/>
          <w:sz w:val="32"/>
          <w:szCs w:val="32"/>
          <w:highlight w:val="none"/>
          <w:lang w:eastAsia="zh-CN"/>
        </w:rPr>
        <w:t>厚，</w:t>
      </w:r>
      <w:r>
        <w:rPr>
          <w:rFonts w:hint="eastAsia" w:ascii="仿宋_GB2312" w:hAnsi="仿宋_GB2312" w:eastAsia="仿宋_GB2312" w:cs="仿宋_GB2312"/>
          <w:color w:val="000000"/>
          <w:sz w:val="32"/>
          <w:szCs w:val="32"/>
          <w:highlight w:val="none"/>
        </w:rPr>
        <w:t>完全有底气、有能力、有信心在新发展阶段实现更大作为。</w:t>
      </w:r>
      <w:bookmarkEnd w:id="12"/>
    </w:p>
    <w:p w14:paraId="50B6A40C">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70" w:lineRule="exact"/>
        <w:ind w:left="0" w:leftChars="0" w:firstLine="0" w:firstLineChars="0"/>
        <w:jc w:val="center"/>
        <w:textAlignment w:val="auto"/>
        <w:rPr>
          <w:rFonts w:hint="eastAsia"/>
          <w:b w:val="0"/>
          <w:bCs w:val="0"/>
          <w:sz w:val="32"/>
          <w:szCs w:val="32"/>
          <w:u w:val="none"/>
          <w:lang w:val="en-US" w:eastAsia="zh-CN"/>
        </w:rPr>
      </w:pPr>
      <w:bookmarkStart w:id="13" w:name="_Toc483078225"/>
      <w:r>
        <w:rPr>
          <w:rFonts w:hint="eastAsia"/>
          <w:b w:val="0"/>
          <w:bCs w:val="0"/>
          <w:sz w:val="32"/>
          <w:szCs w:val="32"/>
          <w:u w:val="none"/>
          <w:lang w:val="en-US" w:eastAsia="zh-CN"/>
        </w:rPr>
        <w:t>第三节  机遇挑战</w:t>
      </w:r>
      <w:bookmarkEnd w:id="13"/>
    </w:p>
    <w:p w14:paraId="548CF102">
      <w:pPr>
        <w:keepNext w:val="0"/>
        <w:keepLines w:val="0"/>
        <w:pageBreakBefore w:val="0"/>
        <w:widowControl w:val="0"/>
        <w:kinsoku/>
        <w:wordWrap/>
        <w:overflowPunct w:val="0"/>
        <w:topLinePunct w:val="0"/>
        <w:autoSpaceDE/>
        <w:autoSpaceDN/>
        <w:bidi w:val="0"/>
        <w:adjustRightInd w:val="0"/>
        <w:snapToGrid w:val="0"/>
        <w:spacing w:afterAutospacing="0" w:line="570" w:lineRule="exact"/>
        <w:ind w:left="0" w:leftChars="0" w:firstLine="632" w:firstLineChars="200"/>
        <w:jc w:val="both"/>
        <w:textAlignment w:val="auto"/>
        <w:outlineLvl w:val="9"/>
        <w:rPr>
          <w:rFonts w:hint="eastAsia" w:ascii="仿宋_GB2312" w:hAnsi="仿宋_GB2312" w:eastAsia="仿宋_GB2312" w:cs="仿宋_GB2312"/>
          <w:b w:val="0"/>
          <w:bCs w:val="0"/>
          <w:color w:val="auto"/>
          <w:kern w:val="0"/>
          <w:sz w:val="32"/>
          <w:szCs w:val="32"/>
          <w:u w:val="none"/>
          <w:lang w:val="en-US" w:eastAsia="zh-CN" w:bidi="ar-SA"/>
        </w:rPr>
      </w:pPr>
      <w:r>
        <w:rPr>
          <w:rFonts w:hint="eastAsia" w:ascii="仿宋_GB2312" w:hAnsi="仿宋_GB2312" w:eastAsia="仿宋_GB2312" w:cs="仿宋_GB2312"/>
          <w:b w:val="0"/>
          <w:bCs w:val="0"/>
          <w:color w:val="auto"/>
          <w:kern w:val="0"/>
          <w:sz w:val="32"/>
          <w:szCs w:val="32"/>
          <w:u w:val="none"/>
          <w:lang w:val="en-US" w:eastAsia="zh-CN" w:bidi="ar-SA"/>
        </w:rPr>
        <w:t>内外环境的深刻变化既带来一系列新挑战，也带来一系列新机遇，困难挑战前所未有，更具复杂性、全局性，历史机遇前所未有，更具战略性、可塑性。</w:t>
      </w:r>
    </w:p>
    <w:p w14:paraId="688F4837">
      <w:pPr>
        <w:keepNext w:val="0"/>
        <w:keepLines w:val="0"/>
        <w:pageBreakBefore w:val="0"/>
        <w:widowControl w:val="0"/>
        <w:kinsoku/>
        <w:wordWrap/>
        <w:overflowPunct w:val="0"/>
        <w:topLinePunct w:val="0"/>
        <w:autoSpaceDE/>
        <w:autoSpaceDN/>
        <w:bidi w:val="0"/>
        <w:adjustRightInd w:val="0"/>
        <w:snapToGrid w:val="0"/>
        <w:spacing w:afterAutospacing="0" w:line="570" w:lineRule="exact"/>
        <w:ind w:left="0" w:leftChars="0" w:firstLine="632" w:firstLineChars="200"/>
        <w:jc w:val="both"/>
        <w:textAlignment w:val="auto"/>
        <w:outlineLvl w:val="9"/>
        <w:rPr>
          <w:rFonts w:hint="eastAsia" w:ascii="仿宋_GB2312" w:hAnsi="仿宋_GB2312" w:eastAsia="仿宋_GB2312" w:cs="仿宋_GB2312"/>
          <w:b w:val="0"/>
          <w:bCs w:val="0"/>
          <w:color w:val="auto"/>
          <w:kern w:val="0"/>
          <w:sz w:val="32"/>
          <w:szCs w:val="32"/>
          <w:u w:val="none"/>
          <w:lang w:val="en-US" w:eastAsia="zh-CN" w:bidi="ar-SA"/>
        </w:rPr>
      </w:pPr>
      <w:r>
        <w:rPr>
          <w:rFonts w:hint="eastAsia" w:ascii="仿宋_GB2312" w:hAnsi="仿宋_GB2312" w:eastAsia="仿宋_GB2312" w:cs="仿宋_GB2312"/>
          <w:b/>
          <w:bCs/>
          <w:color w:val="auto"/>
          <w:kern w:val="0"/>
          <w:sz w:val="32"/>
          <w:szCs w:val="32"/>
          <w:u w:val="none"/>
          <w:lang w:val="en-US" w:eastAsia="zh-CN" w:bidi="ar-SA"/>
        </w:rPr>
        <w:t>从发展机遇看</w:t>
      </w:r>
      <w:r>
        <w:rPr>
          <w:rFonts w:hint="eastAsia" w:ascii="仿宋_GB2312" w:hAnsi="仿宋_GB2312" w:eastAsia="仿宋_GB2312" w:cs="仿宋_GB2312"/>
          <w:b w:val="0"/>
          <w:bCs w:val="0"/>
          <w:color w:val="auto"/>
          <w:kern w:val="0"/>
          <w:sz w:val="32"/>
          <w:szCs w:val="32"/>
          <w:u w:val="none"/>
          <w:lang w:val="en-US" w:eastAsia="zh-CN" w:bidi="ar-SA"/>
        </w:rPr>
        <w:t>，未来五年，我区将迎来</w:t>
      </w:r>
      <w:r>
        <w:rPr>
          <w:rFonts w:hint="eastAsia" w:cs="仿宋_GB2312"/>
          <w:b w:val="0"/>
          <w:bCs w:val="0"/>
          <w:color w:val="auto"/>
          <w:kern w:val="0"/>
          <w:sz w:val="32"/>
          <w:szCs w:val="32"/>
          <w:u w:val="none"/>
          <w:lang w:val="en-US" w:eastAsia="zh-CN" w:bidi="ar-SA"/>
        </w:rPr>
        <w:t>5</w:t>
      </w:r>
      <w:r>
        <w:rPr>
          <w:rFonts w:hint="eastAsia" w:ascii="仿宋_GB2312" w:hAnsi="仿宋_GB2312" w:eastAsia="仿宋_GB2312" w:cs="仿宋_GB2312"/>
          <w:b w:val="0"/>
          <w:bCs w:val="0"/>
          <w:color w:val="auto"/>
          <w:kern w:val="0"/>
          <w:sz w:val="32"/>
          <w:szCs w:val="32"/>
          <w:u w:val="none"/>
          <w:lang w:val="en-US" w:eastAsia="zh-CN" w:bidi="ar-SA"/>
        </w:rPr>
        <w:t>大机遇：一是新质生产力加速成长孕育经济发展新动能，为我区实现创新驱动发展、加快产业转型升级带来了重要契机。二是“双循环”新发展格局，为我区积极扩大内需、稳定外需，持续畅通产业循环和市场循环提供了新的市场空间。三是国家坚定不移深化市场化改革，随着改革重大战略和举措的落实，将推动我区更好激发制度创新和市场活力。四是济南都市圈建设拓展区域合作新腹地，为我区深入参与区域协调发展，深化与周边地区更紧密更务实合作提供了有利条件。五是新业态新模式催生消费新需求</w:t>
      </w:r>
      <w:r>
        <w:rPr>
          <w:rFonts w:hint="eastAsia" w:cs="仿宋_GB2312"/>
          <w:b w:val="0"/>
          <w:bCs w:val="0"/>
          <w:color w:val="auto"/>
          <w:kern w:val="0"/>
          <w:sz w:val="32"/>
          <w:szCs w:val="32"/>
          <w:u w:val="none"/>
          <w:lang w:val="en-US" w:eastAsia="zh-CN" w:bidi="ar-SA"/>
        </w:rPr>
        <w:t>，</w:t>
      </w:r>
      <w:r>
        <w:rPr>
          <w:rFonts w:hint="eastAsia" w:ascii="仿宋_GB2312" w:hAnsi="仿宋_GB2312" w:eastAsia="仿宋_GB2312" w:cs="仿宋_GB2312"/>
          <w:b w:val="0"/>
          <w:bCs w:val="0"/>
          <w:color w:val="auto"/>
          <w:kern w:val="0"/>
          <w:sz w:val="32"/>
          <w:szCs w:val="32"/>
          <w:u w:val="none"/>
          <w:lang w:val="en-US" w:eastAsia="zh-CN" w:bidi="ar-SA"/>
        </w:rPr>
        <w:t>居民消费复苏逐步升温，服务</w:t>
      </w:r>
      <w:r>
        <w:rPr>
          <w:rFonts w:hint="eastAsia" w:cs="仿宋_GB2312"/>
          <w:b w:val="0"/>
          <w:bCs w:val="0"/>
          <w:color w:val="auto"/>
          <w:kern w:val="0"/>
          <w:sz w:val="32"/>
          <w:szCs w:val="32"/>
          <w:u w:val="none"/>
          <w:lang w:val="en-US" w:eastAsia="zh-CN" w:bidi="ar-SA"/>
        </w:rPr>
        <w:t>性</w:t>
      </w:r>
      <w:r>
        <w:rPr>
          <w:rFonts w:hint="eastAsia" w:ascii="仿宋_GB2312" w:hAnsi="仿宋_GB2312" w:eastAsia="仿宋_GB2312" w:cs="仿宋_GB2312"/>
          <w:b w:val="0"/>
          <w:bCs w:val="0"/>
          <w:color w:val="auto"/>
          <w:kern w:val="0"/>
          <w:sz w:val="32"/>
          <w:szCs w:val="32"/>
          <w:u w:val="none"/>
          <w:lang w:val="en-US" w:eastAsia="zh-CN" w:bidi="ar-SA"/>
        </w:rPr>
        <w:t>消费前景可期。</w:t>
      </w:r>
    </w:p>
    <w:p w14:paraId="141ED14E">
      <w:pPr>
        <w:keepNext w:val="0"/>
        <w:keepLines w:val="0"/>
        <w:pageBreakBefore w:val="0"/>
        <w:widowControl w:val="0"/>
        <w:kinsoku/>
        <w:wordWrap/>
        <w:overflowPunct w:val="0"/>
        <w:topLinePunct w:val="0"/>
        <w:autoSpaceDE/>
        <w:autoSpaceDN/>
        <w:bidi w:val="0"/>
        <w:adjustRightInd w:val="0"/>
        <w:snapToGrid w:val="0"/>
        <w:spacing w:afterAutospacing="0" w:line="570" w:lineRule="exact"/>
        <w:ind w:left="0" w:leftChars="0" w:firstLine="632" w:firstLineChars="200"/>
        <w:jc w:val="both"/>
        <w:textAlignment w:val="auto"/>
        <w:outlineLvl w:val="9"/>
        <w:rPr>
          <w:rFonts w:hint="eastAsia" w:ascii="仿宋_GB2312" w:hAnsi="仿宋_GB2312" w:eastAsia="仿宋_GB2312" w:cs="仿宋_GB2312"/>
          <w:b w:val="0"/>
          <w:bCs w:val="0"/>
          <w:color w:val="auto"/>
          <w:kern w:val="0"/>
          <w:sz w:val="32"/>
          <w:szCs w:val="32"/>
          <w:u w:val="none"/>
          <w:lang w:val="en-US" w:eastAsia="zh-CN" w:bidi="ar-SA"/>
        </w:rPr>
      </w:pPr>
      <w:r>
        <w:rPr>
          <w:rFonts w:hint="eastAsia" w:ascii="仿宋_GB2312" w:hAnsi="仿宋_GB2312" w:eastAsia="仿宋_GB2312" w:cs="仿宋_GB2312"/>
          <w:b/>
          <w:bCs/>
          <w:color w:val="auto"/>
          <w:kern w:val="0"/>
          <w:sz w:val="32"/>
          <w:szCs w:val="32"/>
          <w:u w:val="none"/>
          <w:lang w:val="en-US" w:eastAsia="zh-CN" w:bidi="ar-SA"/>
        </w:rPr>
        <w:t>从面临挑战看</w:t>
      </w:r>
      <w:r>
        <w:rPr>
          <w:rFonts w:hint="eastAsia" w:ascii="仿宋_GB2312" w:hAnsi="仿宋_GB2312" w:eastAsia="仿宋_GB2312" w:cs="仿宋_GB2312"/>
          <w:b w:val="0"/>
          <w:bCs w:val="0"/>
          <w:color w:val="auto"/>
          <w:kern w:val="0"/>
          <w:sz w:val="32"/>
          <w:szCs w:val="32"/>
          <w:u w:val="none"/>
          <w:lang w:val="en-US" w:eastAsia="zh-CN" w:bidi="ar-SA"/>
        </w:rPr>
        <w:t>，未来五年，</w:t>
      </w:r>
      <w:r>
        <w:rPr>
          <w:rFonts w:hint="eastAsia" w:ascii="仿宋_GB2312" w:hAnsi="仿宋_GB2312" w:eastAsia="仿宋_GB2312" w:cs="仿宋_GB2312"/>
          <w:b w:val="0"/>
          <w:bCs w:val="0"/>
          <w:color w:val="auto"/>
          <w:kern w:val="0"/>
          <w:sz w:val="32"/>
          <w:szCs w:val="32"/>
          <w:highlight w:val="none"/>
          <w:u w:val="none"/>
          <w:lang w:val="en-US" w:eastAsia="zh-CN" w:bidi="ar-SA"/>
        </w:rPr>
        <w:t>我区</w:t>
      </w:r>
      <w:r>
        <w:rPr>
          <w:rFonts w:hint="eastAsia" w:ascii="仿宋_GB2312" w:hAnsi="仿宋_GB2312" w:eastAsia="仿宋_GB2312" w:cs="仿宋_GB2312"/>
          <w:b w:val="0"/>
          <w:bCs w:val="0"/>
          <w:color w:val="auto"/>
          <w:kern w:val="0"/>
          <w:sz w:val="32"/>
          <w:szCs w:val="32"/>
          <w:u w:val="none"/>
          <w:lang w:val="en-US" w:eastAsia="zh-CN" w:bidi="ar-SA"/>
        </w:rPr>
        <w:t>将面临</w:t>
      </w:r>
      <w:r>
        <w:rPr>
          <w:rFonts w:hint="eastAsia" w:cs="仿宋_GB2312"/>
          <w:b w:val="0"/>
          <w:bCs w:val="0"/>
          <w:color w:val="auto"/>
          <w:kern w:val="0"/>
          <w:sz w:val="32"/>
          <w:szCs w:val="32"/>
          <w:u w:val="none"/>
          <w:lang w:val="en-US" w:eastAsia="zh-CN" w:bidi="ar-SA"/>
        </w:rPr>
        <w:t>4</w:t>
      </w:r>
      <w:r>
        <w:rPr>
          <w:rFonts w:hint="eastAsia" w:ascii="仿宋_GB2312" w:hAnsi="仿宋_GB2312" w:eastAsia="仿宋_GB2312" w:cs="仿宋_GB2312"/>
          <w:b w:val="0"/>
          <w:bCs w:val="0"/>
          <w:color w:val="auto"/>
          <w:kern w:val="0"/>
          <w:sz w:val="32"/>
          <w:szCs w:val="32"/>
          <w:u w:val="none"/>
          <w:lang w:val="en-US" w:eastAsia="zh-CN" w:bidi="ar-SA"/>
        </w:rPr>
        <w:t>大挑战：一是经济发展面临着稳增长与调结构的双重压力，经济发展质效仍需提升。二是黄河两岸发展差距</w:t>
      </w:r>
      <w:r>
        <w:rPr>
          <w:rFonts w:hint="eastAsia" w:cs="仿宋_GB2312"/>
          <w:b w:val="0"/>
          <w:bCs w:val="0"/>
          <w:color w:val="auto"/>
          <w:kern w:val="0"/>
          <w:sz w:val="32"/>
          <w:szCs w:val="32"/>
          <w:u w:val="none"/>
          <w:lang w:val="en-US" w:eastAsia="zh-CN" w:bidi="ar-SA"/>
        </w:rPr>
        <w:t>较</w:t>
      </w:r>
      <w:r>
        <w:rPr>
          <w:rFonts w:hint="eastAsia" w:ascii="仿宋_GB2312" w:hAnsi="仿宋_GB2312" w:eastAsia="仿宋_GB2312" w:cs="仿宋_GB2312"/>
          <w:b w:val="0"/>
          <w:bCs w:val="0"/>
          <w:color w:val="auto"/>
          <w:kern w:val="0"/>
          <w:sz w:val="32"/>
          <w:szCs w:val="32"/>
          <w:u w:val="none"/>
          <w:lang w:val="en-US" w:eastAsia="zh-CN" w:bidi="ar-SA"/>
        </w:rPr>
        <w:t>大，区域发展不平衡、不协调的问题突出。三是多数城中村改造范围大、</w:t>
      </w:r>
      <w:r>
        <w:rPr>
          <w:rFonts w:hint="eastAsia" w:cs="仿宋_GB2312"/>
          <w:b w:val="0"/>
          <w:bCs w:val="0"/>
          <w:color w:val="auto"/>
          <w:kern w:val="0"/>
          <w:sz w:val="32"/>
          <w:szCs w:val="32"/>
          <w:u w:val="none"/>
          <w:lang w:val="en-US" w:eastAsia="zh-CN" w:bidi="ar-SA"/>
        </w:rPr>
        <w:t>任务重，</w:t>
      </w:r>
      <w:r>
        <w:rPr>
          <w:rFonts w:hint="eastAsia" w:ascii="仿宋_GB2312" w:hAnsi="仿宋_GB2312" w:eastAsia="仿宋_GB2312" w:cs="仿宋_GB2312"/>
          <w:b w:val="0"/>
          <w:bCs w:val="0"/>
          <w:color w:val="auto"/>
          <w:kern w:val="0"/>
          <w:sz w:val="32"/>
          <w:szCs w:val="32"/>
          <w:u w:val="none"/>
          <w:lang w:val="en-US" w:eastAsia="zh-CN" w:bidi="ar-SA"/>
        </w:rPr>
        <w:t>受房地产市场大环境影响</w:t>
      </w:r>
      <w:r>
        <w:rPr>
          <w:rFonts w:hint="eastAsia" w:cs="仿宋_GB2312"/>
          <w:b w:val="0"/>
          <w:bCs w:val="0"/>
          <w:color w:val="auto"/>
          <w:kern w:val="0"/>
          <w:sz w:val="32"/>
          <w:szCs w:val="32"/>
          <w:u w:val="none"/>
          <w:lang w:val="en-US" w:eastAsia="zh-CN" w:bidi="ar-SA"/>
        </w:rPr>
        <w:t>，</w:t>
      </w:r>
      <w:r>
        <w:rPr>
          <w:rFonts w:hint="eastAsia" w:ascii="仿宋_GB2312" w:hAnsi="仿宋_GB2312" w:eastAsia="仿宋_GB2312" w:cs="仿宋_GB2312"/>
          <w:b w:val="0"/>
          <w:bCs w:val="0"/>
          <w:color w:val="auto"/>
          <w:kern w:val="0"/>
          <w:sz w:val="32"/>
          <w:szCs w:val="32"/>
          <w:u w:val="none"/>
          <w:lang w:val="en-US" w:eastAsia="zh-CN" w:bidi="ar-SA"/>
        </w:rPr>
        <w:t>改造难度</w:t>
      </w:r>
      <w:r>
        <w:rPr>
          <w:rFonts w:hint="eastAsia" w:cs="仿宋_GB2312"/>
          <w:b w:val="0"/>
          <w:bCs w:val="0"/>
          <w:color w:val="auto"/>
          <w:kern w:val="0"/>
          <w:sz w:val="32"/>
          <w:szCs w:val="32"/>
          <w:u w:val="none"/>
          <w:lang w:val="en-US" w:eastAsia="zh-CN" w:bidi="ar-SA"/>
        </w:rPr>
        <w:t>持续加</w:t>
      </w:r>
      <w:r>
        <w:rPr>
          <w:rFonts w:hint="eastAsia" w:ascii="仿宋_GB2312" w:hAnsi="仿宋_GB2312" w:eastAsia="仿宋_GB2312" w:cs="仿宋_GB2312"/>
          <w:b w:val="0"/>
          <w:bCs w:val="0"/>
          <w:color w:val="auto"/>
          <w:kern w:val="0"/>
          <w:sz w:val="32"/>
          <w:szCs w:val="32"/>
          <w:u w:val="none"/>
          <w:lang w:val="en-US" w:eastAsia="zh-CN" w:bidi="ar-SA"/>
        </w:rPr>
        <w:t>大。四是</w:t>
      </w:r>
      <w:r>
        <w:rPr>
          <w:rFonts w:hint="eastAsia" w:ascii="仿宋_GB2312" w:hAnsi="仿宋_GB2312" w:eastAsia="仿宋_GB2312" w:cs="仿宋_GB2312"/>
          <w:color w:val="000000"/>
          <w:sz w:val="32"/>
          <w:szCs w:val="32"/>
        </w:rPr>
        <w:t>城市治理水平有待提高，社会稳定形势依然严峻，基层治理效能还有差距</w:t>
      </w:r>
      <w:r>
        <w:rPr>
          <w:rFonts w:hint="eastAsia" w:cs="仿宋_GB2312"/>
          <w:color w:val="000000"/>
          <w:sz w:val="32"/>
          <w:szCs w:val="32"/>
          <w:lang w:eastAsia="zh-CN"/>
        </w:rPr>
        <w:t>。</w:t>
      </w:r>
    </w:p>
    <w:p w14:paraId="5C757A5C">
      <w:pPr>
        <w:keepNext w:val="0"/>
        <w:keepLines w:val="0"/>
        <w:pageBreakBefore w:val="0"/>
        <w:widowControl w:val="0"/>
        <w:kinsoku/>
        <w:wordWrap/>
        <w:overflowPunct/>
        <w:topLinePunct w:val="0"/>
        <w:autoSpaceDE/>
        <w:autoSpaceDN/>
        <w:bidi w:val="0"/>
        <w:adjustRightInd/>
        <w:snapToGrid/>
        <w:spacing w:line="570" w:lineRule="exact"/>
        <w:ind w:firstLine="632"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val="0"/>
          <w:bCs w:val="0"/>
          <w:color w:val="auto"/>
          <w:kern w:val="0"/>
          <w:sz w:val="32"/>
          <w:szCs w:val="32"/>
          <w:u w:val="none"/>
          <w:lang w:val="en-US" w:eastAsia="zh-CN" w:bidi="ar-SA"/>
        </w:rPr>
        <w:t>综合来看，“十五五”时期，我区面临形势更加错综复杂，在危机中育先机</w:t>
      </w:r>
      <w:r>
        <w:rPr>
          <w:rFonts w:hint="eastAsia" w:cs="仿宋_GB2312"/>
          <w:b w:val="0"/>
          <w:bCs w:val="0"/>
          <w:color w:val="auto"/>
          <w:kern w:val="0"/>
          <w:sz w:val="32"/>
          <w:szCs w:val="32"/>
          <w:u w:val="none"/>
          <w:lang w:val="en-US" w:eastAsia="zh-CN" w:bidi="ar-SA"/>
        </w:rPr>
        <w:t>、</w:t>
      </w:r>
      <w:r>
        <w:rPr>
          <w:rFonts w:hint="eastAsia" w:ascii="仿宋_GB2312" w:hAnsi="仿宋_GB2312" w:eastAsia="仿宋_GB2312" w:cs="仿宋_GB2312"/>
          <w:b w:val="0"/>
          <w:bCs w:val="0"/>
          <w:color w:val="auto"/>
          <w:kern w:val="0"/>
          <w:sz w:val="32"/>
          <w:szCs w:val="32"/>
          <w:u w:val="none"/>
          <w:lang w:val="en-US" w:eastAsia="zh-CN" w:bidi="ar-SA"/>
        </w:rPr>
        <w:t>在变局中开新局的形势更加严峻、任务更加紧迫，但从总体来看，</w:t>
      </w:r>
      <w:bookmarkStart w:id="95" w:name="_GoBack"/>
      <w:bookmarkEnd w:id="95"/>
      <w:r>
        <w:rPr>
          <w:rFonts w:hint="eastAsia" w:ascii="仿宋_GB2312" w:hAnsi="仿宋_GB2312" w:eastAsia="仿宋_GB2312" w:cs="仿宋_GB2312"/>
          <w:b w:val="0"/>
          <w:bCs w:val="0"/>
          <w:color w:val="auto"/>
          <w:kern w:val="0"/>
          <w:sz w:val="32"/>
          <w:szCs w:val="32"/>
          <w:u w:val="none"/>
          <w:lang w:val="en-US" w:eastAsia="zh-CN" w:bidi="ar-SA"/>
        </w:rPr>
        <w:t>发展韧性好、潜力足、回旋空间大的基本特质没有变，经济社会发展的良好基础和条件没有变，应对重大风险和挑战的韧性明显增强</w:t>
      </w:r>
      <w:r>
        <w:rPr>
          <w:rFonts w:hint="eastAsia" w:cs="仿宋_GB2312"/>
          <w:b w:val="0"/>
          <w:bCs w:val="0"/>
          <w:color w:val="auto"/>
          <w:kern w:val="0"/>
          <w:sz w:val="32"/>
          <w:szCs w:val="32"/>
          <w:u w:val="none"/>
          <w:lang w:val="en-US" w:eastAsia="zh-CN" w:bidi="ar-SA"/>
        </w:rPr>
        <w:t>。全区上下要</w:t>
      </w:r>
      <w:r>
        <w:rPr>
          <w:rFonts w:hint="eastAsia" w:ascii="仿宋_GB2312" w:hAnsi="仿宋_GB2312" w:eastAsia="仿宋_GB2312" w:cs="仿宋_GB2312"/>
          <w:color w:val="000000"/>
          <w:sz w:val="32"/>
          <w:szCs w:val="32"/>
        </w:rPr>
        <w:t>保持战略定力</w:t>
      </w:r>
      <w:r>
        <w:rPr>
          <w:rFonts w:hint="eastAsia" w:cs="仿宋_GB2312"/>
          <w:color w:val="000000"/>
          <w:sz w:val="32"/>
          <w:szCs w:val="32"/>
          <w:lang w:eastAsia="zh-CN"/>
        </w:rPr>
        <w:t>，</w:t>
      </w:r>
      <w:r>
        <w:rPr>
          <w:rFonts w:hint="eastAsia" w:ascii="仿宋_GB2312" w:hAnsi="仿宋_GB2312" w:eastAsia="仿宋_GB2312" w:cs="仿宋_GB2312"/>
          <w:color w:val="000000"/>
          <w:sz w:val="32"/>
          <w:szCs w:val="32"/>
        </w:rPr>
        <w:t>强化底线思维，准确识变、科学应变、主动求变，努力在高质量发展中赢得优势、赢得主动、赢得未来。</w:t>
      </w:r>
    </w:p>
    <w:bookmarkEnd w:id="7"/>
    <w:bookmarkEnd w:id="8"/>
    <w:bookmarkEnd w:id="9"/>
    <w:bookmarkEnd w:id="10"/>
    <w:bookmarkEnd w:id="11"/>
    <w:p w14:paraId="792458D8">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70" w:lineRule="exact"/>
        <w:ind w:left="0" w:leftChars="0" w:firstLine="0" w:firstLineChars="0"/>
        <w:jc w:val="center"/>
        <w:textAlignment w:val="auto"/>
        <w:rPr>
          <w:rFonts w:hint="eastAsia"/>
          <w:b w:val="0"/>
          <w:bCs w:val="0"/>
          <w:sz w:val="32"/>
          <w:szCs w:val="32"/>
          <w:u w:val="none"/>
          <w:lang w:val="en-US" w:eastAsia="zh-CN"/>
        </w:rPr>
      </w:pPr>
      <w:bookmarkStart w:id="14" w:name="_Toc16114"/>
      <w:bookmarkStart w:id="15" w:name="_Toc28317"/>
      <w:bookmarkStart w:id="16" w:name="_Toc32526"/>
      <w:bookmarkStart w:id="17" w:name="_Toc1582145614"/>
      <w:bookmarkStart w:id="18" w:name="_Toc24554"/>
      <w:bookmarkStart w:id="19" w:name="_Toc673"/>
      <w:r>
        <w:rPr>
          <w:rFonts w:hint="eastAsia"/>
          <w:b w:val="0"/>
          <w:bCs w:val="0"/>
          <w:sz w:val="32"/>
          <w:szCs w:val="32"/>
          <w:u w:val="none"/>
          <w:lang w:val="en-US" w:eastAsia="zh-CN"/>
        </w:rPr>
        <w:t>第四节  指导思想</w:t>
      </w:r>
      <w:bookmarkEnd w:id="14"/>
      <w:bookmarkEnd w:id="15"/>
      <w:bookmarkEnd w:id="16"/>
      <w:bookmarkEnd w:id="17"/>
      <w:bookmarkEnd w:id="18"/>
      <w:bookmarkEnd w:id="19"/>
    </w:p>
    <w:p w14:paraId="432301BD">
      <w:pPr>
        <w:keepNext w:val="0"/>
        <w:keepLines w:val="0"/>
        <w:pageBreakBefore w:val="0"/>
        <w:widowControl w:val="0"/>
        <w:kinsoku/>
        <w:wordWrap/>
        <w:overflowPunct/>
        <w:topLinePunct w:val="0"/>
        <w:autoSpaceDE/>
        <w:autoSpaceDN/>
        <w:bidi w:val="0"/>
        <w:adjustRightInd/>
        <w:snapToGrid/>
        <w:spacing w:line="570" w:lineRule="exact"/>
        <w:ind w:firstLine="632" w:firstLineChars="200"/>
        <w:jc w:val="both"/>
        <w:textAlignment w:val="auto"/>
        <w:rPr>
          <w:rFonts w:hint="eastAsia" w:ascii="仿宋_GB2312" w:hAnsi="仿宋_GB2312" w:eastAsia="仿宋_GB2312" w:cs="仿宋_GB2312"/>
          <w:color w:val="000000"/>
          <w:sz w:val="32"/>
          <w:szCs w:val="32"/>
        </w:rPr>
      </w:pPr>
      <w:bookmarkStart w:id="20" w:name="_Toc30945"/>
      <w:r>
        <w:rPr>
          <w:rFonts w:hint="eastAsia" w:ascii="仿宋_GB2312" w:hAnsi="仿宋_GB2312" w:eastAsia="仿宋_GB2312" w:cs="仿宋_GB2312"/>
          <w:color w:val="000000"/>
          <w:sz w:val="32"/>
          <w:szCs w:val="32"/>
        </w:rPr>
        <w:t>坚持马克思列宁主义、毛泽东思想、邓小平理论、“三个代表”重要思想、科学发展观，全面贯彻习近平新时代中国特色社会主义思想，深入贯彻党的二十大和二十届历次全会精神，认真落实习近平总书记视察山东重要讲话和重要指示批示精神，贯彻落实省委、市委决策部署，锚定打造现代物流枢纽区、先进制造业基地、商贸文化活力区功能定位，完整准确全面贯彻新发展理念，积极融入新发展格局，坚持稳中求进工作总基调，坚持以经济建设为中心，以推动高质量发展为主题，以改革创新为根本动力，以满足人民日益增长的美好生活需要为根本目的，以全面从严治党为根本保障，推动经济实现质的有效提升和量的合理增长，推动人的全面发展、全体人民共同富裕迈出坚实步伐，确保基本建成新时代社会主义现代化强区取得决定性进展。</w:t>
      </w:r>
    </w:p>
    <w:p w14:paraId="7920C753">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70" w:lineRule="exact"/>
        <w:ind w:left="0" w:leftChars="0" w:firstLine="0" w:firstLineChars="0"/>
        <w:jc w:val="center"/>
        <w:textAlignment w:val="auto"/>
        <w:rPr>
          <w:rFonts w:hint="eastAsia"/>
          <w:b w:val="0"/>
          <w:bCs w:val="0"/>
          <w:sz w:val="32"/>
          <w:szCs w:val="32"/>
          <w:u w:val="none"/>
          <w:lang w:val="en-US" w:eastAsia="zh-CN"/>
        </w:rPr>
      </w:pPr>
      <w:bookmarkStart w:id="21" w:name="_Toc154983005"/>
      <w:r>
        <w:rPr>
          <w:rFonts w:hint="eastAsia"/>
          <w:b w:val="0"/>
          <w:bCs w:val="0"/>
          <w:sz w:val="32"/>
          <w:szCs w:val="32"/>
          <w:u w:val="none"/>
          <w:lang w:val="en-US" w:eastAsia="zh-CN"/>
        </w:rPr>
        <w:t>第五节  基本原则</w:t>
      </w:r>
      <w:bookmarkEnd w:id="20"/>
      <w:bookmarkEnd w:id="21"/>
    </w:p>
    <w:p w14:paraId="629BDCE0">
      <w:pPr>
        <w:keepNext w:val="0"/>
        <w:keepLines w:val="0"/>
        <w:pageBreakBefore w:val="0"/>
        <w:widowControl w:val="0"/>
        <w:kinsoku/>
        <w:wordWrap/>
        <w:overflowPunct/>
        <w:topLinePunct w:val="0"/>
        <w:autoSpaceDE/>
        <w:autoSpaceDN/>
        <w:bidi w:val="0"/>
        <w:adjustRightInd/>
        <w:snapToGrid/>
        <w:spacing w:line="570" w:lineRule="exact"/>
        <w:ind w:firstLine="632" w:firstLineChars="200"/>
        <w:jc w:val="both"/>
        <w:textAlignment w:val="auto"/>
        <w:rPr>
          <w:rFonts w:hint="eastAsia" w:ascii="仿宋_GB2312" w:hAnsi="仿宋_GB2312" w:eastAsia="仿宋_GB2312" w:cs="仿宋_GB2312"/>
          <w:color w:val="000000" w:themeColor="text1"/>
          <w:sz w:val="32"/>
          <w:szCs w:val="32"/>
          <w:u w:val="none"/>
          <w14:textFill>
            <w14:solidFill>
              <w14:schemeClr w14:val="tx1"/>
            </w14:solidFill>
          </w14:textFill>
        </w:rPr>
      </w:pPr>
      <w:bookmarkStart w:id="22" w:name="_Toc2441"/>
      <w:r>
        <w:rPr>
          <w:rFonts w:hint="eastAsia" w:ascii="黑体" w:hAnsi="黑体" w:eastAsia="黑体" w:cs="黑体"/>
          <w:b/>
          <w:bCs/>
          <w:color w:val="000000" w:themeColor="text1"/>
          <w:sz w:val="32"/>
          <w:szCs w:val="32"/>
          <w:u w:val="none"/>
          <w14:textFill>
            <w14:solidFill>
              <w14:schemeClr w14:val="tx1"/>
            </w14:solidFill>
          </w14:textFill>
        </w:rPr>
        <w:t>——</w:t>
      </w:r>
      <w:r>
        <w:rPr>
          <w:rFonts w:hint="eastAsia" w:ascii="仿宋_GB2312" w:hAnsi="仿宋_GB2312" w:eastAsia="仿宋_GB2312" w:cs="仿宋_GB2312"/>
          <w:b/>
          <w:bCs/>
          <w:color w:val="000000" w:themeColor="text1"/>
          <w:sz w:val="32"/>
          <w:szCs w:val="32"/>
          <w:u w:val="none"/>
          <w14:textFill>
            <w14:solidFill>
              <w14:schemeClr w14:val="tx1"/>
            </w14:solidFill>
          </w14:textFill>
        </w:rPr>
        <w:t>坚持党的全面领导。</w:t>
      </w:r>
      <w:r>
        <w:rPr>
          <w:rFonts w:hint="eastAsia" w:ascii="仿宋_GB2312" w:hAnsi="仿宋_GB2312" w:eastAsia="仿宋_GB2312" w:cs="仿宋_GB2312"/>
          <w:color w:val="000000" w:themeColor="text1"/>
          <w:sz w:val="32"/>
          <w:szCs w:val="32"/>
          <w:u w:val="none"/>
          <w14:textFill>
            <w14:solidFill>
              <w14:schemeClr w14:val="tx1"/>
            </w14:solidFill>
          </w14:textFill>
        </w:rPr>
        <w:t>坚决维护党中央权威和集中统一领导，提高党把方向、谋大局、定政策、促改革能力，把党的领导贯穿经济社会发展各方面全过程，把党的政治优势、制度优势转化为发展优势、治理优势，为实现高质量发展提供根本保证。</w:t>
      </w:r>
    </w:p>
    <w:p w14:paraId="77B87375">
      <w:pPr>
        <w:keepNext w:val="0"/>
        <w:keepLines w:val="0"/>
        <w:pageBreakBefore w:val="0"/>
        <w:widowControl w:val="0"/>
        <w:kinsoku/>
        <w:wordWrap/>
        <w:overflowPunct/>
        <w:topLinePunct w:val="0"/>
        <w:autoSpaceDE/>
        <w:autoSpaceDN/>
        <w:bidi w:val="0"/>
        <w:adjustRightInd/>
        <w:snapToGrid/>
        <w:spacing w:line="570" w:lineRule="exact"/>
        <w:ind w:firstLine="640"/>
        <w:jc w:val="both"/>
        <w:textAlignment w:val="auto"/>
        <w:rPr>
          <w:rFonts w:hint="eastAsia" w:ascii="仿宋_GB2312" w:hAnsi="仿宋_GB2312" w:eastAsia="仿宋_GB2312" w:cs="仿宋_GB2312"/>
          <w:color w:val="000000" w:themeColor="text1"/>
          <w:sz w:val="32"/>
          <w:szCs w:val="32"/>
          <w:u w:val="none"/>
          <w14:textFill>
            <w14:solidFill>
              <w14:schemeClr w14:val="tx1"/>
            </w14:solidFill>
          </w14:textFill>
        </w:rPr>
      </w:pPr>
      <w:r>
        <w:rPr>
          <w:rFonts w:hint="eastAsia" w:ascii="黑体" w:hAnsi="黑体" w:eastAsia="黑体" w:cs="黑体"/>
          <w:b/>
          <w:bCs/>
          <w:color w:val="000000" w:themeColor="text1"/>
          <w:sz w:val="32"/>
          <w:szCs w:val="32"/>
          <w:u w:val="none"/>
          <w14:textFill>
            <w14:solidFill>
              <w14:schemeClr w14:val="tx1"/>
            </w14:solidFill>
          </w14:textFill>
        </w:rPr>
        <w:t>——</w:t>
      </w:r>
      <w:r>
        <w:rPr>
          <w:rFonts w:hint="eastAsia" w:ascii="仿宋_GB2312" w:hAnsi="仿宋_GB2312" w:eastAsia="仿宋_GB2312" w:cs="仿宋_GB2312"/>
          <w:b/>
          <w:bCs/>
          <w:color w:val="000000" w:themeColor="text1"/>
          <w:sz w:val="32"/>
          <w:szCs w:val="32"/>
          <w:u w:val="none"/>
          <w14:textFill>
            <w14:solidFill>
              <w14:schemeClr w14:val="tx1"/>
            </w14:solidFill>
          </w14:textFill>
        </w:rPr>
        <w:t>坚持人民至上</w:t>
      </w:r>
      <w:r>
        <w:rPr>
          <w:rFonts w:hint="eastAsia" w:ascii="仿宋_GB2312" w:hAnsi="仿宋_GB2312" w:eastAsia="仿宋_GB2312" w:cs="仿宋_GB2312"/>
          <w:color w:val="000000" w:themeColor="text1"/>
          <w:sz w:val="32"/>
          <w:szCs w:val="32"/>
          <w:u w:val="none"/>
          <w14:textFill>
            <w14:solidFill>
              <w14:schemeClr w14:val="tx1"/>
            </w14:solidFill>
          </w14:textFill>
        </w:rPr>
        <w:t>。尊重人民主体地位，紧紧依靠人民，维护人民根本利益，促进社会公平正义，注重在发展中保障和改善民生，在满足民生需求中拓展发展空间，推动经济和社会协调发展、物质文明和精神文明相得益彰，让改革发展成果更多更公平惠及全体人民。</w:t>
      </w:r>
    </w:p>
    <w:p w14:paraId="498B85F3">
      <w:pPr>
        <w:keepNext w:val="0"/>
        <w:keepLines w:val="0"/>
        <w:pageBreakBefore w:val="0"/>
        <w:widowControl w:val="0"/>
        <w:kinsoku/>
        <w:wordWrap/>
        <w:overflowPunct/>
        <w:topLinePunct w:val="0"/>
        <w:autoSpaceDE/>
        <w:autoSpaceDN/>
        <w:bidi w:val="0"/>
        <w:adjustRightInd/>
        <w:snapToGrid/>
        <w:spacing w:line="570" w:lineRule="exact"/>
        <w:ind w:firstLine="632" w:firstLineChars="200"/>
        <w:jc w:val="both"/>
        <w:textAlignment w:val="auto"/>
        <w:rPr>
          <w:rFonts w:hint="eastAsia" w:ascii="仿宋_GB2312" w:hAnsi="仿宋_GB2312" w:eastAsia="仿宋_GB2312" w:cs="仿宋_GB2312"/>
          <w:color w:val="000000" w:themeColor="text1"/>
          <w:sz w:val="32"/>
          <w:szCs w:val="32"/>
          <w:u w:val="none"/>
          <w14:textFill>
            <w14:solidFill>
              <w14:schemeClr w14:val="tx1"/>
            </w14:solidFill>
          </w14:textFill>
        </w:rPr>
      </w:pPr>
      <w:r>
        <w:rPr>
          <w:rFonts w:hint="eastAsia" w:ascii="黑体" w:hAnsi="黑体" w:eastAsia="黑体" w:cs="黑体"/>
          <w:b/>
          <w:bCs/>
          <w:color w:val="000000" w:themeColor="text1"/>
          <w:sz w:val="32"/>
          <w:szCs w:val="32"/>
          <w:u w:val="none"/>
          <w14:textFill>
            <w14:solidFill>
              <w14:schemeClr w14:val="tx1"/>
            </w14:solidFill>
          </w14:textFill>
        </w:rPr>
        <w:t>——</w:t>
      </w:r>
      <w:r>
        <w:rPr>
          <w:rFonts w:hint="eastAsia" w:ascii="仿宋_GB2312" w:hAnsi="仿宋_GB2312" w:eastAsia="仿宋_GB2312" w:cs="仿宋_GB2312"/>
          <w:b/>
          <w:bCs/>
          <w:color w:val="000000" w:themeColor="text1"/>
          <w:sz w:val="32"/>
          <w:szCs w:val="32"/>
          <w:u w:val="none"/>
          <w14:textFill>
            <w14:solidFill>
              <w14:schemeClr w14:val="tx1"/>
            </w14:solidFill>
          </w14:textFill>
        </w:rPr>
        <w:t>坚持高质量发展</w:t>
      </w:r>
      <w:r>
        <w:rPr>
          <w:rFonts w:hint="eastAsia" w:ascii="仿宋_GB2312" w:hAnsi="仿宋_GB2312" w:eastAsia="仿宋_GB2312" w:cs="仿宋_GB2312"/>
          <w:color w:val="000000" w:themeColor="text1"/>
          <w:sz w:val="32"/>
          <w:szCs w:val="32"/>
          <w:u w:val="none"/>
          <w14:textFill>
            <w14:solidFill>
              <w14:schemeClr w14:val="tx1"/>
            </w14:solidFill>
          </w14:textFill>
        </w:rPr>
        <w:t>。以新发展理念引领发展，因地制宜发展新质生产力，服务和融入全国统一大市场建设，统筹扩大内需和深化供给侧结构性改革，加快培育新动能，促进经济结构优化升级，推动经济持续健康发展和社会全面进步。</w:t>
      </w:r>
    </w:p>
    <w:p w14:paraId="44751FA7">
      <w:pPr>
        <w:keepNext w:val="0"/>
        <w:keepLines w:val="0"/>
        <w:pageBreakBefore w:val="0"/>
        <w:widowControl w:val="0"/>
        <w:kinsoku/>
        <w:wordWrap/>
        <w:overflowPunct/>
        <w:topLinePunct w:val="0"/>
        <w:autoSpaceDE/>
        <w:autoSpaceDN/>
        <w:bidi w:val="0"/>
        <w:adjustRightInd/>
        <w:snapToGrid/>
        <w:spacing w:line="570" w:lineRule="exact"/>
        <w:ind w:firstLine="640"/>
        <w:jc w:val="both"/>
        <w:textAlignment w:val="auto"/>
        <w:rPr>
          <w:rFonts w:hint="eastAsia" w:ascii="仿宋_GB2312" w:hAnsi="仿宋_GB2312" w:eastAsia="仿宋_GB2312" w:cs="仿宋_GB2312"/>
          <w:color w:val="000000" w:themeColor="text1"/>
          <w:sz w:val="32"/>
          <w:szCs w:val="32"/>
          <w:u w:val="none"/>
          <w14:textFill>
            <w14:solidFill>
              <w14:schemeClr w14:val="tx1"/>
            </w14:solidFill>
          </w14:textFill>
        </w:rPr>
      </w:pPr>
      <w:r>
        <w:rPr>
          <w:rFonts w:hint="eastAsia" w:ascii="黑体" w:hAnsi="黑体" w:eastAsia="黑体" w:cs="黑体"/>
          <w:b/>
          <w:bCs/>
          <w:color w:val="000000" w:themeColor="text1"/>
          <w:sz w:val="32"/>
          <w:szCs w:val="32"/>
          <w:u w:val="none"/>
          <w14:textFill>
            <w14:solidFill>
              <w14:schemeClr w14:val="tx1"/>
            </w14:solidFill>
          </w14:textFill>
        </w:rPr>
        <w:t>——</w:t>
      </w:r>
      <w:r>
        <w:rPr>
          <w:rFonts w:hint="eastAsia" w:ascii="仿宋_GB2312" w:hAnsi="仿宋_GB2312" w:eastAsia="仿宋_GB2312" w:cs="仿宋_GB2312"/>
          <w:b/>
          <w:bCs/>
          <w:color w:val="000000" w:themeColor="text1"/>
          <w:sz w:val="32"/>
          <w:szCs w:val="32"/>
          <w:u w:val="none"/>
          <w14:textFill>
            <w14:solidFill>
              <w14:schemeClr w14:val="tx1"/>
            </w14:solidFill>
          </w14:textFill>
        </w:rPr>
        <w:t>坚持全面深化改革</w:t>
      </w:r>
      <w:r>
        <w:rPr>
          <w:rFonts w:hint="eastAsia" w:ascii="仿宋_GB2312" w:hAnsi="仿宋_GB2312" w:eastAsia="仿宋_GB2312" w:cs="仿宋_GB2312"/>
          <w:color w:val="000000" w:themeColor="text1"/>
          <w:sz w:val="32"/>
          <w:szCs w:val="32"/>
          <w:u w:val="none"/>
          <w14:textFill>
            <w14:solidFill>
              <w14:schemeClr w14:val="tx1"/>
            </w14:solidFill>
          </w14:textFill>
        </w:rPr>
        <w:t>。聚焦制约高质量发展的体制机制障碍，推进深层次改革，扩大高水平开放，推动生产关系和生产力、上层建筑和经济基础、城市治理和社会发展更好相适应，持续增强发展动力和社会活力。</w:t>
      </w:r>
    </w:p>
    <w:p w14:paraId="1FDAB67D">
      <w:pPr>
        <w:keepNext w:val="0"/>
        <w:keepLines w:val="0"/>
        <w:pageBreakBefore w:val="0"/>
        <w:widowControl w:val="0"/>
        <w:kinsoku/>
        <w:wordWrap/>
        <w:overflowPunct/>
        <w:topLinePunct w:val="0"/>
        <w:autoSpaceDE/>
        <w:autoSpaceDN/>
        <w:bidi w:val="0"/>
        <w:adjustRightInd/>
        <w:snapToGrid/>
        <w:spacing w:line="570" w:lineRule="exact"/>
        <w:ind w:firstLine="640"/>
        <w:jc w:val="both"/>
        <w:textAlignment w:val="auto"/>
        <w:rPr>
          <w:rFonts w:hint="eastAsia" w:ascii="仿宋_GB2312" w:hAnsi="仿宋_GB2312" w:eastAsia="仿宋_GB2312" w:cs="仿宋_GB2312"/>
          <w:color w:val="000000" w:themeColor="text1"/>
          <w:sz w:val="32"/>
          <w:szCs w:val="32"/>
          <w:u w:val="none"/>
          <w14:textFill>
            <w14:solidFill>
              <w14:schemeClr w14:val="tx1"/>
            </w14:solidFill>
          </w14:textFill>
        </w:rPr>
      </w:pPr>
      <w:r>
        <w:rPr>
          <w:rFonts w:hint="eastAsia" w:ascii="黑体" w:hAnsi="黑体" w:eastAsia="黑体" w:cs="黑体"/>
          <w:b/>
          <w:bCs/>
          <w:color w:val="000000" w:themeColor="text1"/>
          <w:sz w:val="32"/>
          <w:szCs w:val="32"/>
          <w:u w:val="none"/>
          <w14:textFill>
            <w14:solidFill>
              <w14:schemeClr w14:val="tx1"/>
            </w14:solidFill>
          </w14:textFill>
        </w:rPr>
        <w:t>——</w:t>
      </w:r>
      <w:r>
        <w:rPr>
          <w:rFonts w:hint="eastAsia" w:ascii="仿宋_GB2312" w:hAnsi="仿宋_GB2312" w:eastAsia="仿宋_GB2312" w:cs="仿宋_GB2312"/>
          <w:b/>
          <w:bCs/>
          <w:color w:val="000000" w:themeColor="text1"/>
          <w:sz w:val="32"/>
          <w:szCs w:val="32"/>
          <w:u w:val="none"/>
          <w14:textFill>
            <w14:solidFill>
              <w14:schemeClr w14:val="tx1"/>
            </w14:solidFill>
          </w14:textFill>
        </w:rPr>
        <w:t>坚持有效市场和有为政府相结合</w:t>
      </w:r>
      <w:r>
        <w:rPr>
          <w:rFonts w:hint="eastAsia" w:ascii="仿宋_GB2312" w:hAnsi="仿宋_GB2312" w:eastAsia="仿宋_GB2312" w:cs="仿宋_GB2312"/>
          <w:color w:val="000000" w:themeColor="text1"/>
          <w:sz w:val="32"/>
          <w:szCs w:val="32"/>
          <w:u w:val="none"/>
          <w14:textFill>
            <w14:solidFill>
              <w14:schemeClr w14:val="tx1"/>
            </w14:solidFill>
          </w14:textFill>
        </w:rPr>
        <w:t>。充分发挥市场在资源配置中的决定性作用，更好发挥政府作用，构建统一、开放、竞争、有序的市场体系，建设法治经济、信用经济，打造市场化法治化国际化一流营商环境，形成既“放得活”又“管得好”的经济秩序。</w:t>
      </w:r>
    </w:p>
    <w:p w14:paraId="32F87B5F">
      <w:pPr>
        <w:keepNext w:val="0"/>
        <w:keepLines w:val="0"/>
        <w:pageBreakBefore w:val="0"/>
        <w:widowControl w:val="0"/>
        <w:kinsoku/>
        <w:wordWrap/>
        <w:overflowPunct/>
        <w:topLinePunct w:val="0"/>
        <w:autoSpaceDE/>
        <w:autoSpaceDN/>
        <w:bidi w:val="0"/>
        <w:adjustRightInd/>
        <w:snapToGrid/>
        <w:spacing w:line="570" w:lineRule="exact"/>
        <w:ind w:firstLine="640"/>
        <w:jc w:val="both"/>
        <w:textAlignment w:val="auto"/>
        <w:rPr>
          <w:rFonts w:hint="eastAsia" w:ascii="仿宋_GB2312" w:hAnsi="仿宋_GB2312" w:eastAsia="仿宋_GB2312" w:cs="仿宋_GB2312"/>
          <w:color w:val="000000" w:themeColor="text1"/>
          <w:sz w:val="32"/>
          <w:szCs w:val="32"/>
          <w:u w:val="none"/>
          <w14:textFill>
            <w14:solidFill>
              <w14:schemeClr w14:val="tx1"/>
            </w14:solidFill>
          </w14:textFill>
        </w:rPr>
      </w:pPr>
      <w:r>
        <w:rPr>
          <w:rFonts w:hint="eastAsia" w:ascii="黑体" w:hAnsi="黑体" w:eastAsia="黑体" w:cs="黑体"/>
          <w:b/>
          <w:bCs/>
          <w:color w:val="000000" w:themeColor="text1"/>
          <w:sz w:val="32"/>
          <w:szCs w:val="32"/>
          <w:u w:val="none"/>
          <w14:textFill>
            <w14:solidFill>
              <w14:schemeClr w14:val="tx1"/>
            </w14:solidFill>
          </w14:textFill>
        </w:rPr>
        <w:t>——</w:t>
      </w:r>
      <w:r>
        <w:rPr>
          <w:rFonts w:hint="eastAsia" w:ascii="仿宋_GB2312" w:hAnsi="仿宋_GB2312" w:eastAsia="仿宋_GB2312" w:cs="仿宋_GB2312"/>
          <w:b/>
          <w:bCs/>
          <w:color w:val="000000" w:themeColor="text1"/>
          <w:sz w:val="32"/>
          <w:szCs w:val="32"/>
          <w:u w:val="none"/>
          <w14:textFill>
            <w14:solidFill>
              <w14:schemeClr w14:val="tx1"/>
            </w14:solidFill>
          </w14:textFill>
        </w:rPr>
        <w:t>坚持统筹发展和安全</w:t>
      </w:r>
      <w:r>
        <w:rPr>
          <w:rFonts w:hint="eastAsia" w:ascii="仿宋_GB2312" w:hAnsi="仿宋_GB2312" w:eastAsia="仿宋_GB2312" w:cs="仿宋_GB2312"/>
          <w:color w:val="000000" w:themeColor="text1"/>
          <w:sz w:val="32"/>
          <w:szCs w:val="32"/>
          <w:u w:val="none"/>
          <w14:textFill>
            <w14:solidFill>
              <w14:schemeClr w14:val="tx1"/>
            </w14:solidFill>
          </w14:textFill>
        </w:rPr>
        <w:t>。在发展中固安全，在安全中谋发展，强化底线思维，有效防范化解各类风险，增强经济和社会韧性，以新安全格局保障新发展格局。</w:t>
      </w:r>
    </w:p>
    <w:p w14:paraId="43DE0014">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70" w:lineRule="exact"/>
        <w:ind w:left="0" w:leftChars="0" w:firstLine="0" w:firstLineChars="0"/>
        <w:jc w:val="center"/>
        <w:textAlignment w:val="auto"/>
        <w:rPr>
          <w:rFonts w:hint="eastAsia"/>
          <w:b w:val="0"/>
          <w:bCs w:val="0"/>
          <w:sz w:val="32"/>
          <w:szCs w:val="32"/>
          <w:u w:val="none"/>
          <w:lang w:val="en-US" w:eastAsia="zh-CN"/>
        </w:rPr>
      </w:pPr>
      <w:bookmarkStart w:id="23" w:name="_Toc121195179"/>
      <w:r>
        <w:rPr>
          <w:rFonts w:hint="eastAsia"/>
          <w:b w:val="0"/>
          <w:bCs w:val="0"/>
          <w:sz w:val="32"/>
          <w:szCs w:val="32"/>
          <w:u w:val="none"/>
          <w:lang w:val="en-US" w:eastAsia="zh-CN"/>
        </w:rPr>
        <w:t xml:space="preserve">第六节 </w:t>
      </w:r>
      <w:bookmarkEnd w:id="22"/>
      <w:r>
        <w:rPr>
          <w:rFonts w:hint="eastAsia"/>
          <w:b w:val="0"/>
          <w:bCs w:val="0"/>
          <w:sz w:val="32"/>
          <w:szCs w:val="32"/>
          <w:u w:val="none"/>
          <w:lang w:val="en-US" w:eastAsia="zh-CN"/>
        </w:rPr>
        <w:t xml:space="preserve"> 发展目标</w:t>
      </w:r>
      <w:bookmarkEnd w:id="23"/>
    </w:p>
    <w:p w14:paraId="4E17C667">
      <w:pPr>
        <w:keepNext w:val="0"/>
        <w:keepLines w:val="0"/>
        <w:pageBreakBefore w:val="0"/>
        <w:widowControl w:val="0"/>
        <w:kinsoku/>
        <w:wordWrap/>
        <w:overflowPunct/>
        <w:topLinePunct w:val="0"/>
        <w:autoSpaceDE/>
        <w:autoSpaceDN/>
        <w:bidi w:val="0"/>
        <w:adjustRightInd/>
        <w:snapToGrid/>
        <w:spacing w:line="570" w:lineRule="exact"/>
        <w:ind w:firstLine="632" w:firstLineChars="200"/>
        <w:jc w:val="both"/>
        <w:textAlignment w:val="auto"/>
        <w:rPr>
          <w:rFonts w:hint="eastAsia"/>
          <w:b w:val="0"/>
          <w:bCs w:val="0"/>
          <w:color w:val="auto"/>
          <w:kern w:val="0"/>
          <w:sz w:val="32"/>
          <w:szCs w:val="32"/>
          <w:u w:val="none"/>
          <w:lang w:val="en-US" w:eastAsia="zh-CN"/>
        </w:rPr>
      </w:pPr>
      <w:r>
        <w:rPr>
          <w:rFonts w:hint="eastAsia" w:ascii="仿宋_GB2312" w:hAnsi="仿宋_GB2312" w:eastAsia="仿宋_GB2312" w:cs="仿宋_GB2312"/>
          <w:color w:val="000000"/>
          <w:sz w:val="32"/>
          <w:szCs w:val="32"/>
        </w:rPr>
        <w:t>经过五年不懈奋斗，在增强综合实力、改善城市面貌、增进民生福祉、提高治理水平等方面取得积极进展，现代物流枢纽区、先进制造业基地、商贸文化活力区建设取得</w:t>
      </w:r>
      <w:r>
        <w:rPr>
          <w:rFonts w:hint="eastAsia" w:ascii="仿宋_GB2312" w:hAnsi="仿宋_GB2312" w:eastAsia="仿宋_GB2312" w:cs="仿宋_GB2312"/>
          <w:color w:val="000000"/>
          <w:sz w:val="32"/>
          <w:szCs w:val="32"/>
          <w:lang w:eastAsia="zh-CN"/>
        </w:rPr>
        <w:t>阶段性</w:t>
      </w:r>
      <w:r>
        <w:rPr>
          <w:rFonts w:hint="eastAsia" w:ascii="仿宋_GB2312" w:hAnsi="仿宋_GB2312" w:eastAsia="仿宋_GB2312" w:cs="仿宋_GB2312"/>
          <w:color w:val="000000"/>
          <w:sz w:val="32"/>
          <w:szCs w:val="32"/>
        </w:rPr>
        <w:t>成果，新时代社会主义现代化强区建设取得新的更大成效。</w:t>
      </w:r>
    </w:p>
    <w:p w14:paraId="74506EB5">
      <w:pPr>
        <w:keepNext w:val="0"/>
        <w:keepLines w:val="0"/>
        <w:pageBreakBefore w:val="0"/>
        <w:widowControl w:val="0"/>
        <w:kinsoku/>
        <w:wordWrap/>
        <w:overflowPunct/>
        <w:topLinePunct w:val="0"/>
        <w:autoSpaceDE/>
        <w:autoSpaceDN/>
        <w:bidi w:val="0"/>
        <w:adjustRightInd/>
        <w:snapToGrid/>
        <w:spacing w:line="570" w:lineRule="exact"/>
        <w:ind w:firstLine="608" w:firstLineChars="200"/>
        <w:jc w:val="both"/>
        <w:textAlignment w:val="auto"/>
        <w:rPr>
          <w:rFonts w:hint="eastAsia" w:ascii="仿宋_GB2312" w:hAnsi="仿宋_GB2312" w:eastAsia="仿宋_GB2312" w:cs="仿宋_GB2312"/>
          <w:color w:val="000000"/>
          <w:sz w:val="32"/>
          <w:szCs w:val="32"/>
        </w:rPr>
      </w:pPr>
      <w:r>
        <w:rPr>
          <w:rFonts w:hint="eastAsia" w:ascii="宋体" w:hAnsi="宋体" w:cs="黑体"/>
          <w:b/>
          <w:bCs/>
          <w:spacing w:val="-6"/>
          <w:sz w:val="32"/>
          <w:szCs w:val="32"/>
        </w:rPr>
        <w:t>——</w:t>
      </w:r>
      <w:r>
        <w:rPr>
          <w:rFonts w:hint="eastAsia" w:ascii="仿宋_GB2312" w:hAnsi="仿宋_GB2312" w:eastAsia="仿宋_GB2312" w:cs="仿宋_GB2312"/>
          <w:b/>
          <w:bCs/>
          <w:color w:val="000000"/>
          <w:sz w:val="32"/>
          <w:szCs w:val="32"/>
        </w:rPr>
        <w:t>高质量发展实力更强。</w:t>
      </w:r>
      <w:r>
        <w:rPr>
          <w:rFonts w:hint="eastAsia" w:ascii="仿宋_GB2312" w:hAnsi="仿宋_GB2312" w:eastAsia="仿宋_GB2312" w:cs="仿宋_GB2312"/>
          <w:color w:val="000000"/>
          <w:sz w:val="32"/>
          <w:szCs w:val="32"/>
        </w:rPr>
        <w:t>经济持续健康发展，主要经济指标增速高于全市，地区生产总值在跨越千亿元的基础上实现新突破。产业结构更加合理，制造业比重不断提升，服务业优质高效发展，农业现代化取得积极进展。投资结构持续优化，工业投资、“四新”经济投资、高新技术投资比重大幅提高。财政收入平稳增长，税收结构不断优化。与新时代社会主义现代化强区建设相统一的高质量发展经济体系逐步形成，发展基础、保障能力和抗风险能力明显提升。</w:t>
      </w:r>
    </w:p>
    <w:p w14:paraId="16A25423">
      <w:pPr>
        <w:keepNext w:val="0"/>
        <w:keepLines w:val="0"/>
        <w:pageBreakBefore w:val="0"/>
        <w:widowControl w:val="0"/>
        <w:kinsoku/>
        <w:wordWrap/>
        <w:overflowPunct/>
        <w:topLinePunct w:val="0"/>
        <w:autoSpaceDE/>
        <w:autoSpaceDN/>
        <w:bidi w:val="0"/>
        <w:adjustRightInd/>
        <w:snapToGrid/>
        <w:spacing w:line="570" w:lineRule="exact"/>
        <w:ind w:firstLine="608" w:firstLineChars="200"/>
        <w:jc w:val="both"/>
        <w:textAlignment w:val="auto"/>
        <w:rPr>
          <w:rFonts w:hint="eastAsia" w:ascii="仿宋_GB2312" w:hAnsi="仿宋_GB2312" w:eastAsia="仿宋_GB2312" w:cs="仿宋_GB2312"/>
          <w:color w:val="000000"/>
          <w:sz w:val="32"/>
          <w:szCs w:val="32"/>
        </w:rPr>
      </w:pPr>
      <w:r>
        <w:rPr>
          <w:rFonts w:hint="eastAsia" w:ascii="宋体" w:hAnsi="宋体" w:cs="黑体"/>
          <w:b/>
          <w:bCs/>
          <w:spacing w:val="-6"/>
          <w:sz w:val="32"/>
          <w:szCs w:val="32"/>
        </w:rPr>
        <w:t>——</w:t>
      </w:r>
      <w:r>
        <w:rPr>
          <w:rFonts w:hint="eastAsia" w:ascii="仿宋_GB2312" w:hAnsi="仿宋_GB2312" w:eastAsia="仿宋_GB2312" w:cs="仿宋_GB2312"/>
          <w:b/>
          <w:bCs/>
          <w:color w:val="000000"/>
          <w:sz w:val="32"/>
          <w:szCs w:val="32"/>
        </w:rPr>
        <w:t>科技创新动能更强。</w:t>
      </w:r>
      <w:r>
        <w:rPr>
          <w:rFonts w:hint="eastAsia" w:ascii="仿宋_GB2312" w:hAnsi="仿宋_GB2312" w:eastAsia="仿宋_GB2312" w:cs="仿宋_GB2312"/>
          <w:color w:val="000000"/>
          <w:sz w:val="32"/>
          <w:szCs w:val="32"/>
        </w:rPr>
        <w:t>创新生态更加包容开放，创新平台效能充分释放，创新资源集聚能力、创新策源能力和创新成果转化能力显著提高，教育科技人才一体发展格局基本形成，科技创新和产业创新深度融合，核心创新指标位居全市前列，区域科技综合实力持续增强。</w:t>
      </w:r>
    </w:p>
    <w:p w14:paraId="1BA003C1">
      <w:pPr>
        <w:keepNext w:val="0"/>
        <w:keepLines w:val="0"/>
        <w:pageBreakBefore w:val="0"/>
        <w:widowControl w:val="0"/>
        <w:kinsoku/>
        <w:wordWrap/>
        <w:overflowPunct/>
        <w:topLinePunct w:val="0"/>
        <w:autoSpaceDE/>
        <w:autoSpaceDN/>
        <w:bidi w:val="0"/>
        <w:adjustRightInd/>
        <w:snapToGrid/>
        <w:spacing w:line="570" w:lineRule="exact"/>
        <w:ind w:firstLine="608" w:firstLineChars="200"/>
        <w:jc w:val="both"/>
        <w:textAlignment w:val="auto"/>
        <w:rPr>
          <w:rFonts w:hint="eastAsia" w:ascii="仿宋_GB2312" w:hAnsi="仿宋_GB2312" w:eastAsia="仿宋_GB2312" w:cs="仿宋_GB2312"/>
          <w:color w:val="000000"/>
          <w:sz w:val="32"/>
          <w:szCs w:val="32"/>
        </w:rPr>
      </w:pPr>
      <w:r>
        <w:rPr>
          <w:rFonts w:hint="eastAsia" w:ascii="宋体" w:hAnsi="宋体" w:cs="黑体"/>
          <w:b/>
          <w:bCs/>
          <w:spacing w:val="-6"/>
          <w:sz w:val="32"/>
          <w:szCs w:val="32"/>
        </w:rPr>
        <w:t>——</w:t>
      </w:r>
      <w:r>
        <w:rPr>
          <w:rFonts w:hint="eastAsia" w:ascii="仿宋_GB2312" w:hAnsi="仿宋_GB2312" w:eastAsia="仿宋_GB2312" w:cs="仿宋_GB2312"/>
          <w:b/>
          <w:bCs/>
          <w:color w:val="000000"/>
          <w:sz w:val="32"/>
          <w:szCs w:val="32"/>
        </w:rPr>
        <w:t>改革开放活力更强。</w:t>
      </w:r>
      <w:r>
        <w:rPr>
          <w:rFonts w:hint="eastAsia" w:ascii="仿宋_GB2312" w:hAnsi="仿宋_GB2312" w:eastAsia="仿宋_GB2312" w:cs="仿宋_GB2312"/>
          <w:color w:val="000000"/>
          <w:sz w:val="32"/>
          <w:szCs w:val="32"/>
        </w:rPr>
        <w:t>重点领域和关键环节改革取得新的突破，国企核心功能持续增强，政府债务管理能力显著提升。对外贸易创新发展，服务贸易、数字贸易、中间品贸易规模逐步壮大，跨境电商等新业态新模式加快发展。市场化法治化国际化营商环境不断优化，区域影响力进一步扩大。济南新材料产业园区等开放平台建设扎实推进，开放型经济发展水平显著提高。</w:t>
      </w:r>
    </w:p>
    <w:p w14:paraId="460217D4">
      <w:pPr>
        <w:keepNext w:val="0"/>
        <w:keepLines w:val="0"/>
        <w:pageBreakBefore w:val="0"/>
        <w:widowControl w:val="0"/>
        <w:kinsoku/>
        <w:wordWrap/>
        <w:overflowPunct/>
        <w:topLinePunct w:val="0"/>
        <w:autoSpaceDE/>
        <w:autoSpaceDN/>
        <w:bidi w:val="0"/>
        <w:adjustRightInd/>
        <w:snapToGrid/>
        <w:spacing w:line="570" w:lineRule="exact"/>
        <w:ind w:firstLine="608" w:firstLineChars="200"/>
        <w:jc w:val="both"/>
        <w:textAlignment w:val="auto"/>
        <w:rPr>
          <w:rFonts w:hint="eastAsia" w:ascii="仿宋_GB2312" w:hAnsi="仿宋_GB2312" w:eastAsia="仿宋_GB2312" w:cs="仿宋_GB2312"/>
          <w:color w:val="000000"/>
          <w:sz w:val="32"/>
          <w:szCs w:val="32"/>
        </w:rPr>
      </w:pPr>
      <w:r>
        <w:rPr>
          <w:rFonts w:hint="eastAsia" w:ascii="宋体" w:hAnsi="宋体" w:cs="黑体"/>
          <w:b/>
          <w:bCs/>
          <w:spacing w:val="-6"/>
          <w:sz w:val="32"/>
          <w:szCs w:val="32"/>
        </w:rPr>
        <w:t>——</w:t>
      </w:r>
      <w:r>
        <w:rPr>
          <w:rFonts w:hint="eastAsia" w:ascii="仿宋_GB2312" w:hAnsi="仿宋_GB2312" w:eastAsia="仿宋_GB2312" w:cs="仿宋_GB2312"/>
          <w:b/>
          <w:bCs/>
          <w:color w:val="000000"/>
          <w:sz w:val="32"/>
          <w:szCs w:val="32"/>
        </w:rPr>
        <w:t>城市发展品质更强。</w:t>
      </w:r>
      <w:r>
        <w:rPr>
          <w:rFonts w:hint="eastAsia" w:ascii="仿宋_GB2312" w:hAnsi="仿宋_GB2312" w:eastAsia="仿宋_GB2312" w:cs="仿宋_GB2312"/>
          <w:color w:val="000000"/>
          <w:sz w:val="32"/>
          <w:szCs w:val="32"/>
        </w:rPr>
        <w:t>城市更新深入实施，与特色园区、商贸转型、活化利用、品质提升等工作深度融合</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土地资源配置更加集约高效，价值空间有效释放。黄河北片区建设取得显著成效，基础设施支撑能力全面增强。绿色生产生活方式基本形成，生态环境质量持续改善。城乡融合发展迈出重要步伐，黄河两岸南北呼应、协同发展格局全面塑成。</w:t>
      </w:r>
    </w:p>
    <w:p w14:paraId="797B40D4">
      <w:pPr>
        <w:keepNext w:val="0"/>
        <w:keepLines w:val="0"/>
        <w:pageBreakBefore w:val="0"/>
        <w:widowControl w:val="0"/>
        <w:kinsoku/>
        <w:wordWrap/>
        <w:overflowPunct/>
        <w:topLinePunct w:val="0"/>
        <w:autoSpaceDE/>
        <w:autoSpaceDN/>
        <w:bidi w:val="0"/>
        <w:adjustRightInd/>
        <w:snapToGrid/>
        <w:spacing w:line="570" w:lineRule="exact"/>
        <w:ind w:firstLine="608" w:firstLineChars="200"/>
        <w:jc w:val="both"/>
        <w:textAlignment w:val="auto"/>
        <w:rPr>
          <w:rFonts w:hint="eastAsia" w:ascii="仿宋_GB2312" w:hAnsi="仿宋_GB2312" w:eastAsia="仿宋_GB2312" w:cs="仿宋_GB2312"/>
          <w:color w:val="000000"/>
          <w:sz w:val="32"/>
          <w:szCs w:val="32"/>
        </w:rPr>
      </w:pPr>
      <w:r>
        <w:rPr>
          <w:rFonts w:hint="eastAsia" w:ascii="宋体" w:hAnsi="宋体" w:cs="黑体"/>
          <w:b/>
          <w:bCs/>
          <w:spacing w:val="-6"/>
          <w:sz w:val="32"/>
          <w:szCs w:val="32"/>
        </w:rPr>
        <w:t>——</w:t>
      </w:r>
      <w:r>
        <w:rPr>
          <w:rFonts w:hint="eastAsia" w:ascii="仿宋_GB2312" w:hAnsi="仿宋_GB2312" w:eastAsia="仿宋_GB2312" w:cs="仿宋_GB2312"/>
          <w:b/>
          <w:bCs/>
          <w:color w:val="000000"/>
          <w:sz w:val="32"/>
          <w:szCs w:val="32"/>
        </w:rPr>
        <w:t>民生福祉质感更强。</w:t>
      </w:r>
      <w:r>
        <w:rPr>
          <w:rFonts w:hint="eastAsia" w:ascii="仿宋_GB2312" w:hAnsi="仿宋_GB2312" w:eastAsia="仿宋_GB2312" w:cs="仿宋_GB2312"/>
          <w:color w:val="000000"/>
          <w:sz w:val="32"/>
          <w:szCs w:val="32"/>
        </w:rPr>
        <w:t>高质量充分就业取得新进展，居民收入增长和经济增长同步、劳动报酬提高和劳动生产率提高同步。教育综合实力明显提升，现代化教育体系建设更加完善。防治康管全链条服务持续增强，养老服务体系更加健全。社会保障制度更加优化更可持续，文化事业和文化产业繁荣发展，基本公共服务均等化水平明显提升。</w:t>
      </w:r>
    </w:p>
    <w:p w14:paraId="36EB9FC4">
      <w:pPr>
        <w:keepNext w:val="0"/>
        <w:keepLines w:val="0"/>
        <w:pageBreakBefore w:val="0"/>
        <w:widowControl w:val="0"/>
        <w:kinsoku/>
        <w:wordWrap/>
        <w:overflowPunct/>
        <w:topLinePunct w:val="0"/>
        <w:autoSpaceDE/>
        <w:autoSpaceDN/>
        <w:bidi w:val="0"/>
        <w:adjustRightInd/>
        <w:snapToGrid/>
        <w:spacing w:line="570" w:lineRule="exact"/>
        <w:ind w:firstLine="608"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宋体" w:hAnsi="宋体" w:cs="黑体"/>
          <w:b/>
          <w:bCs/>
          <w:spacing w:val="-6"/>
          <w:sz w:val="32"/>
          <w:szCs w:val="32"/>
        </w:rPr>
        <w:t>——</w:t>
      </w:r>
      <w:r>
        <w:rPr>
          <w:rFonts w:hint="eastAsia" w:ascii="仿宋_GB2312" w:hAnsi="仿宋_GB2312" w:eastAsia="仿宋_GB2312" w:cs="仿宋_GB2312"/>
          <w:b/>
          <w:bCs/>
          <w:color w:val="000000"/>
          <w:sz w:val="32"/>
          <w:szCs w:val="32"/>
        </w:rPr>
        <w:t>社会治理效能更强。</w:t>
      </w:r>
      <w:r>
        <w:rPr>
          <w:rFonts w:hint="eastAsia" w:ascii="仿宋_GB2312" w:hAnsi="仿宋_GB2312" w:eastAsia="仿宋_GB2312" w:cs="仿宋_GB2312"/>
          <w:kern w:val="0"/>
          <w:sz w:val="32"/>
          <w:szCs w:val="32"/>
          <w:lang w:val="en-US" w:eastAsia="zh-CN" w:bidi="ar"/>
        </w:rPr>
        <w:t>民主法治建设扎实推进，党建引领基层治理效能持续提升</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kern w:val="0"/>
          <w:sz w:val="32"/>
          <w:szCs w:val="32"/>
          <w:lang w:val="en-US" w:eastAsia="zh-CN" w:bidi="ar"/>
        </w:rPr>
        <w:t>城市治理智慧化精细化水平显著提高，城市安全韧性持续增强。防范化解风险能力明显提高，统筹发展和安全的体制机制进一步完善，</w:t>
      </w:r>
      <w:r>
        <w:rPr>
          <w:rFonts w:hint="eastAsia" w:ascii="仿宋_GB2312" w:hAnsi="仿宋_GB2312" w:eastAsia="仿宋_GB2312" w:cs="仿宋_GB2312"/>
          <w:color w:val="000000"/>
          <w:sz w:val="32"/>
          <w:szCs w:val="32"/>
        </w:rPr>
        <w:t>平安天桥</w:t>
      </w:r>
      <w:r>
        <w:rPr>
          <w:rFonts w:hint="eastAsia" w:ascii="仿宋_GB2312" w:hAnsi="仿宋_GB2312" w:eastAsia="仿宋_GB2312" w:cs="仿宋_GB2312"/>
          <w:kern w:val="0"/>
          <w:sz w:val="32"/>
          <w:szCs w:val="32"/>
          <w:lang w:val="en-US" w:eastAsia="zh-CN" w:bidi="ar"/>
        </w:rPr>
        <w:t>建设取得更加明显成效。</w:t>
      </w:r>
    </w:p>
    <w:p w14:paraId="72A88E43">
      <w:pPr>
        <w:keepNext w:val="0"/>
        <w:keepLines w:val="0"/>
        <w:pageBreakBefore w:val="0"/>
        <w:widowControl w:val="0"/>
        <w:kinsoku/>
        <w:wordWrap/>
        <w:overflowPunct/>
        <w:topLinePunct w:val="0"/>
        <w:autoSpaceDE/>
        <w:autoSpaceDN/>
        <w:bidi w:val="0"/>
        <w:adjustRightInd/>
        <w:snapToGrid/>
        <w:spacing w:line="590" w:lineRule="exact"/>
        <w:ind w:firstLine="632"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color w:val="000000"/>
          <w:sz w:val="32"/>
          <w:szCs w:val="32"/>
        </w:rPr>
        <w:t>在此基础上再奋斗五年，到二〇三五年实现我区经济实力、科技实力、综合竞争力大幅跃升，人民生活更加幸福美好，基本建成新时代社会主义现代化强区。</w:t>
      </w:r>
      <w:r>
        <w:rPr>
          <w:rFonts w:hint="eastAsia" w:ascii="仿宋_GB2312" w:hAnsi="仿宋_GB2312" w:eastAsia="仿宋_GB2312" w:cs="仿宋_GB2312"/>
          <w:kern w:val="0"/>
          <w:sz w:val="32"/>
          <w:szCs w:val="32"/>
          <w:lang w:val="en-US" w:eastAsia="zh-CN" w:bidi="ar"/>
        </w:rPr>
        <w:br w:type="page"/>
      </w:r>
    </w:p>
    <w:p w14:paraId="6B0A3E60">
      <w:pPr>
        <w:keepNext w:val="0"/>
        <w:keepLines w:val="0"/>
        <w:pageBreakBefore w:val="0"/>
        <w:widowControl w:val="0"/>
        <w:kinsoku/>
        <w:wordWrap/>
        <w:overflowPunct w:val="0"/>
        <w:topLinePunct w:val="0"/>
        <w:autoSpaceDE/>
        <w:autoSpaceDN/>
        <w:bidi w:val="0"/>
        <w:adjustRightInd w:val="0"/>
        <w:snapToGrid w:val="0"/>
        <w:spacing w:afterAutospacing="0" w:line="600" w:lineRule="exact"/>
        <w:ind w:left="0" w:leftChars="0" w:firstLine="0" w:firstLineChars="0"/>
        <w:jc w:val="center"/>
        <w:textAlignment w:val="auto"/>
        <w:outlineLvl w:val="9"/>
        <w:rPr>
          <w:rFonts w:hint="eastAsia" w:ascii="楷体_GB2312" w:hAnsi="楷体_GB2312" w:eastAsia="楷体_GB2312" w:cs="楷体_GB2312"/>
          <w:b w:val="0"/>
          <w:bCs w:val="0"/>
          <w:color w:val="auto"/>
          <w:spacing w:val="0"/>
          <w:kern w:val="0"/>
          <w:sz w:val="28"/>
          <w:szCs w:val="28"/>
          <w:lang w:val="en-US" w:eastAsia="zh-CN"/>
        </w:rPr>
      </w:pPr>
      <w:r>
        <w:rPr>
          <w:rFonts w:hint="eastAsia" w:ascii="楷体_GB2312" w:hAnsi="楷体_GB2312" w:eastAsia="楷体_GB2312" w:cs="楷体_GB2312"/>
          <w:b w:val="0"/>
          <w:bCs w:val="0"/>
          <w:color w:val="auto"/>
          <w:spacing w:val="0"/>
          <w:kern w:val="0"/>
          <w:sz w:val="28"/>
          <w:szCs w:val="28"/>
          <w:lang w:val="en-US" w:eastAsia="zh-CN"/>
        </w:rPr>
        <w:t>专栏 “十五五”时期天桥区经济社会发展主要目标</w:t>
      </w:r>
    </w:p>
    <w:tbl>
      <w:tblPr>
        <w:tblStyle w:val="15"/>
        <w:tblW w:w="4974" w:type="pct"/>
        <w:jc w:val="center"/>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4"/>
        <w:gridCol w:w="646"/>
        <w:gridCol w:w="1519"/>
        <w:gridCol w:w="1959"/>
        <w:gridCol w:w="889"/>
        <w:gridCol w:w="956"/>
        <w:gridCol w:w="1310"/>
        <w:gridCol w:w="960"/>
      </w:tblGrid>
      <w:tr w14:paraId="11D4A047">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7" w:hRule="atLeast"/>
          <w:tblHeader/>
          <w:jc w:val="center"/>
        </w:trPr>
        <w:tc>
          <w:tcPr>
            <w:tcW w:w="388" w:type="pct"/>
            <w:vAlign w:val="center"/>
          </w:tcPr>
          <w:p w14:paraId="419E9A6B">
            <w:pPr>
              <w:wordWrap/>
              <w:spacing w:line="260" w:lineRule="exact"/>
              <w:ind w:firstLine="0" w:firstLineChars="0"/>
              <w:jc w:val="center"/>
              <w:textAlignment w:val="baseline"/>
              <w:rPr>
                <w:rFonts w:ascii="Times New Roman" w:hAnsi="Times New Roman" w:eastAsia="黑体" w:cs="黑体"/>
                <w:kern w:val="2"/>
                <w:sz w:val="24"/>
              </w:rPr>
            </w:pPr>
            <w:r>
              <w:rPr>
                <w:rFonts w:hint="eastAsia" w:ascii="Times New Roman" w:hAnsi="Times New Roman" w:eastAsia="黑体" w:cs="黑体"/>
                <w:kern w:val="2"/>
                <w:sz w:val="24"/>
              </w:rPr>
              <w:t>类别</w:t>
            </w:r>
          </w:p>
        </w:tc>
        <w:tc>
          <w:tcPr>
            <w:tcW w:w="361" w:type="pct"/>
            <w:tcMar>
              <w:left w:w="28" w:type="dxa"/>
              <w:right w:w="28" w:type="dxa"/>
            </w:tcMar>
            <w:vAlign w:val="center"/>
          </w:tcPr>
          <w:p w14:paraId="73394D91">
            <w:pPr>
              <w:wordWrap/>
              <w:spacing w:line="260" w:lineRule="exact"/>
              <w:ind w:firstLine="0" w:firstLineChars="0"/>
              <w:jc w:val="center"/>
              <w:textAlignment w:val="baseline"/>
              <w:rPr>
                <w:rFonts w:ascii="Times New Roman" w:hAnsi="Times New Roman" w:eastAsia="黑体" w:cs="黑体"/>
                <w:kern w:val="2"/>
                <w:sz w:val="24"/>
              </w:rPr>
            </w:pPr>
            <w:r>
              <w:rPr>
                <w:rFonts w:hint="eastAsia" w:ascii="Times New Roman" w:hAnsi="Times New Roman" w:eastAsia="黑体" w:cs="黑体"/>
                <w:kern w:val="2"/>
                <w:sz w:val="24"/>
              </w:rPr>
              <w:t>序号</w:t>
            </w:r>
          </w:p>
        </w:tc>
        <w:tc>
          <w:tcPr>
            <w:tcW w:w="1946" w:type="pct"/>
            <w:gridSpan w:val="2"/>
            <w:tcMar>
              <w:left w:w="28" w:type="dxa"/>
              <w:right w:w="28" w:type="dxa"/>
            </w:tcMar>
            <w:vAlign w:val="center"/>
          </w:tcPr>
          <w:p w14:paraId="4D0113F5">
            <w:pPr>
              <w:wordWrap/>
              <w:spacing w:line="260" w:lineRule="exact"/>
              <w:ind w:firstLine="0" w:firstLineChars="0"/>
              <w:jc w:val="center"/>
              <w:textAlignment w:val="baseline"/>
              <w:rPr>
                <w:rFonts w:ascii="Times New Roman" w:hAnsi="Times New Roman" w:eastAsia="黑体" w:cs="黑体"/>
                <w:kern w:val="2"/>
                <w:sz w:val="24"/>
              </w:rPr>
            </w:pPr>
            <w:r>
              <w:rPr>
                <w:rFonts w:hint="eastAsia" w:ascii="Times New Roman" w:hAnsi="Times New Roman" w:eastAsia="黑体" w:cs="黑体"/>
                <w:kern w:val="2"/>
                <w:sz w:val="24"/>
              </w:rPr>
              <w:t>主要指标</w:t>
            </w:r>
          </w:p>
        </w:tc>
        <w:tc>
          <w:tcPr>
            <w:tcW w:w="497" w:type="pct"/>
            <w:tcMar>
              <w:left w:w="28" w:type="dxa"/>
              <w:right w:w="28" w:type="dxa"/>
            </w:tcMar>
            <w:vAlign w:val="center"/>
          </w:tcPr>
          <w:p w14:paraId="243443C9">
            <w:pPr>
              <w:wordWrap/>
              <w:spacing w:line="260" w:lineRule="exact"/>
              <w:ind w:firstLine="0" w:firstLineChars="0"/>
              <w:jc w:val="center"/>
              <w:textAlignment w:val="baseline"/>
              <w:rPr>
                <w:rFonts w:hint="eastAsia" w:ascii="Times New Roman" w:hAnsi="Times New Roman" w:eastAsia="黑体" w:cs="黑体"/>
                <w:kern w:val="2"/>
                <w:sz w:val="24"/>
                <w:lang w:eastAsia="zh-CN"/>
              </w:rPr>
            </w:pPr>
            <w:r>
              <w:rPr>
                <w:rFonts w:hint="eastAsia" w:ascii="Times New Roman" w:hAnsi="Times New Roman" w:eastAsia="黑体" w:cs="黑体"/>
                <w:kern w:val="2"/>
                <w:sz w:val="24"/>
              </w:rPr>
              <w:t>20</w:t>
            </w:r>
            <w:r>
              <w:rPr>
                <w:rFonts w:hint="eastAsia" w:ascii="Times New Roman" w:hAnsi="Times New Roman" w:eastAsia="黑体" w:cs="黑体"/>
                <w:kern w:val="2"/>
                <w:sz w:val="24"/>
                <w:lang w:val="en-US" w:eastAsia="zh-CN"/>
              </w:rPr>
              <w:t>25年</w:t>
            </w:r>
          </w:p>
        </w:tc>
        <w:tc>
          <w:tcPr>
            <w:tcW w:w="535" w:type="pct"/>
            <w:tcMar>
              <w:left w:w="28" w:type="dxa"/>
              <w:right w:w="28" w:type="dxa"/>
            </w:tcMar>
            <w:vAlign w:val="center"/>
          </w:tcPr>
          <w:p w14:paraId="05DCE5CF">
            <w:pPr>
              <w:wordWrap/>
              <w:spacing w:line="260" w:lineRule="exact"/>
              <w:ind w:firstLine="0" w:firstLineChars="0"/>
              <w:jc w:val="center"/>
              <w:textAlignment w:val="baseline"/>
              <w:rPr>
                <w:rFonts w:hint="eastAsia" w:ascii="Times New Roman" w:hAnsi="Times New Roman" w:eastAsia="黑体" w:cs="黑体"/>
                <w:kern w:val="2"/>
                <w:sz w:val="24"/>
                <w:lang w:eastAsia="zh-CN"/>
              </w:rPr>
            </w:pPr>
            <w:r>
              <w:rPr>
                <w:rFonts w:hint="eastAsia" w:ascii="Times New Roman" w:hAnsi="Times New Roman" w:eastAsia="黑体" w:cs="黑体"/>
                <w:kern w:val="2"/>
                <w:sz w:val="24"/>
              </w:rPr>
              <w:t>20</w:t>
            </w:r>
            <w:r>
              <w:rPr>
                <w:rFonts w:hint="eastAsia" w:ascii="Times New Roman" w:hAnsi="Times New Roman" w:eastAsia="黑体" w:cs="黑体"/>
                <w:kern w:val="2"/>
                <w:sz w:val="24"/>
                <w:lang w:val="en-US" w:eastAsia="zh-CN"/>
              </w:rPr>
              <w:t>30</w:t>
            </w:r>
            <w:r>
              <w:rPr>
                <w:rFonts w:hint="eastAsia" w:ascii="Times New Roman" w:hAnsi="Times New Roman" w:eastAsia="黑体" w:cs="黑体"/>
                <w:kern w:val="2"/>
                <w:sz w:val="24"/>
              </w:rPr>
              <w:t>年</w:t>
            </w:r>
          </w:p>
        </w:tc>
        <w:tc>
          <w:tcPr>
            <w:tcW w:w="733" w:type="pct"/>
            <w:tcMar>
              <w:left w:w="28" w:type="dxa"/>
              <w:right w:w="28" w:type="dxa"/>
            </w:tcMar>
            <w:vAlign w:val="center"/>
          </w:tcPr>
          <w:p w14:paraId="680ED044">
            <w:pPr>
              <w:wordWrap/>
              <w:spacing w:line="260" w:lineRule="exact"/>
              <w:ind w:firstLine="0" w:firstLineChars="0"/>
              <w:jc w:val="center"/>
              <w:textAlignment w:val="baseline"/>
              <w:rPr>
                <w:rFonts w:hint="eastAsia" w:ascii="Times New Roman" w:hAnsi="Times New Roman" w:eastAsia="黑体" w:cs="黑体"/>
                <w:kern w:val="2"/>
                <w:sz w:val="24"/>
                <w:lang w:eastAsia="zh-CN"/>
              </w:rPr>
            </w:pPr>
            <w:r>
              <w:rPr>
                <w:rFonts w:hint="eastAsia" w:ascii="Times New Roman" w:hAnsi="Times New Roman" w:eastAsia="黑体" w:cs="黑体"/>
                <w:kern w:val="2"/>
                <w:sz w:val="24"/>
                <w:lang w:eastAsia="zh-CN"/>
              </w:rPr>
              <w:t>“十五五”</w:t>
            </w:r>
            <w:r>
              <w:rPr>
                <w:rFonts w:hint="eastAsia" w:ascii="Times New Roman" w:hAnsi="Times New Roman" w:eastAsia="黑体" w:cs="黑体"/>
                <w:kern w:val="2"/>
                <w:sz w:val="24"/>
              </w:rPr>
              <w:t>年均</w:t>
            </w:r>
            <w:r>
              <w:rPr>
                <w:rFonts w:hint="eastAsia" w:ascii="Times New Roman" w:hAnsi="Times New Roman" w:eastAsia="黑体" w:cs="黑体"/>
                <w:kern w:val="2"/>
                <w:sz w:val="24"/>
                <w:lang w:eastAsia="zh-CN"/>
              </w:rPr>
              <w:t>增速</w:t>
            </w:r>
          </w:p>
        </w:tc>
        <w:tc>
          <w:tcPr>
            <w:tcW w:w="536" w:type="pct"/>
            <w:tcMar>
              <w:left w:w="28" w:type="dxa"/>
              <w:right w:w="28" w:type="dxa"/>
            </w:tcMar>
            <w:vAlign w:val="center"/>
          </w:tcPr>
          <w:p w14:paraId="2C68ACA4">
            <w:pPr>
              <w:wordWrap/>
              <w:spacing w:line="260" w:lineRule="exact"/>
              <w:ind w:firstLine="0" w:firstLineChars="0"/>
              <w:jc w:val="center"/>
              <w:textAlignment w:val="baseline"/>
              <w:rPr>
                <w:rFonts w:ascii="Times New Roman" w:hAnsi="Times New Roman" w:eastAsia="黑体" w:cs="黑体"/>
                <w:kern w:val="2"/>
                <w:sz w:val="24"/>
              </w:rPr>
            </w:pPr>
            <w:r>
              <w:rPr>
                <w:rFonts w:hint="eastAsia" w:ascii="Times New Roman" w:hAnsi="Times New Roman" w:eastAsia="黑体" w:cs="黑体"/>
                <w:kern w:val="2"/>
                <w:sz w:val="24"/>
              </w:rPr>
              <w:t>属性</w:t>
            </w:r>
          </w:p>
        </w:tc>
      </w:tr>
      <w:tr w14:paraId="73F1AEFF">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388" w:type="pct"/>
            <w:vMerge w:val="restart"/>
            <w:vAlign w:val="center"/>
          </w:tcPr>
          <w:p w14:paraId="324E98EC">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经济</w:t>
            </w:r>
          </w:p>
          <w:p w14:paraId="695AFAD5">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eastAsia="zh-CN"/>
              </w:rPr>
              <w:t>发展</w:t>
            </w:r>
          </w:p>
        </w:tc>
        <w:tc>
          <w:tcPr>
            <w:tcW w:w="361" w:type="pct"/>
            <w:tcMar>
              <w:left w:w="28" w:type="dxa"/>
              <w:right w:w="28" w:type="dxa"/>
            </w:tcMar>
            <w:vAlign w:val="center"/>
          </w:tcPr>
          <w:p w14:paraId="523C9128">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1</w:t>
            </w:r>
          </w:p>
        </w:tc>
        <w:tc>
          <w:tcPr>
            <w:tcW w:w="1946" w:type="pct"/>
            <w:gridSpan w:val="2"/>
            <w:tcMar>
              <w:left w:w="28" w:type="dxa"/>
              <w:right w:w="28" w:type="dxa"/>
            </w:tcMar>
            <w:vAlign w:val="center"/>
          </w:tcPr>
          <w:p w14:paraId="7687100F">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地区生产总值</w:t>
            </w:r>
            <w:r>
              <w:rPr>
                <w:rFonts w:hint="eastAsia" w:ascii="楷体_GB2312" w:hAnsi="楷体_GB2312" w:eastAsia="楷体_GB2312" w:cs="楷体_GB2312"/>
                <w:color w:val="000000"/>
                <w:kern w:val="2"/>
                <w:sz w:val="24"/>
                <w:szCs w:val="24"/>
                <w:lang w:eastAsia="zh-CN"/>
              </w:rPr>
              <w:t>（</w:t>
            </w:r>
            <w:r>
              <w:rPr>
                <w:rFonts w:hint="eastAsia" w:ascii="楷体_GB2312" w:hAnsi="楷体_GB2312" w:eastAsia="楷体_GB2312" w:cs="楷体_GB2312"/>
                <w:color w:val="000000"/>
                <w:kern w:val="2"/>
                <w:sz w:val="24"/>
                <w:szCs w:val="24"/>
                <w:lang w:val="en-US" w:eastAsia="zh-CN"/>
              </w:rPr>
              <w:t>GDP</w:t>
            </w:r>
            <w:r>
              <w:rPr>
                <w:rFonts w:hint="eastAsia" w:ascii="楷体_GB2312" w:hAnsi="楷体_GB2312" w:eastAsia="楷体_GB2312" w:cs="楷体_GB2312"/>
                <w:color w:val="000000"/>
                <w:kern w:val="2"/>
                <w:sz w:val="24"/>
                <w:szCs w:val="24"/>
                <w:lang w:eastAsia="zh-CN"/>
              </w:rPr>
              <w:t>）增长</w:t>
            </w:r>
            <w:r>
              <w:rPr>
                <w:rFonts w:hint="eastAsia" w:ascii="楷体_GB2312" w:hAnsi="楷体_GB2312" w:eastAsia="楷体_GB2312" w:cs="楷体_GB2312"/>
                <w:color w:val="000000"/>
                <w:kern w:val="2"/>
                <w:sz w:val="24"/>
                <w:szCs w:val="24"/>
              </w:rPr>
              <w:t>（</w:t>
            </w:r>
            <w:r>
              <w:rPr>
                <w:rFonts w:hint="eastAsia" w:ascii="楷体_GB2312" w:hAnsi="楷体_GB2312" w:eastAsia="楷体_GB2312" w:cs="楷体_GB2312"/>
                <w:color w:val="000000"/>
                <w:kern w:val="2"/>
                <w:sz w:val="24"/>
                <w:szCs w:val="24"/>
                <w:lang w:val="en-US" w:eastAsia="zh-CN"/>
              </w:rPr>
              <w:t>%</w:t>
            </w:r>
            <w:r>
              <w:rPr>
                <w:rFonts w:hint="eastAsia" w:ascii="楷体_GB2312" w:hAnsi="楷体_GB2312" w:eastAsia="楷体_GB2312" w:cs="楷体_GB2312"/>
                <w:color w:val="000000"/>
                <w:kern w:val="2"/>
                <w:sz w:val="24"/>
                <w:szCs w:val="24"/>
              </w:rPr>
              <w:t>）</w:t>
            </w:r>
          </w:p>
        </w:tc>
        <w:tc>
          <w:tcPr>
            <w:tcW w:w="497" w:type="pct"/>
            <w:tcMar>
              <w:left w:w="28" w:type="dxa"/>
              <w:right w:w="28" w:type="dxa"/>
            </w:tcMar>
            <w:vAlign w:val="center"/>
          </w:tcPr>
          <w:p w14:paraId="554C9F59">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3.2</w:t>
            </w:r>
          </w:p>
        </w:tc>
        <w:tc>
          <w:tcPr>
            <w:tcW w:w="535" w:type="pct"/>
            <w:tcMar>
              <w:left w:w="28" w:type="dxa"/>
              <w:right w:w="28" w:type="dxa"/>
            </w:tcMar>
            <w:vAlign w:val="center"/>
          </w:tcPr>
          <w:p w14:paraId="0779114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eastAsia="zh-CN"/>
              </w:rPr>
              <w:t>—</w:t>
            </w:r>
          </w:p>
        </w:tc>
        <w:tc>
          <w:tcPr>
            <w:tcW w:w="733" w:type="pct"/>
            <w:tcMar>
              <w:left w:w="28" w:type="dxa"/>
              <w:right w:w="28" w:type="dxa"/>
            </w:tcMar>
            <w:vAlign w:val="center"/>
          </w:tcPr>
          <w:p w14:paraId="2E01408D">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5</w:t>
            </w:r>
          </w:p>
        </w:tc>
        <w:tc>
          <w:tcPr>
            <w:tcW w:w="536" w:type="pct"/>
            <w:tcMar>
              <w:left w:w="28" w:type="dxa"/>
              <w:right w:w="28" w:type="dxa"/>
            </w:tcMar>
            <w:vAlign w:val="center"/>
          </w:tcPr>
          <w:p w14:paraId="63AB267D">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7F38B132">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vMerge w:val="continue"/>
            <w:vAlign w:val="center"/>
          </w:tcPr>
          <w:p w14:paraId="1D4975C4">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p>
        </w:tc>
        <w:tc>
          <w:tcPr>
            <w:tcW w:w="361" w:type="pct"/>
            <w:tcMar>
              <w:left w:w="28" w:type="dxa"/>
              <w:right w:w="28" w:type="dxa"/>
            </w:tcMar>
            <w:vAlign w:val="center"/>
          </w:tcPr>
          <w:p w14:paraId="3E1DBE72">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val="en-US" w:eastAsia="zh-CN"/>
              </w:rPr>
              <w:t>2</w:t>
            </w:r>
          </w:p>
        </w:tc>
        <w:tc>
          <w:tcPr>
            <w:tcW w:w="1946" w:type="pct"/>
            <w:gridSpan w:val="2"/>
            <w:tcMar>
              <w:left w:w="28" w:type="dxa"/>
              <w:right w:w="28" w:type="dxa"/>
            </w:tcMar>
            <w:vAlign w:val="center"/>
          </w:tcPr>
          <w:p w14:paraId="780B6184">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常住人口城镇化率（</w:t>
            </w:r>
            <w:r>
              <w:rPr>
                <w:rFonts w:hint="eastAsia" w:ascii="楷体_GB2312" w:hAnsi="楷体_GB2312" w:eastAsia="楷体_GB2312" w:cs="楷体_GB2312"/>
                <w:color w:val="000000"/>
                <w:kern w:val="2"/>
                <w:sz w:val="24"/>
                <w:szCs w:val="24"/>
                <w:lang w:val="en-US" w:eastAsia="zh-CN"/>
              </w:rPr>
              <w:t>%</w:t>
            </w:r>
            <w:r>
              <w:rPr>
                <w:rFonts w:hint="eastAsia" w:ascii="楷体_GB2312" w:hAnsi="楷体_GB2312" w:eastAsia="楷体_GB2312" w:cs="楷体_GB2312"/>
                <w:color w:val="000000"/>
                <w:kern w:val="2"/>
                <w:sz w:val="24"/>
                <w:szCs w:val="24"/>
                <w:lang w:eastAsia="zh-CN"/>
              </w:rPr>
              <w:t>）</w:t>
            </w:r>
          </w:p>
        </w:tc>
        <w:tc>
          <w:tcPr>
            <w:tcW w:w="497" w:type="pct"/>
            <w:tcMar>
              <w:left w:w="28" w:type="dxa"/>
              <w:right w:w="28" w:type="dxa"/>
            </w:tcMar>
            <w:vAlign w:val="center"/>
          </w:tcPr>
          <w:p w14:paraId="007446C7">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val="en-US" w:eastAsia="zh-CN"/>
              </w:rPr>
              <w:t>98.83</w:t>
            </w:r>
          </w:p>
        </w:tc>
        <w:tc>
          <w:tcPr>
            <w:tcW w:w="535" w:type="pct"/>
            <w:tcMar>
              <w:left w:w="28" w:type="dxa"/>
              <w:right w:w="28" w:type="dxa"/>
            </w:tcMar>
            <w:vAlign w:val="center"/>
          </w:tcPr>
          <w:p w14:paraId="7A73328F">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rPr>
            </w:pPr>
            <w:r>
              <w:rPr>
                <w:rFonts w:hint="eastAsia" w:ascii="楷体_GB2312" w:hAnsi="楷体_GB2312" w:eastAsia="楷体_GB2312" w:cs="楷体_GB2312"/>
                <w:color w:val="000000"/>
                <w:kern w:val="2"/>
                <w:sz w:val="24"/>
                <w:szCs w:val="24"/>
                <w:lang w:eastAsia="zh-CN"/>
              </w:rPr>
              <w:t>＞</w:t>
            </w:r>
            <w:r>
              <w:rPr>
                <w:rFonts w:hint="eastAsia" w:ascii="楷体_GB2312" w:hAnsi="楷体_GB2312" w:eastAsia="楷体_GB2312" w:cs="楷体_GB2312"/>
                <w:color w:val="000000"/>
                <w:kern w:val="2"/>
                <w:sz w:val="24"/>
                <w:szCs w:val="24"/>
                <w:lang w:val="en-US" w:eastAsia="zh-CN"/>
              </w:rPr>
              <w:t>99</w:t>
            </w:r>
          </w:p>
        </w:tc>
        <w:tc>
          <w:tcPr>
            <w:tcW w:w="733" w:type="pct"/>
            <w:tcMar>
              <w:left w:w="28" w:type="dxa"/>
              <w:right w:w="28" w:type="dxa"/>
            </w:tcMar>
            <w:vAlign w:val="center"/>
          </w:tcPr>
          <w:p w14:paraId="5C25530B">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536" w:type="pct"/>
            <w:tcMar>
              <w:left w:w="28" w:type="dxa"/>
              <w:right w:w="28" w:type="dxa"/>
            </w:tcMar>
            <w:vAlign w:val="center"/>
          </w:tcPr>
          <w:p w14:paraId="78DAA309">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7ECA8FDE">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88" w:type="pct"/>
            <w:vMerge w:val="restart"/>
            <w:vAlign w:val="center"/>
          </w:tcPr>
          <w:p w14:paraId="6A6DF465">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创新</w:t>
            </w:r>
          </w:p>
          <w:p w14:paraId="05C5BA97">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驱动</w:t>
            </w:r>
          </w:p>
        </w:tc>
        <w:tc>
          <w:tcPr>
            <w:tcW w:w="361" w:type="pct"/>
            <w:tcMar>
              <w:left w:w="28" w:type="dxa"/>
              <w:right w:w="28" w:type="dxa"/>
            </w:tcMar>
            <w:vAlign w:val="center"/>
          </w:tcPr>
          <w:p w14:paraId="2EED2857">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val="en-US" w:eastAsia="zh-CN"/>
              </w:rPr>
              <w:t>3</w:t>
            </w:r>
          </w:p>
        </w:tc>
        <w:tc>
          <w:tcPr>
            <w:tcW w:w="1946" w:type="pct"/>
            <w:gridSpan w:val="2"/>
            <w:tcMar>
              <w:left w:w="28" w:type="dxa"/>
              <w:right w:w="28" w:type="dxa"/>
            </w:tcMar>
            <w:vAlign w:val="center"/>
          </w:tcPr>
          <w:p w14:paraId="30D8ECA4">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全社会研发经费</w:t>
            </w:r>
            <w:r>
              <w:rPr>
                <w:rFonts w:hint="eastAsia" w:ascii="楷体_GB2312" w:hAnsi="楷体_GB2312" w:eastAsia="楷体_GB2312" w:cs="楷体_GB2312"/>
                <w:color w:val="000000"/>
                <w:kern w:val="2"/>
                <w:sz w:val="24"/>
                <w:szCs w:val="24"/>
                <w:lang w:eastAsia="zh-CN"/>
              </w:rPr>
              <w:t>投入增长</w:t>
            </w:r>
            <w:r>
              <w:rPr>
                <w:rFonts w:hint="eastAsia" w:ascii="楷体_GB2312" w:hAnsi="楷体_GB2312" w:eastAsia="楷体_GB2312" w:cs="楷体_GB2312"/>
                <w:color w:val="000000"/>
                <w:kern w:val="2"/>
                <w:sz w:val="24"/>
                <w:szCs w:val="24"/>
              </w:rPr>
              <w:t>（%）</w:t>
            </w:r>
          </w:p>
        </w:tc>
        <w:tc>
          <w:tcPr>
            <w:tcW w:w="497" w:type="pct"/>
            <w:tcMar>
              <w:left w:w="28" w:type="dxa"/>
              <w:right w:w="28" w:type="dxa"/>
            </w:tcMar>
            <w:vAlign w:val="center"/>
          </w:tcPr>
          <w:p w14:paraId="44D8F82A">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themeColor="text1"/>
                <w:kern w:val="2"/>
                <w:sz w:val="24"/>
                <w:szCs w:val="24"/>
                <w:lang w:val="en-US"/>
                <w14:textFill>
                  <w14:solidFill>
                    <w14:schemeClr w14:val="tx1"/>
                  </w14:solidFill>
                </w14:textFill>
              </w:rPr>
            </w:pPr>
            <w:r>
              <w:rPr>
                <w:rFonts w:hint="eastAsia" w:ascii="楷体_GB2312" w:hAnsi="楷体_GB2312" w:eastAsia="楷体_GB2312" w:cs="楷体_GB2312"/>
                <w:color w:val="000000" w:themeColor="text1"/>
                <w:kern w:val="2"/>
                <w:sz w:val="24"/>
                <w:szCs w:val="24"/>
                <w:highlight w:val="none"/>
                <w:lang w:val="en-US" w:eastAsia="zh-CN"/>
                <w14:textFill>
                  <w14:solidFill>
                    <w14:schemeClr w14:val="tx1"/>
                  </w14:solidFill>
                </w14:textFill>
              </w:rPr>
              <w:t>0.37</w:t>
            </w:r>
            <w:r>
              <w:rPr>
                <w:rFonts w:hint="eastAsia" w:ascii="楷体_GB2312" w:hAnsi="楷体_GB2312" w:eastAsia="楷体_GB2312" w:cs="楷体_GB2312"/>
                <w:color w:val="000000" w:themeColor="text1"/>
                <w:sz w:val="24"/>
                <w:szCs w:val="24"/>
                <w:lang w:val="en-US" w:eastAsia="zh-CN"/>
                <w14:textFill>
                  <w14:solidFill>
                    <w14:schemeClr w14:val="tx1"/>
                  </w14:solidFill>
                </w14:textFill>
              </w:rPr>
              <w:t>*</w:t>
            </w:r>
          </w:p>
        </w:tc>
        <w:tc>
          <w:tcPr>
            <w:tcW w:w="535" w:type="pct"/>
            <w:tcMar>
              <w:left w:w="28" w:type="dxa"/>
              <w:right w:w="28" w:type="dxa"/>
            </w:tcMar>
            <w:vAlign w:val="center"/>
          </w:tcPr>
          <w:p w14:paraId="47068954">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themeColor="text1"/>
                <w:kern w:val="2"/>
                <w:sz w:val="24"/>
                <w:szCs w:val="24"/>
                <w14:textFill>
                  <w14:solidFill>
                    <w14:schemeClr w14:val="tx1"/>
                  </w14:solidFill>
                </w14:textFill>
              </w:rPr>
            </w:pPr>
            <w:r>
              <w:rPr>
                <w:rFonts w:hint="eastAsia" w:ascii="楷体_GB2312" w:hAnsi="楷体_GB2312" w:eastAsia="楷体_GB2312" w:cs="楷体_GB2312"/>
                <w:color w:val="000000" w:themeColor="text1"/>
                <w:kern w:val="2"/>
                <w:sz w:val="24"/>
                <w:szCs w:val="24"/>
                <w:lang w:eastAsia="zh-CN"/>
                <w14:textFill>
                  <w14:solidFill>
                    <w14:schemeClr w14:val="tx1"/>
                  </w14:solidFill>
                </w14:textFill>
              </w:rPr>
              <w:t>—</w:t>
            </w:r>
          </w:p>
        </w:tc>
        <w:tc>
          <w:tcPr>
            <w:tcW w:w="733" w:type="pct"/>
            <w:tcMar>
              <w:left w:w="28" w:type="dxa"/>
              <w:right w:w="28" w:type="dxa"/>
            </w:tcMar>
            <w:vAlign w:val="center"/>
          </w:tcPr>
          <w:p w14:paraId="1E5D4B85">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themeColor="text1"/>
                <w:kern w:val="2"/>
                <w:sz w:val="24"/>
                <w:szCs w:val="24"/>
                <w:lang w:val="en-US" w:eastAsia="zh-CN"/>
                <w14:textFill>
                  <w14:solidFill>
                    <w14:schemeClr w14:val="tx1"/>
                  </w14:solidFill>
                </w14:textFill>
              </w:rPr>
            </w:pPr>
            <w:r>
              <w:rPr>
                <w:rFonts w:hint="eastAsia" w:ascii="楷体_GB2312" w:hAnsi="楷体_GB2312" w:eastAsia="楷体_GB2312" w:cs="楷体_GB2312"/>
                <w:color w:val="000000" w:themeColor="text1"/>
                <w:kern w:val="2"/>
                <w:sz w:val="24"/>
                <w:szCs w:val="24"/>
                <w:lang w:val="en-US" w:eastAsia="zh-CN"/>
                <w14:textFill>
                  <w14:solidFill>
                    <w14:schemeClr w14:val="tx1"/>
                  </w14:solidFill>
                </w14:textFill>
              </w:rPr>
              <w:t>3</w:t>
            </w:r>
          </w:p>
        </w:tc>
        <w:tc>
          <w:tcPr>
            <w:tcW w:w="536" w:type="pct"/>
            <w:tcMar>
              <w:left w:w="28" w:type="dxa"/>
              <w:right w:w="28" w:type="dxa"/>
            </w:tcMar>
            <w:vAlign w:val="center"/>
          </w:tcPr>
          <w:p w14:paraId="6C561BE8">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7FD14B43">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388" w:type="pct"/>
            <w:vMerge w:val="continue"/>
            <w:vAlign w:val="center"/>
          </w:tcPr>
          <w:p w14:paraId="309EA373">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p>
        </w:tc>
        <w:tc>
          <w:tcPr>
            <w:tcW w:w="361" w:type="pct"/>
            <w:tcMar>
              <w:left w:w="28" w:type="dxa"/>
              <w:right w:w="28" w:type="dxa"/>
            </w:tcMar>
            <w:vAlign w:val="center"/>
          </w:tcPr>
          <w:p w14:paraId="3EE6C256">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val="en-US" w:eastAsia="zh-CN"/>
              </w:rPr>
              <w:t>4</w:t>
            </w:r>
          </w:p>
        </w:tc>
        <w:tc>
          <w:tcPr>
            <w:tcW w:w="1946" w:type="pct"/>
            <w:gridSpan w:val="2"/>
            <w:tcMar>
              <w:left w:w="28" w:type="dxa"/>
              <w:right w:w="28" w:type="dxa"/>
            </w:tcMar>
            <w:vAlign w:val="center"/>
          </w:tcPr>
          <w:p w14:paraId="13D7EF1B">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spacing w:val="-17"/>
                <w:kern w:val="2"/>
                <w:sz w:val="24"/>
                <w:szCs w:val="24"/>
                <w:lang w:val="en-US" w:eastAsia="zh-CN"/>
              </w:rPr>
              <w:t>每万人口高价值发明专利拥有量（件）</w:t>
            </w:r>
          </w:p>
        </w:tc>
        <w:tc>
          <w:tcPr>
            <w:tcW w:w="497" w:type="pct"/>
            <w:shd w:val="clear" w:color="auto" w:fill="auto"/>
            <w:tcMar>
              <w:left w:w="28" w:type="dxa"/>
              <w:right w:w="28" w:type="dxa"/>
            </w:tcMar>
            <w:vAlign w:val="center"/>
          </w:tcPr>
          <w:p w14:paraId="7E289EC0">
            <w:pPr>
              <w:keepNext w:val="0"/>
              <w:keepLines w:val="0"/>
              <w:pageBreakBefore w:val="0"/>
              <w:tabs>
                <w:tab w:val="left" w:pos="492"/>
              </w:tabs>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bidi="ar-SA"/>
              </w:rPr>
            </w:pPr>
            <w:r>
              <w:rPr>
                <w:rFonts w:hint="eastAsia" w:ascii="楷体_GB2312" w:hAnsi="楷体_GB2312" w:eastAsia="楷体_GB2312" w:cs="楷体_GB2312"/>
                <w:color w:val="000000"/>
                <w:kern w:val="2"/>
                <w:sz w:val="24"/>
                <w:szCs w:val="24"/>
              </w:rPr>
              <w:t>10.97</w:t>
            </w:r>
          </w:p>
        </w:tc>
        <w:tc>
          <w:tcPr>
            <w:tcW w:w="535" w:type="pct"/>
            <w:shd w:val="clear" w:color="auto" w:fill="auto"/>
            <w:tcMar>
              <w:left w:w="28" w:type="dxa"/>
              <w:right w:w="28" w:type="dxa"/>
            </w:tcMar>
            <w:vAlign w:val="center"/>
          </w:tcPr>
          <w:p w14:paraId="15E98422">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bidi="ar-SA"/>
              </w:rPr>
            </w:pPr>
            <w:r>
              <w:rPr>
                <w:rFonts w:hint="eastAsia" w:ascii="楷体_GB2312" w:hAnsi="楷体_GB2312" w:eastAsia="楷体_GB2312" w:cs="楷体_GB2312"/>
                <w:color w:val="000000"/>
                <w:kern w:val="2"/>
                <w:sz w:val="24"/>
                <w:szCs w:val="24"/>
              </w:rPr>
              <w:t>18.49</w:t>
            </w:r>
          </w:p>
        </w:tc>
        <w:tc>
          <w:tcPr>
            <w:tcW w:w="733" w:type="pct"/>
            <w:shd w:val="clear" w:color="auto" w:fill="auto"/>
            <w:tcMar>
              <w:left w:w="28" w:type="dxa"/>
              <w:right w:w="28" w:type="dxa"/>
            </w:tcMar>
            <w:vAlign w:val="center"/>
          </w:tcPr>
          <w:p w14:paraId="1AC9723F">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bidi="ar-SA"/>
              </w:rPr>
            </w:pPr>
            <w:r>
              <w:rPr>
                <w:rFonts w:hint="eastAsia" w:ascii="楷体_GB2312" w:hAnsi="楷体_GB2312" w:eastAsia="楷体_GB2312" w:cs="楷体_GB2312"/>
                <w:color w:val="000000"/>
                <w:kern w:val="2"/>
                <w:sz w:val="24"/>
                <w:szCs w:val="24"/>
                <w:lang w:val="en-US" w:eastAsia="zh-CN"/>
              </w:rPr>
              <w:t>11</w:t>
            </w:r>
          </w:p>
        </w:tc>
        <w:tc>
          <w:tcPr>
            <w:tcW w:w="536" w:type="pct"/>
            <w:tcMar>
              <w:left w:w="28" w:type="dxa"/>
              <w:right w:w="28" w:type="dxa"/>
            </w:tcMar>
            <w:vAlign w:val="center"/>
          </w:tcPr>
          <w:p w14:paraId="58BD5C0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5AE5FE23">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85" w:hRule="exact"/>
          <w:jc w:val="center"/>
        </w:trPr>
        <w:tc>
          <w:tcPr>
            <w:tcW w:w="388" w:type="pct"/>
            <w:vMerge w:val="continue"/>
            <w:vAlign w:val="center"/>
          </w:tcPr>
          <w:p w14:paraId="52589F7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p>
        </w:tc>
        <w:tc>
          <w:tcPr>
            <w:tcW w:w="361" w:type="pct"/>
            <w:tcMar>
              <w:left w:w="28" w:type="dxa"/>
              <w:right w:w="28" w:type="dxa"/>
            </w:tcMar>
            <w:vAlign w:val="center"/>
          </w:tcPr>
          <w:p w14:paraId="494453C2">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val="en-US" w:eastAsia="zh-CN"/>
              </w:rPr>
              <w:t>5</w:t>
            </w:r>
          </w:p>
        </w:tc>
        <w:tc>
          <w:tcPr>
            <w:tcW w:w="1946" w:type="pct"/>
            <w:gridSpan w:val="2"/>
            <w:tcMar>
              <w:left w:w="28" w:type="dxa"/>
              <w:right w:w="28" w:type="dxa"/>
            </w:tcMar>
            <w:vAlign w:val="center"/>
          </w:tcPr>
          <w:p w14:paraId="0270A20D">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spacing w:val="-20"/>
                <w:kern w:val="2"/>
                <w:sz w:val="24"/>
                <w:szCs w:val="24"/>
                <w:lang w:eastAsia="zh-CN"/>
              </w:rPr>
              <w:t>数字经济核心产业增加值占</w:t>
            </w:r>
            <w:r>
              <w:rPr>
                <w:rFonts w:hint="eastAsia" w:ascii="楷体_GB2312" w:hAnsi="楷体_GB2312" w:eastAsia="楷体_GB2312" w:cs="楷体_GB2312"/>
                <w:color w:val="000000"/>
                <w:spacing w:val="-20"/>
                <w:kern w:val="2"/>
                <w:sz w:val="24"/>
                <w:szCs w:val="24"/>
                <w:lang w:val="en-US" w:eastAsia="zh-CN"/>
              </w:rPr>
              <w:t>GDP比重</w:t>
            </w:r>
            <w:r>
              <w:rPr>
                <w:rFonts w:hint="eastAsia" w:ascii="楷体_GB2312" w:hAnsi="楷体_GB2312" w:eastAsia="楷体_GB2312" w:cs="楷体_GB2312"/>
                <w:color w:val="000000"/>
                <w:spacing w:val="-20"/>
                <w:kern w:val="2"/>
                <w:sz w:val="24"/>
                <w:szCs w:val="24"/>
              </w:rPr>
              <w:t>（%）</w:t>
            </w:r>
          </w:p>
        </w:tc>
        <w:tc>
          <w:tcPr>
            <w:tcW w:w="497" w:type="pct"/>
            <w:tcMar>
              <w:left w:w="28" w:type="dxa"/>
              <w:right w:w="28" w:type="dxa"/>
            </w:tcMar>
            <w:vAlign w:val="center"/>
          </w:tcPr>
          <w:p w14:paraId="69A37151">
            <w:pPr>
              <w:keepNext w:val="0"/>
              <w:keepLines w:val="0"/>
              <w:pageBreakBefore w:val="0"/>
              <w:tabs>
                <w:tab w:val="left" w:pos="492"/>
              </w:tabs>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535" w:type="pct"/>
            <w:tcMar>
              <w:left w:w="28" w:type="dxa"/>
              <w:right w:w="28" w:type="dxa"/>
            </w:tcMar>
            <w:vAlign w:val="center"/>
          </w:tcPr>
          <w:p w14:paraId="65F93296">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733" w:type="pct"/>
            <w:tcMar>
              <w:left w:w="28" w:type="dxa"/>
              <w:right w:w="28" w:type="dxa"/>
            </w:tcMar>
            <w:vAlign w:val="center"/>
          </w:tcPr>
          <w:p w14:paraId="7B26E415">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eastAsia="zh-CN"/>
              </w:rPr>
              <w:t>增速不低于全市平均</w:t>
            </w:r>
          </w:p>
        </w:tc>
        <w:tc>
          <w:tcPr>
            <w:tcW w:w="536" w:type="pct"/>
            <w:tcMar>
              <w:left w:w="28" w:type="dxa"/>
              <w:right w:w="28" w:type="dxa"/>
            </w:tcMar>
            <w:vAlign w:val="center"/>
          </w:tcPr>
          <w:p w14:paraId="7A40364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3E3BD991">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388" w:type="pct"/>
            <w:vMerge w:val="restart"/>
            <w:vAlign w:val="center"/>
          </w:tcPr>
          <w:p w14:paraId="7156D127">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民生</w:t>
            </w:r>
          </w:p>
          <w:p w14:paraId="31DDCFB8">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val="en-US" w:eastAsia="zh-CN"/>
              </w:rPr>
              <w:t>福祉</w:t>
            </w:r>
          </w:p>
        </w:tc>
        <w:tc>
          <w:tcPr>
            <w:tcW w:w="361" w:type="pct"/>
            <w:tcMar>
              <w:left w:w="28" w:type="dxa"/>
              <w:right w:w="28" w:type="dxa"/>
            </w:tcMar>
            <w:vAlign w:val="center"/>
          </w:tcPr>
          <w:p w14:paraId="706AA96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val="en-US" w:eastAsia="zh-CN"/>
              </w:rPr>
              <w:t>6</w:t>
            </w:r>
          </w:p>
        </w:tc>
        <w:tc>
          <w:tcPr>
            <w:tcW w:w="1946" w:type="pct"/>
            <w:gridSpan w:val="2"/>
            <w:tcMar>
              <w:left w:w="28" w:type="dxa"/>
              <w:right w:w="28" w:type="dxa"/>
            </w:tcMar>
            <w:vAlign w:val="center"/>
          </w:tcPr>
          <w:p w14:paraId="6F814DCE">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新增城镇就业人数</w:t>
            </w:r>
            <w:r>
              <w:rPr>
                <w:rFonts w:hint="eastAsia" w:ascii="楷体_GB2312" w:hAnsi="楷体_GB2312" w:eastAsia="楷体_GB2312" w:cs="楷体_GB2312"/>
                <w:color w:val="000000"/>
                <w:kern w:val="2"/>
                <w:sz w:val="24"/>
                <w:szCs w:val="24"/>
              </w:rPr>
              <w:t>（</w:t>
            </w:r>
            <w:r>
              <w:rPr>
                <w:rFonts w:hint="eastAsia" w:ascii="楷体_GB2312" w:hAnsi="楷体_GB2312" w:eastAsia="楷体_GB2312" w:cs="楷体_GB2312"/>
                <w:color w:val="000000"/>
                <w:kern w:val="2"/>
                <w:sz w:val="24"/>
                <w:szCs w:val="24"/>
                <w:lang w:eastAsia="zh-CN"/>
              </w:rPr>
              <w:t>万人</w:t>
            </w:r>
            <w:r>
              <w:rPr>
                <w:rFonts w:hint="eastAsia" w:ascii="楷体_GB2312" w:hAnsi="楷体_GB2312" w:eastAsia="楷体_GB2312" w:cs="楷体_GB2312"/>
                <w:color w:val="000000"/>
                <w:kern w:val="2"/>
                <w:sz w:val="24"/>
                <w:szCs w:val="24"/>
              </w:rPr>
              <w:t>）</w:t>
            </w:r>
          </w:p>
        </w:tc>
        <w:tc>
          <w:tcPr>
            <w:tcW w:w="497" w:type="pct"/>
            <w:shd w:val="clear" w:color="auto" w:fill="auto"/>
            <w:tcMar>
              <w:left w:w="28" w:type="dxa"/>
              <w:right w:w="28" w:type="dxa"/>
            </w:tcMar>
            <w:vAlign w:val="center"/>
          </w:tcPr>
          <w:p w14:paraId="34EC7C32">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highlight w:val="none"/>
                <w:lang w:val="en-US" w:eastAsia="zh-CN" w:bidi="ar-SA"/>
              </w:rPr>
            </w:pPr>
            <w:r>
              <w:rPr>
                <w:rFonts w:hint="eastAsia" w:ascii="楷体_GB2312" w:hAnsi="楷体_GB2312" w:eastAsia="楷体_GB2312" w:cs="楷体_GB2312"/>
                <w:color w:val="000000" w:themeColor="text1"/>
                <w:sz w:val="24"/>
                <w:szCs w:val="24"/>
                <w:highlight w:val="none"/>
                <w:lang w:val="en-US" w:eastAsia="zh-CN"/>
                <w14:textFill>
                  <w14:solidFill>
                    <w14:schemeClr w14:val="tx1"/>
                  </w14:solidFill>
                </w14:textFill>
              </w:rPr>
              <w:t>〔</w:t>
            </w:r>
            <w:r>
              <w:rPr>
                <w:rFonts w:hint="eastAsia" w:ascii="楷体_GB2312" w:hAnsi="楷体_GB2312" w:eastAsia="楷体_GB2312" w:cs="楷体_GB2312"/>
                <w:color w:val="000000"/>
                <w:kern w:val="2"/>
                <w:sz w:val="24"/>
                <w:szCs w:val="24"/>
                <w:highlight w:val="none"/>
                <w:lang w:val="en-US" w:eastAsia="zh-CN"/>
              </w:rPr>
              <w:t>10.4</w:t>
            </w:r>
            <w:r>
              <w:rPr>
                <w:rFonts w:hint="eastAsia" w:ascii="楷体_GB2312" w:hAnsi="楷体_GB2312" w:eastAsia="楷体_GB2312" w:cs="楷体_GB2312"/>
                <w:color w:val="000000" w:themeColor="text1"/>
                <w:sz w:val="24"/>
                <w:szCs w:val="24"/>
                <w:highlight w:val="none"/>
                <w:lang w:val="en-US" w:eastAsia="zh-CN"/>
                <w14:textFill>
                  <w14:solidFill>
                    <w14:schemeClr w14:val="tx1"/>
                  </w14:solidFill>
                </w14:textFill>
              </w:rPr>
              <w:t>〕</w:t>
            </w:r>
          </w:p>
        </w:tc>
        <w:tc>
          <w:tcPr>
            <w:tcW w:w="535" w:type="pct"/>
            <w:shd w:val="clear" w:color="auto" w:fill="auto"/>
            <w:tcMar>
              <w:left w:w="28" w:type="dxa"/>
              <w:right w:w="28" w:type="dxa"/>
            </w:tcMar>
            <w:vAlign w:val="center"/>
          </w:tcPr>
          <w:p w14:paraId="31DEAF27">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highlight w:val="none"/>
                <w:lang w:val="en-US" w:eastAsia="zh-CN" w:bidi="ar-SA"/>
              </w:rPr>
            </w:pPr>
            <w:r>
              <w:rPr>
                <w:rFonts w:hint="eastAsia" w:ascii="楷体_GB2312" w:hAnsi="楷体_GB2312" w:eastAsia="楷体_GB2312" w:cs="楷体_GB2312"/>
                <w:color w:val="000000"/>
                <w:kern w:val="2"/>
                <w:sz w:val="24"/>
                <w:szCs w:val="24"/>
                <w:highlight w:val="none"/>
                <w:lang w:eastAsia="zh-CN"/>
              </w:rPr>
              <w:t>—</w:t>
            </w:r>
          </w:p>
        </w:tc>
        <w:tc>
          <w:tcPr>
            <w:tcW w:w="733" w:type="pct"/>
            <w:shd w:val="clear" w:color="auto" w:fill="auto"/>
            <w:tcMar>
              <w:left w:w="28" w:type="dxa"/>
              <w:right w:w="28" w:type="dxa"/>
            </w:tcMar>
            <w:vAlign w:val="center"/>
          </w:tcPr>
          <w:p w14:paraId="302FB3E4">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highlight w:val="none"/>
                <w:lang w:val="en-US" w:eastAsia="zh-CN" w:bidi="ar-SA"/>
              </w:rPr>
            </w:pPr>
            <w:r>
              <w:rPr>
                <w:rFonts w:hint="eastAsia" w:ascii="楷体_GB2312" w:hAnsi="楷体_GB2312" w:eastAsia="楷体_GB2312" w:cs="楷体_GB2312"/>
                <w:color w:val="000000"/>
                <w:kern w:val="2"/>
                <w:sz w:val="24"/>
                <w:szCs w:val="24"/>
                <w:highlight w:val="none"/>
                <w:lang w:eastAsia="zh-CN"/>
              </w:rPr>
              <w:t>＞</w:t>
            </w:r>
            <w:r>
              <w:rPr>
                <w:rFonts w:hint="eastAsia" w:ascii="楷体_GB2312" w:hAnsi="楷体_GB2312" w:eastAsia="楷体_GB2312" w:cs="楷体_GB2312"/>
                <w:color w:val="000000" w:themeColor="text1"/>
                <w:sz w:val="24"/>
                <w:szCs w:val="24"/>
                <w:highlight w:val="none"/>
                <w:lang w:val="en-US" w:eastAsia="zh-CN"/>
                <w14:textFill>
                  <w14:solidFill>
                    <w14:schemeClr w14:val="tx1"/>
                  </w14:solidFill>
                </w14:textFill>
              </w:rPr>
              <w:t>〔</w:t>
            </w:r>
            <w:r>
              <w:rPr>
                <w:rFonts w:hint="eastAsia" w:ascii="楷体_GB2312" w:hAnsi="楷体_GB2312" w:eastAsia="楷体_GB2312" w:cs="楷体_GB2312"/>
                <w:color w:val="000000"/>
                <w:kern w:val="2"/>
                <w:sz w:val="24"/>
                <w:szCs w:val="24"/>
                <w:highlight w:val="none"/>
                <w:lang w:val="en-US" w:eastAsia="zh-CN"/>
              </w:rPr>
              <w:t>8.4</w:t>
            </w:r>
            <w:r>
              <w:rPr>
                <w:rFonts w:hint="eastAsia" w:ascii="楷体_GB2312" w:hAnsi="楷体_GB2312" w:eastAsia="楷体_GB2312" w:cs="楷体_GB2312"/>
                <w:color w:val="000000" w:themeColor="text1"/>
                <w:sz w:val="24"/>
                <w:szCs w:val="24"/>
                <w:highlight w:val="none"/>
                <w:lang w:val="en-US" w:eastAsia="zh-CN"/>
                <w14:textFill>
                  <w14:solidFill>
                    <w14:schemeClr w14:val="tx1"/>
                  </w14:solidFill>
                </w14:textFill>
              </w:rPr>
              <w:t>〕</w:t>
            </w:r>
          </w:p>
        </w:tc>
        <w:tc>
          <w:tcPr>
            <w:tcW w:w="536" w:type="pct"/>
            <w:tcMar>
              <w:left w:w="28" w:type="dxa"/>
              <w:right w:w="28" w:type="dxa"/>
            </w:tcMar>
            <w:vAlign w:val="center"/>
          </w:tcPr>
          <w:p w14:paraId="5A84711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4E9E1DB2">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88" w:type="pct"/>
            <w:vMerge w:val="continue"/>
            <w:vAlign w:val="center"/>
          </w:tcPr>
          <w:p w14:paraId="4EAD2127">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p>
        </w:tc>
        <w:tc>
          <w:tcPr>
            <w:tcW w:w="361" w:type="pct"/>
            <w:tcMar>
              <w:left w:w="28" w:type="dxa"/>
              <w:right w:w="28" w:type="dxa"/>
            </w:tcMar>
            <w:vAlign w:val="center"/>
          </w:tcPr>
          <w:p w14:paraId="1C4C6D36">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val="en-US" w:eastAsia="zh-CN"/>
              </w:rPr>
              <w:t>7</w:t>
            </w:r>
          </w:p>
        </w:tc>
        <w:tc>
          <w:tcPr>
            <w:tcW w:w="1946" w:type="pct"/>
            <w:gridSpan w:val="2"/>
            <w:tcMar>
              <w:left w:w="28" w:type="dxa"/>
              <w:right w:w="28" w:type="dxa"/>
            </w:tcMar>
            <w:vAlign w:val="center"/>
          </w:tcPr>
          <w:p w14:paraId="263EDC10">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居民人均可支配收入增长</w:t>
            </w:r>
            <w:r>
              <w:rPr>
                <w:rFonts w:hint="eastAsia" w:ascii="楷体_GB2312" w:hAnsi="楷体_GB2312" w:eastAsia="楷体_GB2312" w:cs="楷体_GB2312"/>
                <w:color w:val="000000"/>
                <w:kern w:val="2"/>
                <w:sz w:val="24"/>
                <w:szCs w:val="24"/>
              </w:rPr>
              <w:t>（%）</w:t>
            </w:r>
          </w:p>
        </w:tc>
        <w:tc>
          <w:tcPr>
            <w:tcW w:w="497" w:type="pct"/>
            <w:tcMar>
              <w:left w:w="28" w:type="dxa"/>
              <w:right w:w="28" w:type="dxa"/>
            </w:tcMar>
            <w:vAlign w:val="center"/>
          </w:tcPr>
          <w:p w14:paraId="2E316006">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4.2</w:t>
            </w:r>
          </w:p>
        </w:tc>
        <w:tc>
          <w:tcPr>
            <w:tcW w:w="535" w:type="pct"/>
            <w:tcMar>
              <w:left w:w="28" w:type="dxa"/>
              <w:right w:w="28" w:type="dxa"/>
            </w:tcMar>
            <w:vAlign w:val="center"/>
          </w:tcPr>
          <w:p w14:paraId="599B6F43">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733" w:type="pct"/>
            <w:tcMar>
              <w:left w:w="28" w:type="dxa"/>
              <w:right w:w="28" w:type="dxa"/>
            </w:tcMar>
            <w:vAlign w:val="center"/>
          </w:tcPr>
          <w:p w14:paraId="7D5E95B6">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与GDP增长同步</w:t>
            </w:r>
          </w:p>
        </w:tc>
        <w:tc>
          <w:tcPr>
            <w:tcW w:w="536" w:type="pct"/>
            <w:tcMar>
              <w:left w:w="28" w:type="dxa"/>
              <w:right w:w="28" w:type="dxa"/>
            </w:tcMar>
            <w:vAlign w:val="center"/>
          </w:tcPr>
          <w:p w14:paraId="7078963F">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31B94FB7">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88" w:type="pct"/>
            <w:vMerge w:val="continue"/>
            <w:vAlign w:val="center"/>
          </w:tcPr>
          <w:p w14:paraId="2AF27DF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p>
        </w:tc>
        <w:tc>
          <w:tcPr>
            <w:tcW w:w="361" w:type="pct"/>
            <w:vMerge w:val="restart"/>
            <w:tcMar>
              <w:left w:w="28" w:type="dxa"/>
              <w:right w:w="28" w:type="dxa"/>
            </w:tcMar>
            <w:vAlign w:val="center"/>
          </w:tcPr>
          <w:p w14:paraId="77589F30">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8</w:t>
            </w:r>
          </w:p>
        </w:tc>
        <w:tc>
          <w:tcPr>
            <w:tcW w:w="850" w:type="pct"/>
            <w:vMerge w:val="restart"/>
            <w:tcMar>
              <w:left w:w="28" w:type="dxa"/>
              <w:right w:w="28" w:type="dxa"/>
            </w:tcMar>
            <w:vAlign w:val="center"/>
          </w:tcPr>
          <w:p w14:paraId="010CFA5A">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highlight w:val="none"/>
                <w:lang w:eastAsia="zh-CN"/>
              </w:rPr>
            </w:pPr>
            <w:r>
              <w:rPr>
                <w:rFonts w:hint="eastAsia" w:ascii="楷体_GB2312" w:hAnsi="楷体_GB2312" w:eastAsia="楷体_GB2312" w:cs="楷体_GB2312"/>
                <w:color w:val="000000"/>
                <w:kern w:val="2"/>
                <w:sz w:val="24"/>
                <w:szCs w:val="24"/>
                <w:highlight w:val="none"/>
              </w:rPr>
              <w:t>每千人</w:t>
            </w:r>
            <w:r>
              <w:rPr>
                <w:rFonts w:hint="eastAsia" w:ascii="楷体_GB2312" w:hAnsi="楷体_GB2312" w:eastAsia="楷体_GB2312" w:cs="楷体_GB2312"/>
                <w:color w:val="000000"/>
                <w:kern w:val="2"/>
                <w:sz w:val="24"/>
                <w:szCs w:val="24"/>
                <w:highlight w:val="none"/>
                <w:lang w:eastAsia="zh-CN"/>
              </w:rPr>
              <w:t>口</w:t>
            </w:r>
            <w:r>
              <w:rPr>
                <w:rFonts w:hint="eastAsia" w:ascii="楷体_GB2312" w:hAnsi="楷体_GB2312" w:eastAsia="楷体_GB2312" w:cs="楷体_GB2312"/>
                <w:color w:val="000000"/>
                <w:kern w:val="2"/>
                <w:sz w:val="24"/>
                <w:szCs w:val="24"/>
                <w:highlight w:val="none"/>
              </w:rPr>
              <w:t>拥有</w:t>
            </w:r>
            <w:r>
              <w:rPr>
                <w:rFonts w:hint="eastAsia" w:ascii="楷体_GB2312" w:hAnsi="楷体_GB2312" w:eastAsia="楷体_GB2312" w:cs="楷体_GB2312"/>
                <w:color w:val="000000"/>
                <w:kern w:val="2"/>
                <w:sz w:val="24"/>
                <w:szCs w:val="24"/>
                <w:highlight w:val="none"/>
                <w:lang w:eastAsia="zh-CN"/>
              </w:rPr>
              <w:t>医护人员数</w:t>
            </w:r>
          </w:p>
        </w:tc>
        <w:tc>
          <w:tcPr>
            <w:tcW w:w="1096" w:type="pct"/>
            <w:tcMar>
              <w:left w:w="28" w:type="dxa"/>
              <w:right w:w="28" w:type="dxa"/>
            </w:tcMar>
            <w:vAlign w:val="center"/>
          </w:tcPr>
          <w:p w14:paraId="7EBC8AD3">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highlight w:val="none"/>
                <w:lang w:eastAsia="zh-CN"/>
              </w:rPr>
            </w:pPr>
            <w:r>
              <w:rPr>
                <w:rFonts w:hint="eastAsia" w:ascii="楷体_GB2312" w:hAnsi="楷体_GB2312" w:eastAsia="楷体_GB2312" w:cs="楷体_GB2312"/>
                <w:color w:val="000000"/>
                <w:kern w:val="2"/>
                <w:sz w:val="24"/>
                <w:szCs w:val="24"/>
                <w:highlight w:val="none"/>
                <w:lang w:eastAsia="zh-CN"/>
              </w:rPr>
              <w:t>执业医师数（人）</w:t>
            </w:r>
          </w:p>
        </w:tc>
        <w:tc>
          <w:tcPr>
            <w:tcW w:w="497" w:type="pct"/>
            <w:tcMar>
              <w:left w:w="28" w:type="dxa"/>
              <w:right w:w="28" w:type="dxa"/>
            </w:tcMar>
            <w:vAlign w:val="center"/>
          </w:tcPr>
          <w:p w14:paraId="67D64ABC">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default" w:ascii="楷体_GB2312" w:hAnsi="楷体_GB2312" w:eastAsia="楷体_GB2312" w:cs="楷体_GB2312"/>
                <w:color w:val="000000"/>
                <w:kern w:val="2"/>
                <w:sz w:val="24"/>
                <w:szCs w:val="24"/>
                <w:lang w:val="en-US" w:eastAsia="zh-CN"/>
              </w:rPr>
              <w:t>7.9</w:t>
            </w:r>
          </w:p>
        </w:tc>
        <w:tc>
          <w:tcPr>
            <w:tcW w:w="535" w:type="pct"/>
            <w:shd w:val="clear" w:color="auto" w:fill="auto"/>
            <w:tcMar>
              <w:left w:w="28" w:type="dxa"/>
              <w:right w:w="28" w:type="dxa"/>
            </w:tcMar>
            <w:vAlign w:val="center"/>
          </w:tcPr>
          <w:p w14:paraId="5D092F1D">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val="en-US" w:eastAsia="zh-CN"/>
              </w:rPr>
              <w:t>7.95</w:t>
            </w:r>
          </w:p>
        </w:tc>
        <w:tc>
          <w:tcPr>
            <w:tcW w:w="733" w:type="pct"/>
            <w:shd w:val="clear" w:color="auto" w:fill="auto"/>
            <w:tcMar>
              <w:left w:w="28" w:type="dxa"/>
              <w:right w:w="28" w:type="dxa"/>
            </w:tcMar>
            <w:vAlign w:val="center"/>
          </w:tcPr>
          <w:p w14:paraId="671BC0D8">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536" w:type="pct"/>
            <w:shd w:val="clear" w:color="auto" w:fill="auto"/>
            <w:tcMar>
              <w:left w:w="28" w:type="dxa"/>
              <w:right w:w="28" w:type="dxa"/>
            </w:tcMar>
            <w:vAlign w:val="center"/>
          </w:tcPr>
          <w:p w14:paraId="41D24649">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028DA333">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388" w:type="pct"/>
            <w:vMerge w:val="continue"/>
            <w:vAlign w:val="center"/>
          </w:tcPr>
          <w:p w14:paraId="57A5B892">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p>
        </w:tc>
        <w:tc>
          <w:tcPr>
            <w:tcW w:w="361" w:type="pct"/>
            <w:vMerge w:val="continue"/>
            <w:tcMar>
              <w:left w:w="28" w:type="dxa"/>
              <w:right w:w="28" w:type="dxa"/>
            </w:tcMar>
            <w:vAlign w:val="center"/>
          </w:tcPr>
          <w:p w14:paraId="1FB70AE7">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p>
        </w:tc>
        <w:tc>
          <w:tcPr>
            <w:tcW w:w="850" w:type="pct"/>
            <w:vMerge w:val="continue"/>
            <w:tcMar>
              <w:left w:w="28" w:type="dxa"/>
              <w:right w:w="28" w:type="dxa"/>
            </w:tcMar>
            <w:vAlign w:val="center"/>
          </w:tcPr>
          <w:p w14:paraId="3DFA7174">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highlight w:val="none"/>
              </w:rPr>
            </w:pPr>
          </w:p>
        </w:tc>
        <w:tc>
          <w:tcPr>
            <w:tcW w:w="1096" w:type="pct"/>
            <w:tcMar>
              <w:left w:w="28" w:type="dxa"/>
              <w:right w:w="28" w:type="dxa"/>
            </w:tcMar>
            <w:vAlign w:val="center"/>
          </w:tcPr>
          <w:p w14:paraId="0EF1CCC1">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highlight w:val="none"/>
              </w:rPr>
            </w:pPr>
            <w:r>
              <w:rPr>
                <w:rFonts w:hint="eastAsia" w:ascii="楷体_GB2312" w:hAnsi="楷体_GB2312" w:eastAsia="楷体_GB2312" w:cs="楷体_GB2312"/>
                <w:color w:val="000000"/>
                <w:kern w:val="2"/>
                <w:sz w:val="24"/>
                <w:szCs w:val="24"/>
                <w:highlight w:val="none"/>
                <w:lang w:eastAsia="zh-CN"/>
              </w:rPr>
              <w:t>注册护士数（人）</w:t>
            </w:r>
          </w:p>
        </w:tc>
        <w:tc>
          <w:tcPr>
            <w:tcW w:w="497" w:type="pct"/>
            <w:tcMar>
              <w:left w:w="28" w:type="dxa"/>
              <w:right w:w="28" w:type="dxa"/>
            </w:tcMar>
            <w:vAlign w:val="center"/>
          </w:tcPr>
          <w:p w14:paraId="17440560">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default" w:ascii="楷体_GB2312" w:hAnsi="楷体_GB2312" w:eastAsia="楷体_GB2312" w:cs="楷体_GB2312"/>
                <w:color w:val="000000"/>
                <w:kern w:val="2"/>
                <w:sz w:val="24"/>
                <w:szCs w:val="24"/>
                <w:lang w:val="en-US" w:eastAsia="zh-CN"/>
              </w:rPr>
              <w:t>9.14</w:t>
            </w:r>
          </w:p>
        </w:tc>
        <w:tc>
          <w:tcPr>
            <w:tcW w:w="535" w:type="pct"/>
            <w:tcMar>
              <w:left w:w="28" w:type="dxa"/>
              <w:right w:w="28" w:type="dxa"/>
            </w:tcMar>
            <w:vAlign w:val="center"/>
          </w:tcPr>
          <w:p w14:paraId="51A4C9A5">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val="en-US" w:eastAsia="zh-CN"/>
              </w:rPr>
              <w:t>9.19</w:t>
            </w:r>
          </w:p>
        </w:tc>
        <w:tc>
          <w:tcPr>
            <w:tcW w:w="733" w:type="pct"/>
            <w:tcMar>
              <w:left w:w="28" w:type="dxa"/>
              <w:right w:w="28" w:type="dxa"/>
            </w:tcMar>
            <w:vAlign w:val="center"/>
          </w:tcPr>
          <w:p w14:paraId="5D400AF5">
            <w:pPr>
              <w:keepNext w:val="0"/>
              <w:keepLines w:val="0"/>
              <w:pageBreakBefore w:val="0"/>
              <w:kinsoku/>
              <w:wordWrap/>
              <w:overflowPunct w:val="0"/>
              <w:topLinePunct w:val="0"/>
              <w:autoSpaceDE/>
              <w:autoSpaceDN/>
              <w:bidi w:val="0"/>
              <w:adjustRightInd w:val="0"/>
              <w:snapToGrid w:val="0"/>
              <w:spacing w:line="320" w:lineRule="exact"/>
              <w:ind w:left="0" w:leftChars="0"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536" w:type="pct"/>
            <w:tcMar>
              <w:left w:w="28" w:type="dxa"/>
              <w:right w:w="28" w:type="dxa"/>
            </w:tcMar>
            <w:vAlign w:val="center"/>
          </w:tcPr>
          <w:p w14:paraId="1BA77CC7">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6530B801">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388" w:type="pct"/>
            <w:vMerge w:val="continue"/>
            <w:vAlign w:val="center"/>
          </w:tcPr>
          <w:p w14:paraId="2D07BFFD">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p>
        </w:tc>
        <w:tc>
          <w:tcPr>
            <w:tcW w:w="361" w:type="pct"/>
            <w:tcMar>
              <w:left w:w="28" w:type="dxa"/>
              <w:right w:w="28" w:type="dxa"/>
            </w:tcMar>
            <w:vAlign w:val="center"/>
          </w:tcPr>
          <w:p w14:paraId="24C81319">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9</w:t>
            </w:r>
          </w:p>
        </w:tc>
        <w:tc>
          <w:tcPr>
            <w:tcW w:w="1946" w:type="pct"/>
            <w:gridSpan w:val="2"/>
            <w:tcMar>
              <w:left w:w="28" w:type="dxa"/>
              <w:right w:w="28" w:type="dxa"/>
            </w:tcMar>
            <w:vAlign w:val="center"/>
          </w:tcPr>
          <w:p w14:paraId="7EDD5738">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highlight w:val="none"/>
              </w:rPr>
            </w:pPr>
            <w:r>
              <w:rPr>
                <w:rFonts w:hint="eastAsia" w:ascii="楷体_GB2312" w:hAnsi="楷体_GB2312" w:eastAsia="楷体_GB2312" w:cs="楷体_GB2312"/>
                <w:color w:val="000000"/>
                <w:spacing w:val="-17"/>
                <w:kern w:val="2"/>
                <w:sz w:val="24"/>
                <w:szCs w:val="24"/>
                <w:highlight w:val="none"/>
                <w:lang w:val="en-US" w:eastAsia="zh-CN"/>
              </w:rPr>
              <w:t>3岁以下婴幼儿入托率提高（百分点）</w:t>
            </w:r>
          </w:p>
        </w:tc>
        <w:tc>
          <w:tcPr>
            <w:tcW w:w="497" w:type="pct"/>
            <w:shd w:val="clear" w:color="auto" w:fill="auto"/>
            <w:tcMar>
              <w:left w:w="28" w:type="dxa"/>
              <w:right w:w="28" w:type="dxa"/>
            </w:tcMar>
            <w:vAlign w:val="center"/>
          </w:tcPr>
          <w:p w14:paraId="5AEE137F">
            <w:pPr>
              <w:keepNext w:val="0"/>
              <w:keepLines w:val="0"/>
              <w:pageBreakBefore w:val="0"/>
              <w:kinsoku/>
              <w:wordWrap/>
              <w:overflowPunct w:val="0"/>
              <w:topLinePunct w:val="0"/>
              <w:autoSpaceDE/>
              <w:autoSpaceDN/>
              <w:bidi w:val="0"/>
              <w:adjustRightInd w:val="0"/>
              <w:snapToGrid w:val="0"/>
              <w:spacing w:line="320" w:lineRule="exact"/>
              <w:ind w:left="0" w:leftChars="0"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535" w:type="pct"/>
            <w:shd w:val="clear" w:color="auto" w:fill="auto"/>
            <w:tcMar>
              <w:left w:w="28" w:type="dxa"/>
              <w:right w:w="28" w:type="dxa"/>
            </w:tcMar>
            <w:vAlign w:val="center"/>
          </w:tcPr>
          <w:p w14:paraId="095DB2C9">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val="en-US" w:eastAsia="zh-CN"/>
              </w:rPr>
              <w:t>7</w:t>
            </w:r>
          </w:p>
        </w:tc>
        <w:tc>
          <w:tcPr>
            <w:tcW w:w="733" w:type="pct"/>
            <w:shd w:val="clear" w:color="auto" w:fill="auto"/>
            <w:tcMar>
              <w:left w:w="28" w:type="dxa"/>
              <w:right w:w="28" w:type="dxa"/>
            </w:tcMar>
            <w:vAlign w:val="center"/>
          </w:tcPr>
          <w:p w14:paraId="5B1ECC1B">
            <w:pPr>
              <w:keepNext w:val="0"/>
              <w:keepLines w:val="0"/>
              <w:pageBreakBefore w:val="0"/>
              <w:kinsoku/>
              <w:wordWrap/>
              <w:overflowPunct w:val="0"/>
              <w:topLinePunct w:val="0"/>
              <w:autoSpaceDE/>
              <w:autoSpaceDN/>
              <w:bidi w:val="0"/>
              <w:adjustRightInd w:val="0"/>
              <w:snapToGrid w:val="0"/>
              <w:spacing w:line="320" w:lineRule="exact"/>
              <w:ind w:left="0" w:leftChars="0"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不低于全市水平</w:t>
            </w:r>
          </w:p>
        </w:tc>
        <w:tc>
          <w:tcPr>
            <w:tcW w:w="536" w:type="pct"/>
            <w:tcMar>
              <w:left w:w="28" w:type="dxa"/>
              <w:right w:w="28" w:type="dxa"/>
            </w:tcMar>
            <w:vAlign w:val="center"/>
          </w:tcPr>
          <w:p w14:paraId="61DC1D88">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7517FDF6">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388" w:type="pct"/>
            <w:vMerge w:val="continue"/>
            <w:vAlign w:val="center"/>
          </w:tcPr>
          <w:p w14:paraId="6DA833F5">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p>
        </w:tc>
        <w:tc>
          <w:tcPr>
            <w:tcW w:w="361" w:type="pct"/>
            <w:tcMar>
              <w:left w:w="28" w:type="dxa"/>
              <w:right w:w="28" w:type="dxa"/>
            </w:tcMar>
            <w:vAlign w:val="center"/>
          </w:tcPr>
          <w:p w14:paraId="02334775">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10</w:t>
            </w:r>
          </w:p>
        </w:tc>
        <w:tc>
          <w:tcPr>
            <w:tcW w:w="1946" w:type="pct"/>
            <w:gridSpan w:val="2"/>
            <w:tcMar>
              <w:left w:w="28" w:type="dxa"/>
              <w:right w:w="28" w:type="dxa"/>
            </w:tcMar>
            <w:vAlign w:val="center"/>
          </w:tcPr>
          <w:p w14:paraId="4050B322">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人均预期寿命（岁）</w:t>
            </w:r>
          </w:p>
        </w:tc>
        <w:tc>
          <w:tcPr>
            <w:tcW w:w="497" w:type="pct"/>
            <w:shd w:val="clear" w:color="auto" w:fill="auto"/>
            <w:tcMar>
              <w:left w:w="28" w:type="dxa"/>
              <w:right w:w="28" w:type="dxa"/>
            </w:tcMar>
            <w:vAlign w:val="center"/>
          </w:tcPr>
          <w:p w14:paraId="0CB64F0B">
            <w:pPr>
              <w:keepNext w:val="0"/>
              <w:keepLines w:val="0"/>
              <w:pageBreakBefore w:val="0"/>
              <w:kinsoku/>
              <w:wordWrap/>
              <w:overflowPunct w:val="0"/>
              <w:topLinePunct w:val="0"/>
              <w:autoSpaceDE/>
              <w:autoSpaceDN/>
              <w:bidi w:val="0"/>
              <w:adjustRightInd w:val="0"/>
              <w:snapToGrid w:val="0"/>
              <w:spacing w:line="320" w:lineRule="exact"/>
              <w:ind w:left="0" w:leftChars="0" w:firstLine="0" w:firstLineChars="0"/>
              <w:jc w:val="center"/>
              <w:textAlignment w:val="baseline"/>
              <w:rPr>
                <w:rFonts w:hint="default" w:ascii="楷体_GB2312" w:hAnsi="楷体_GB2312" w:eastAsia="楷体_GB2312" w:cs="楷体_GB2312"/>
                <w:color w:val="000000"/>
                <w:kern w:val="2"/>
                <w:sz w:val="24"/>
                <w:szCs w:val="24"/>
                <w:lang w:val="en-US"/>
              </w:rPr>
            </w:pPr>
            <w:r>
              <w:rPr>
                <w:rFonts w:hint="eastAsia" w:ascii="楷体_GB2312" w:hAnsi="楷体_GB2312" w:eastAsia="楷体_GB2312" w:cs="楷体_GB2312"/>
                <w:color w:val="000000"/>
                <w:kern w:val="2"/>
                <w:sz w:val="24"/>
                <w:szCs w:val="24"/>
                <w:lang w:val="en-US" w:eastAsia="zh-CN"/>
              </w:rPr>
              <w:t>81</w:t>
            </w:r>
          </w:p>
        </w:tc>
        <w:tc>
          <w:tcPr>
            <w:tcW w:w="535" w:type="pct"/>
            <w:shd w:val="clear" w:color="auto" w:fill="auto"/>
            <w:tcMar>
              <w:left w:w="28" w:type="dxa"/>
              <w:right w:w="28" w:type="dxa"/>
            </w:tcMar>
            <w:vAlign w:val="center"/>
          </w:tcPr>
          <w:p w14:paraId="24FA68A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rPr>
            </w:pPr>
            <w:r>
              <w:rPr>
                <w:rFonts w:hint="eastAsia" w:ascii="楷体_GB2312" w:hAnsi="楷体_GB2312" w:eastAsia="楷体_GB2312" w:cs="楷体_GB2312"/>
                <w:color w:val="000000"/>
                <w:kern w:val="2"/>
                <w:sz w:val="24"/>
                <w:szCs w:val="24"/>
                <w:lang w:val="en-US" w:eastAsia="zh-CN"/>
              </w:rPr>
              <w:t>82</w:t>
            </w:r>
          </w:p>
        </w:tc>
        <w:tc>
          <w:tcPr>
            <w:tcW w:w="733" w:type="pct"/>
            <w:shd w:val="clear" w:color="auto" w:fill="auto"/>
            <w:tcMar>
              <w:left w:w="28" w:type="dxa"/>
              <w:right w:w="28" w:type="dxa"/>
            </w:tcMar>
            <w:vAlign w:val="center"/>
          </w:tcPr>
          <w:p w14:paraId="307862F1">
            <w:pPr>
              <w:keepNext w:val="0"/>
              <w:keepLines w:val="0"/>
              <w:pageBreakBefore w:val="0"/>
              <w:kinsoku/>
              <w:wordWrap/>
              <w:overflowPunct w:val="0"/>
              <w:topLinePunct w:val="0"/>
              <w:autoSpaceDE/>
              <w:autoSpaceDN/>
              <w:bidi w:val="0"/>
              <w:adjustRightInd w:val="0"/>
              <w:snapToGrid w:val="0"/>
              <w:spacing w:line="320" w:lineRule="exact"/>
              <w:ind w:left="0" w:leftChars="0"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536" w:type="pct"/>
            <w:tcMar>
              <w:left w:w="28" w:type="dxa"/>
              <w:right w:w="28" w:type="dxa"/>
            </w:tcMar>
            <w:vAlign w:val="center"/>
          </w:tcPr>
          <w:p w14:paraId="7515F669">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预期性</w:t>
            </w:r>
          </w:p>
        </w:tc>
      </w:tr>
      <w:tr w14:paraId="209BD224">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88" w:type="pct"/>
            <w:vMerge w:val="restart"/>
            <w:vAlign w:val="center"/>
          </w:tcPr>
          <w:p w14:paraId="7738C5D8">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eastAsia="zh-CN"/>
              </w:rPr>
              <w:t>绿色低碳</w:t>
            </w:r>
          </w:p>
        </w:tc>
        <w:tc>
          <w:tcPr>
            <w:tcW w:w="361" w:type="pct"/>
            <w:tcMar>
              <w:left w:w="28" w:type="dxa"/>
              <w:right w:w="28" w:type="dxa"/>
            </w:tcMar>
            <w:vAlign w:val="center"/>
          </w:tcPr>
          <w:p w14:paraId="54F8340A">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rPr>
              <w:t>1</w:t>
            </w:r>
            <w:r>
              <w:rPr>
                <w:rFonts w:hint="eastAsia" w:ascii="楷体_GB2312" w:hAnsi="楷体_GB2312" w:eastAsia="楷体_GB2312" w:cs="楷体_GB2312"/>
                <w:color w:val="000000"/>
                <w:kern w:val="2"/>
                <w:sz w:val="24"/>
                <w:szCs w:val="24"/>
                <w:lang w:val="en-US" w:eastAsia="zh-CN"/>
              </w:rPr>
              <w:t>1</w:t>
            </w:r>
          </w:p>
        </w:tc>
        <w:tc>
          <w:tcPr>
            <w:tcW w:w="1946" w:type="pct"/>
            <w:gridSpan w:val="2"/>
            <w:tcMar>
              <w:left w:w="28" w:type="dxa"/>
              <w:right w:w="28" w:type="dxa"/>
            </w:tcMar>
            <w:vAlign w:val="center"/>
          </w:tcPr>
          <w:p w14:paraId="46AB1560">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spacing w:val="-20"/>
                <w:kern w:val="2"/>
                <w:sz w:val="24"/>
                <w:szCs w:val="24"/>
                <w:lang w:val="en-US" w:eastAsia="zh-CN"/>
              </w:rPr>
              <w:t>非化石能</w:t>
            </w:r>
            <w:r>
              <w:rPr>
                <w:rFonts w:hint="eastAsia" w:ascii="楷体_GB2312" w:hAnsi="楷体_GB2312" w:eastAsia="楷体_GB2312" w:cs="楷体_GB2312"/>
                <w:color w:val="000000"/>
                <w:spacing w:val="-20"/>
                <w:kern w:val="2"/>
                <w:sz w:val="24"/>
                <w:szCs w:val="24"/>
                <w:lang w:eastAsia="zh-CN"/>
              </w:rPr>
              <w:t>源消费占能源消费总量比重（</w:t>
            </w:r>
            <w:r>
              <w:rPr>
                <w:rFonts w:hint="eastAsia" w:ascii="楷体_GB2312" w:hAnsi="楷体_GB2312" w:eastAsia="楷体_GB2312" w:cs="楷体_GB2312"/>
                <w:color w:val="000000"/>
                <w:spacing w:val="-20"/>
                <w:kern w:val="2"/>
                <w:sz w:val="24"/>
                <w:szCs w:val="24"/>
                <w:lang w:val="en-US" w:eastAsia="zh-CN"/>
              </w:rPr>
              <w:t>%</w:t>
            </w:r>
            <w:r>
              <w:rPr>
                <w:rFonts w:hint="eastAsia" w:ascii="楷体_GB2312" w:hAnsi="楷体_GB2312" w:eastAsia="楷体_GB2312" w:cs="楷体_GB2312"/>
                <w:color w:val="000000"/>
                <w:spacing w:val="-20"/>
                <w:kern w:val="2"/>
                <w:sz w:val="24"/>
                <w:szCs w:val="24"/>
                <w:lang w:eastAsia="zh-CN"/>
              </w:rPr>
              <w:t>）</w:t>
            </w:r>
          </w:p>
        </w:tc>
        <w:tc>
          <w:tcPr>
            <w:tcW w:w="497" w:type="pct"/>
            <w:tcMar>
              <w:left w:w="28" w:type="dxa"/>
              <w:right w:w="28" w:type="dxa"/>
            </w:tcMar>
            <w:vAlign w:val="center"/>
          </w:tcPr>
          <w:p w14:paraId="7104D589">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eastAsia="zh-CN"/>
              </w:rPr>
              <w:t>—</w:t>
            </w:r>
          </w:p>
        </w:tc>
        <w:tc>
          <w:tcPr>
            <w:tcW w:w="535" w:type="pct"/>
            <w:vMerge w:val="restart"/>
            <w:tcMar>
              <w:left w:w="28" w:type="dxa"/>
              <w:right w:w="28" w:type="dxa"/>
            </w:tcMar>
            <w:vAlign w:val="center"/>
          </w:tcPr>
          <w:p w14:paraId="4ED1743C">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eastAsia="zh-CN"/>
              </w:rPr>
              <w:t>完成市下达任务目标</w:t>
            </w:r>
          </w:p>
        </w:tc>
        <w:tc>
          <w:tcPr>
            <w:tcW w:w="733" w:type="pct"/>
            <w:tcMar>
              <w:left w:w="28" w:type="dxa"/>
              <w:right w:w="28" w:type="dxa"/>
            </w:tcMar>
            <w:vAlign w:val="center"/>
          </w:tcPr>
          <w:p w14:paraId="58B7B1F9">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536" w:type="pct"/>
            <w:tcMar>
              <w:left w:w="28" w:type="dxa"/>
              <w:right w:w="28" w:type="dxa"/>
            </w:tcMar>
            <w:vAlign w:val="center"/>
          </w:tcPr>
          <w:p w14:paraId="632D3B2B">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val="en-US" w:eastAsia="zh-CN"/>
              </w:rPr>
              <w:t>约束性</w:t>
            </w:r>
          </w:p>
        </w:tc>
      </w:tr>
      <w:tr w14:paraId="258C9963">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88" w:type="pct"/>
            <w:vMerge w:val="continue"/>
            <w:vAlign w:val="center"/>
          </w:tcPr>
          <w:p w14:paraId="27654D9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p>
        </w:tc>
        <w:tc>
          <w:tcPr>
            <w:tcW w:w="361" w:type="pct"/>
            <w:tcMar>
              <w:left w:w="28" w:type="dxa"/>
              <w:right w:w="28" w:type="dxa"/>
            </w:tcMar>
            <w:vAlign w:val="center"/>
          </w:tcPr>
          <w:p w14:paraId="06987F36">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12</w:t>
            </w:r>
          </w:p>
        </w:tc>
        <w:tc>
          <w:tcPr>
            <w:tcW w:w="1946" w:type="pct"/>
            <w:gridSpan w:val="2"/>
            <w:tcMar>
              <w:left w:w="28" w:type="dxa"/>
              <w:right w:w="28" w:type="dxa"/>
            </w:tcMar>
            <w:vAlign w:val="center"/>
          </w:tcPr>
          <w:p w14:paraId="7157AEFC">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spacing w:val="-20"/>
                <w:kern w:val="2"/>
                <w:sz w:val="24"/>
                <w:szCs w:val="24"/>
                <w:lang w:val="en-US" w:eastAsia="zh-CN"/>
              </w:rPr>
            </w:pPr>
            <w:r>
              <w:rPr>
                <w:rFonts w:hint="eastAsia" w:ascii="楷体_GB2312" w:hAnsi="楷体_GB2312" w:eastAsia="楷体_GB2312" w:cs="楷体_GB2312"/>
                <w:color w:val="000000"/>
                <w:spacing w:val="-20"/>
                <w:kern w:val="2"/>
                <w:sz w:val="24"/>
                <w:szCs w:val="24"/>
                <w:lang w:val="en-US" w:eastAsia="zh-CN"/>
              </w:rPr>
              <w:t>单位GDP二氧化碳排放降低(%)</w:t>
            </w:r>
          </w:p>
        </w:tc>
        <w:tc>
          <w:tcPr>
            <w:tcW w:w="497" w:type="pct"/>
            <w:tcMar>
              <w:left w:w="28" w:type="dxa"/>
              <w:right w:w="28" w:type="dxa"/>
            </w:tcMar>
            <w:vAlign w:val="center"/>
          </w:tcPr>
          <w:p w14:paraId="574CE2EB">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535" w:type="pct"/>
            <w:vMerge w:val="continue"/>
            <w:tcMar>
              <w:left w:w="28" w:type="dxa"/>
              <w:right w:w="28" w:type="dxa"/>
            </w:tcMar>
            <w:vAlign w:val="center"/>
          </w:tcPr>
          <w:p w14:paraId="16713F07">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p>
        </w:tc>
        <w:tc>
          <w:tcPr>
            <w:tcW w:w="733" w:type="pct"/>
            <w:tcMar>
              <w:left w:w="28" w:type="dxa"/>
              <w:right w:w="28" w:type="dxa"/>
            </w:tcMar>
            <w:vAlign w:val="center"/>
          </w:tcPr>
          <w:p w14:paraId="1932B574">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eastAsia="zh-CN"/>
              </w:rPr>
              <w:t>—</w:t>
            </w:r>
          </w:p>
        </w:tc>
        <w:tc>
          <w:tcPr>
            <w:tcW w:w="536" w:type="pct"/>
            <w:tcMar>
              <w:left w:w="28" w:type="dxa"/>
              <w:right w:w="28" w:type="dxa"/>
            </w:tcMar>
            <w:vAlign w:val="center"/>
          </w:tcPr>
          <w:p w14:paraId="50F944FF">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约束性</w:t>
            </w:r>
          </w:p>
        </w:tc>
      </w:tr>
      <w:tr w14:paraId="0003EAAB">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8" w:type="pct"/>
            <w:vMerge w:val="continue"/>
            <w:vAlign w:val="center"/>
          </w:tcPr>
          <w:p w14:paraId="45E9F15B">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p>
        </w:tc>
        <w:tc>
          <w:tcPr>
            <w:tcW w:w="361" w:type="pct"/>
            <w:tcMar>
              <w:left w:w="28" w:type="dxa"/>
              <w:right w:w="28" w:type="dxa"/>
            </w:tcMar>
            <w:vAlign w:val="center"/>
          </w:tcPr>
          <w:p w14:paraId="32345323">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rPr>
              <w:t>1</w:t>
            </w:r>
            <w:r>
              <w:rPr>
                <w:rFonts w:hint="eastAsia" w:ascii="楷体_GB2312" w:hAnsi="楷体_GB2312" w:eastAsia="楷体_GB2312" w:cs="楷体_GB2312"/>
                <w:color w:val="000000"/>
                <w:kern w:val="2"/>
                <w:sz w:val="24"/>
                <w:szCs w:val="24"/>
                <w:lang w:val="en-US" w:eastAsia="zh-CN"/>
              </w:rPr>
              <w:t>3</w:t>
            </w:r>
          </w:p>
        </w:tc>
        <w:tc>
          <w:tcPr>
            <w:tcW w:w="1946" w:type="pct"/>
            <w:gridSpan w:val="2"/>
            <w:tcMar>
              <w:left w:w="28" w:type="dxa"/>
              <w:right w:w="28" w:type="dxa"/>
            </w:tcMar>
            <w:vAlign w:val="center"/>
          </w:tcPr>
          <w:p w14:paraId="30FB5D9F">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spacing w:val="-28"/>
                <w:kern w:val="2"/>
                <w:sz w:val="24"/>
                <w:szCs w:val="24"/>
                <w:lang w:eastAsia="zh-CN"/>
              </w:rPr>
              <w:t>城市细颗粒物（</w:t>
            </w:r>
            <w:r>
              <w:rPr>
                <w:rFonts w:hint="eastAsia" w:ascii="楷体_GB2312" w:hAnsi="楷体_GB2312" w:eastAsia="楷体_GB2312" w:cs="楷体_GB2312"/>
                <w:color w:val="000000"/>
                <w:spacing w:val="-28"/>
                <w:kern w:val="2"/>
                <w:sz w:val="24"/>
                <w:szCs w:val="24"/>
                <w:lang w:val="en-US" w:eastAsia="zh-CN"/>
              </w:rPr>
              <w:t>PM2.5</w:t>
            </w:r>
            <w:r>
              <w:rPr>
                <w:rFonts w:hint="eastAsia" w:ascii="楷体_GB2312" w:hAnsi="楷体_GB2312" w:eastAsia="楷体_GB2312" w:cs="楷体_GB2312"/>
                <w:color w:val="000000"/>
                <w:spacing w:val="-28"/>
                <w:kern w:val="2"/>
                <w:sz w:val="24"/>
                <w:szCs w:val="24"/>
                <w:lang w:eastAsia="zh-CN"/>
              </w:rPr>
              <w:t>）浓度</w:t>
            </w:r>
            <w:r>
              <w:rPr>
                <w:rFonts w:hint="eastAsia" w:ascii="楷体_GB2312" w:hAnsi="楷体_GB2312" w:eastAsia="楷体_GB2312" w:cs="楷体_GB2312"/>
                <w:color w:val="000000"/>
                <w:spacing w:val="-28"/>
                <w:kern w:val="2"/>
                <w:sz w:val="24"/>
                <w:szCs w:val="24"/>
              </w:rPr>
              <w:t>（</w:t>
            </w:r>
            <w:r>
              <w:rPr>
                <w:rFonts w:hint="eastAsia" w:ascii="楷体_GB2312" w:hAnsi="楷体_GB2312" w:eastAsia="楷体_GB2312" w:cs="楷体_GB2312"/>
                <w:color w:val="000000"/>
                <w:spacing w:val="-28"/>
                <w:kern w:val="2"/>
                <w:sz w:val="24"/>
                <w:szCs w:val="24"/>
                <w:lang w:eastAsia="zh-CN"/>
              </w:rPr>
              <w:t>微克</w:t>
            </w:r>
            <w:r>
              <w:rPr>
                <w:rFonts w:hint="eastAsia" w:ascii="楷体_GB2312" w:hAnsi="楷体_GB2312" w:eastAsia="楷体_GB2312" w:cs="楷体_GB2312"/>
                <w:color w:val="000000"/>
                <w:spacing w:val="-28"/>
                <w:kern w:val="2"/>
                <w:sz w:val="24"/>
                <w:szCs w:val="24"/>
                <w:lang w:val="en-US" w:eastAsia="zh-CN"/>
              </w:rPr>
              <w:t>/立方米</w:t>
            </w:r>
            <w:r>
              <w:rPr>
                <w:rFonts w:hint="eastAsia" w:ascii="楷体_GB2312" w:hAnsi="楷体_GB2312" w:eastAsia="楷体_GB2312" w:cs="楷体_GB2312"/>
                <w:color w:val="000000"/>
                <w:spacing w:val="-28"/>
                <w:kern w:val="2"/>
                <w:sz w:val="24"/>
                <w:szCs w:val="24"/>
              </w:rPr>
              <w:t>）</w:t>
            </w:r>
          </w:p>
        </w:tc>
        <w:tc>
          <w:tcPr>
            <w:tcW w:w="497" w:type="pct"/>
            <w:tcMar>
              <w:left w:w="28" w:type="dxa"/>
              <w:right w:w="28" w:type="dxa"/>
            </w:tcMar>
            <w:vAlign w:val="center"/>
          </w:tcPr>
          <w:p w14:paraId="73566218">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rPr>
            </w:pPr>
            <w:r>
              <w:rPr>
                <w:rFonts w:hint="eastAsia" w:ascii="楷体_GB2312" w:hAnsi="楷体_GB2312" w:eastAsia="楷体_GB2312" w:cs="楷体_GB2312"/>
                <w:color w:val="000000"/>
                <w:kern w:val="2"/>
                <w:sz w:val="24"/>
                <w:szCs w:val="24"/>
                <w:lang w:val="en-US" w:eastAsia="zh-CN"/>
              </w:rPr>
              <w:t>32</w:t>
            </w:r>
          </w:p>
        </w:tc>
        <w:tc>
          <w:tcPr>
            <w:tcW w:w="535" w:type="pct"/>
            <w:vMerge w:val="continue"/>
            <w:tcMar>
              <w:left w:w="28" w:type="dxa"/>
              <w:right w:w="28" w:type="dxa"/>
            </w:tcMar>
            <w:vAlign w:val="center"/>
          </w:tcPr>
          <w:p w14:paraId="16715A12">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p>
        </w:tc>
        <w:tc>
          <w:tcPr>
            <w:tcW w:w="733" w:type="pct"/>
            <w:tcMar>
              <w:left w:w="28" w:type="dxa"/>
              <w:right w:w="28" w:type="dxa"/>
            </w:tcMar>
            <w:vAlign w:val="center"/>
          </w:tcPr>
          <w:p w14:paraId="713CE087">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w:t>
            </w:r>
          </w:p>
        </w:tc>
        <w:tc>
          <w:tcPr>
            <w:tcW w:w="536" w:type="pct"/>
            <w:tcMar>
              <w:left w:w="28" w:type="dxa"/>
              <w:right w:w="28" w:type="dxa"/>
            </w:tcMar>
            <w:vAlign w:val="center"/>
          </w:tcPr>
          <w:p w14:paraId="63845E2F">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rPr>
              <w:t>约束性</w:t>
            </w:r>
          </w:p>
        </w:tc>
      </w:tr>
      <w:tr w14:paraId="36E59475">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388" w:type="pct"/>
            <w:vMerge w:val="continue"/>
            <w:vAlign w:val="center"/>
          </w:tcPr>
          <w:p w14:paraId="7FA60C28">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p>
        </w:tc>
        <w:tc>
          <w:tcPr>
            <w:tcW w:w="361" w:type="pct"/>
            <w:tcMar>
              <w:left w:w="28" w:type="dxa"/>
              <w:right w:w="28" w:type="dxa"/>
            </w:tcMar>
            <w:vAlign w:val="center"/>
          </w:tcPr>
          <w:p w14:paraId="24BCB523">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rPr>
              <w:t>1</w:t>
            </w:r>
            <w:r>
              <w:rPr>
                <w:rFonts w:hint="eastAsia" w:ascii="楷体_GB2312" w:hAnsi="楷体_GB2312" w:eastAsia="楷体_GB2312" w:cs="楷体_GB2312"/>
                <w:color w:val="000000"/>
                <w:kern w:val="2"/>
                <w:sz w:val="24"/>
                <w:szCs w:val="24"/>
                <w:lang w:val="en-US" w:eastAsia="zh-CN"/>
              </w:rPr>
              <w:t>4</w:t>
            </w:r>
          </w:p>
        </w:tc>
        <w:tc>
          <w:tcPr>
            <w:tcW w:w="1946" w:type="pct"/>
            <w:gridSpan w:val="2"/>
            <w:tcMar>
              <w:left w:w="28" w:type="dxa"/>
              <w:right w:w="28" w:type="dxa"/>
            </w:tcMar>
            <w:vAlign w:val="center"/>
          </w:tcPr>
          <w:p w14:paraId="0095DCFB">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eastAsia="zh-CN"/>
              </w:rPr>
              <w:t>优良水体比例</w:t>
            </w:r>
            <w:r>
              <w:rPr>
                <w:rFonts w:hint="eastAsia" w:ascii="楷体_GB2312" w:hAnsi="楷体_GB2312" w:eastAsia="楷体_GB2312" w:cs="楷体_GB2312"/>
                <w:color w:val="000000"/>
                <w:kern w:val="2"/>
                <w:sz w:val="24"/>
                <w:szCs w:val="24"/>
              </w:rPr>
              <w:t>（%）</w:t>
            </w:r>
          </w:p>
        </w:tc>
        <w:tc>
          <w:tcPr>
            <w:tcW w:w="497" w:type="pct"/>
            <w:tcMar>
              <w:left w:w="28" w:type="dxa"/>
              <w:right w:w="28" w:type="dxa"/>
            </w:tcMar>
            <w:vAlign w:val="center"/>
          </w:tcPr>
          <w:p w14:paraId="21AA658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100</w:t>
            </w:r>
          </w:p>
        </w:tc>
        <w:tc>
          <w:tcPr>
            <w:tcW w:w="535" w:type="pct"/>
            <w:vMerge w:val="continue"/>
            <w:tcMar>
              <w:left w:w="28" w:type="dxa"/>
              <w:right w:w="28" w:type="dxa"/>
            </w:tcMar>
            <w:vAlign w:val="center"/>
          </w:tcPr>
          <w:p w14:paraId="413D6B89">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p>
        </w:tc>
        <w:tc>
          <w:tcPr>
            <w:tcW w:w="733" w:type="pct"/>
            <w:tcMar>
              <w:left w:w="28" w:type="dxa"/>
              <w:right w:w="28" w:type="dxa"/>
            </w:tcMar>
            <w:vAlign w:val="center"/>
          </w:tcPr>
          <w:p w14:paraId="774F078E">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eastAsia="zh-CN"/>
              </w:rPr>
              <w:t>—</w:t>
            </w:r>
          </w:p>
        </w:tc>
        <w:tc>
          <w:tcPr>
            <w:tcW w:w="536" w:type="pct"/>
            <w:tcMar>
              <w:left w:w="28" w:type="dxa"/>
              <w:right w:w="28" w:type="dxa"/>
            </w:tcMar>
            <w:vAlign w:val="center"/>
          </w:tcPr>
          <w:p w14:paraId="78C2C222">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color w:val="000000"/>
                <w:kern w:val="2"/>
                <w:sz w:val="24"/>
                <w:szCs w:val="24"/>
                <w:lang w:val="en-US" w:eastAsia="zh-CN"/>
              </w:rPr>
              <w:t>约束性</w:t>
            </w:r>
          </w:p>
        </w:tc>
      </w:tr>
      <w:tr w14:paraId="18BC833B">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8" w:type="pct"/>
            <w:vAlign w:val="center"/>
          </w:tcPr>
          <w:p w14:paraId="02FCBE01">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安全</w:t>
            </w:r>
          </w:p>
          <w:p w14:paraId="3EA4CB76">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保障</w:t>
            </w:r>
          </w:p>
        </w:tc>
        <w:tc>
          <w:tcPr>
            <w:tcW w:w="361" w:type="pct"/>
            <w:tcMar>
              <w:left w:w="28" w:type="dxa"/>
              <w:right w:w="28" w:type="dxa"/>
            </w:tcMar>
            <w:vAlign w:val="center"/>
          </w:tcPr>
          <w:p w14:paraId="6D7244E7">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rPr>
              <w:t>1</w:t>
            </w:r>
            <w:r>
              <w:rPr>
                <w:rFonts w:hint="eastAsia" w:ascii="楷体_GB2312" w:hAnsi="楷体_GB2312" w:eastAsia="楷体_GB2312" w:cs="楷体_GB2312"/>
                <w:color w:val="000000"/>
                <w:kern w:val="2"/>
                <w:sz w:val="24"/>
                <w:szCs w:val="24"/>
                <w:lang w:val="en-US" w:eastAsia="zh-CN"/>
              </w:rPr>
              <w:t>5</w:t>
            </w:r>
          </w:p>
        </w:tc>
        <w:tc>
          <w:tcPr>
            <w:tcW w:w="1946" w:type="pct"/>
            <w:gridSpan w:val="2"/>
            <w:shd w:val="clear" w:color="auto" w:fill="auto"/>
            <w:tcMar>
              <w:left w:w="28" w:type="dxa"/>
              <w:right w:w="28" w:type="dxa"/>
            </w:tcMar>
            <w:vAlign w:val="center"/>
          </w:tcPr>
          <w:p w14:paraId="750E2367">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kern w:val="2"/>
                <w:sz w:val="24"/>
                <w:szCs w:val="24"/>
                <w:lang w:bidi="ar"/>
              </w:rPr>
              <w:t>粮食综合生产能力（万吨）</w:t>
            </w:r>
          </w:p>
        </w:tc>
        <w:tc>
          <w:tcPr>
            <w:tcW w:w="497" w:type="pct"/>
            <w:shd w:val="clear" w:color="auto" w:fill="auto"/>
            <w:tcMar>
              <w:left w:w="28" w:type="dxa"/>
              <w:right w:w="28" w:type="dxa"/>
            </w:tcMar>
            <w:vAlign w:val="center"/>
          </w:tcPr>
          <w:p w14:paraId="13A8A50E">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kern w:val="2"/>
                <w:sz w:val="24"/>
                <w:szCs w:val="24"/>
                <w:lang w:val="en-US" w:eastAsia="zh-CN" w:bidi="ar"/>
              </w:rPr>
              <w:t>7.2</w:t>
            </w:r>
          </w:p>
        </w:tc>
        <w:tc>
          <w:tcPr>
            <w:tcW w:w="535" w:type="pct"/>
            <w:shd w:val="clear" w:color="auto" w:fill="auto"/>
            <w:tcMar>
              <w:left w:w="28" w:type="dxa"/>
              <w:right w:w="28" w:type="dxa"/>
            </w:tcMar>
            <w:vAlign w:val="center"/>
          </w:tcPr>
          <w:p w14:paraId="165F8AC8">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jc w:val="center"/>
              <w:textAlignment w:val="baseline"/>
              <w:rPr>
                <w:rFonts w:hint="default" w:ascii="楷体_GB2312" w:hAnsi="楷体_GB2312" w:eastAsia="楷体_GB2312" w:cs="楷体_GB2312"/>
                <w:color w:val="000000"/>
                <w:kern w:val="2"/>
                <w:sz w:val="24"/>
                <w:szCs w:val="24"/>
                <w:lang w:val="en-US" w:eastAsia="zh-CN"/>
              </w:rPr>
            </w:pPr>
            <w:r>
              <w:rPr>
                <w:rFonts w:hint="eastAsia" w:ascii="楷体_GB2312" w:hAnsi="楷体_GB2312" w:eastAsia="楷体_GB2312" w:cs="楷体_GB2312"/>
                <w:color w:val="000000"/>
                <w:kern w:val="2"/>
                <w:sz w:val="24"/>
                <w:szCs w:val="24"/>
                <w:lang w:val="en-US" w:eastAsia="zh-CN"/>
              </w:rPr>
              <w:t>7.67</w:t>
            </w:r>
          </w:p>
        </w:tc>
        <w:tc>
          <w:tcPr>
            <w:tcW w:w="733" w:type="pct"/>
            <w:shd w:val="clear" w:color="auto" w:fill="auto"/>
            <w:tcMar>
              <w:left w:w="28" w:type="dxa"/>
              <w:right w:w="28" w:type="dxa"/>
            </w:tcMar>
            <w:vAlign w:val="center"/>
          </w:tcPr>
          <w:p w14:paraId="2482C963">
            <w:pPr>
              <w:keepNext w:val="0"/>
              <w:keepLines w:val="0"/>
              <w:pageBreakBefore w:val="0"/>
              <w:widowControl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lang w:eastAsia="zh-CN"/>
              </w:rPr>
            </w:pPr>
            <w:r>
              <w:rPr>
                <w:rFonts w:hint="eastAsia" w:ascii="楷体_GB2312" w:hAnsi="楷体_GB2312" w:eastAsia="楷体_GB2312" w:cs="楷体_GB2312"/>
                <w:color w:val="000000"/>
                <w:kern w:val="2"/>
                <w:sz w:val="24"/>
                <w:szCs w:val="24"/>
                <w:lang w:eastAsia="zh-CN"/>
              </w:rPr>
              <w:t>—</w:t>
            </w:r>
          </w:p>
        </w:tc>
        <w:tc>
          <w:tcPr>
            <w:tcW w:w="536" w:type="pct"/>
            <w:shd w:val="clear" w:color="auto" w:fill="auto"/>
            <w:tcMar>
              <w:left w:w="28" w:type="dxa"/>
              <w:right w:w="28" w:type="dxa"/>
            </w:tcMar>
            <w:vAlign w:val="center"/>
          </w:tcPr>
          <w:p w14:paraId="700B59E4">
            <w:pPr>
              <w:keepNext w:val="0"/>
              <w:keepLines w:val="0"/>
              <w:pageBreakBefore w:val="0"/>
              <w:kinsoku/>
              <w:wordWrap/>
              <w:overflowPunct w:val="0"/>
              <w:topLinePunct w:val="0"/>
              <w:autoSpaceDE/>
              <w:autoSpaceDN/>
              <w:bidi w:val="0"/>
              <w:adjustRightInd w:val="0"/>
              <w:snapToGrid w:val="0"/>
              <w:spacing w:line="320" w:lineRule="exact"/>
              <w:ind w:firstLine="0" w:firstLineChars="0"/>
              <w:jc w:val="center"/>
              <w:textAlignment w:val="baseline"/>
              <w:rPr>
                <w:rFonts w:hint="eastAsia" w:ascii="楷体_GB2312" w:hAnsi="楷体_GB2312" w:eastAsia="楷体_GB2312" w:cs="楷体_GB2312"/>
                <w:color w:val="000000"/>
                <w:kern w:val="2"/>
                <w:sz w:val="24"/>
                <w:szCs w:val="24"/>
              </w:rPr>
            </w:pPr>
            <w:r>
              <w:rPr>
                <w:rFonts w:hint="eastAsia" w:ascii="楷体_GB2312" w:hAnsi="楷体_GB2312" w:eastAsia="楷体_GB2312" w:cs="楷体_GB2312"/>
                <w:kern w:val="2"/>
                <w:sz w:val="24"/>
                <w:szCs w:val="24"/>
                <w:lang w:bidi="ar"/>
              </w:rPr>
              <w:t>约束性</w:t>
            </w:r>
          </w:p>
        </w:tc>
      </w:tr>
    </w:tbl>
    <w:p w14:paraId="68AD3591">
      <w:pPr>
        <w:pStyle w:val="3"/>
        <w:keepNext w:val="0"/>
        <w:keepLines w:val="0"/>
        <w:pageBreakBefore w:val="0"/>
        <w:widowControl w:val="0"/>
        <w:kinsoku/>
        <w:wordWrap/>
        <w:overflowPunct w:val="0"/>
        <w:topLinePunct w:val="0"/>
        <w:autoSpaceDE/>
        <w:autoSpaceDN/>
        <w:bidi w:val="0"/>
        <w:adjustRightInd w:val="0"/>
        <w:snapToGrid w:val="0"/>
        <w:spacing w:line="400" w:lineRule="exact"/>
        <w:ind w:left="0" w:leftChars="0" w:firstLine="0" w:firstLineChars="0"/>
        <w:textAlignment w:val="auto"/>
        <w:rPr>
          <w:rFonts w:hint="eastAsia" w:ascii="楷体_GB2312" w:hAnsi="楷体_GB2312" w:eastAsia="楷体_GB2312" w:cs="楷体_GB2312"/>
          <w:color w:val="000000" w:themeColor="text1"/>
          <w:sz w:val="24"/>
          <w:szCs w:val="24"/>
          <w:lang w:val="en-US" w:eastAsia="zh-CN"/>
          <w14:textFill>
            <w14:solidFill>
              <w14:schemeClr w14:val="tx1"/>
            </w14:solidFill>
          </w14:textFill>
        </w:rPr>
      </w:pPr>
      <w:r>
        <w:rPr>
          <w:rFonts w:hint="eastAsia" w:ascii="楷体_GB2312" w:hAnsi="楷体_GB2312" w:eastAsia="楷体_GB2312" w:cs="楷体_GB2312"/>
          <w:color w:val="000000" w:themeColor="text1"/>
          <w:sz w:val="24"/>
          <w:szCs w:val="24"/>
          <w:lang w:val="en-US" w:eastAsia="zh-CN"/>
          <w14:textFill>
            <w14:solidFill>
              <w14:schemeClr w14:val="tx1"/>
            </w14:solidFill>
          </w14:textFill>
        </w:rPr>
        <w:t>注: ①“〔〕”内为5年累计数。</w:t>
      </w:r>
    </w:p>
    <w:p w14:paraId="430632E2">
      <w:pPr>
        <w:pStyle w:val="3"/>
        <w:keepNext w:val="0"/>
        <w:keepLines w:val="0"/>
        <w:pageBreakBefore w:val="0"/>
        <w:widowControl w:val="0"/>
        <w:kinsoku/>
        <w:wordWrap/>
        <w:overflowPunct w:val="0"/>
        <w:topLinePunct w:val="0"/>
        <w:autoSpaceDE/>
        <w:autoSpaceDN/>
        <w:bidi w:val="0"/>
        <w:adjustRightInd w:val="0"/>
        <w:snapToGrid w:val="0"/>
        <w:spacing w:line="400" w:lineRule="exact"/>
        <w:ind w:left="0" w:leftChars="0" w:firstLine="472" w:firstLineChars="200"/>
        <w:textAlignment w:val="auto"/>
        <w:rPr>
          <w:rFonts w:hint="eastAsia" w:ascii="楷体_GB2312" w:hAnsi="楷体_GB2312" w:eastAsia="楷体_GB2312" w:cs="楷体_GB2312"/>
          <w:color w:val="000000" w:themeColor="text1"/>
          <w:sz w:val="24"/>
          <w:szCs w:val="24"/>
          <w:lang w:val="en-US" w:eastAsia="zh-CN"/>
          <w14:textFill>
            <w14:solidFill>
              <w14:schemeClr w14:val="tx1"/>
            </w14:solidFill>
          </w14:textFill>
        </w:rPr>
      </w:pPr>
      <w:r>
        <w:rPr>
          <w:rFonts w:hint="eastAsia" w:ascii="楷体_GB2312" w:hAnsi="楷体_GB2312" w:eastAsia="楷体_GB2312" w:cs="楷体_GB2312"/>
          <w:color w:val="000000" w:themeColor="text1"/>
          <w:sz w:val="24"/>
          <w:szCs w:val="24"/>
          <w:lang w:val="en-US" w:eastAsia="zh-CN"/>
          <w14:textFill>
            <w14:solidFill>
              <w14:schemeClr w14:val="tx1"/>
            </w14:solidFill>
          </w14:textFill>
        </w:rPr>
        <w:t>②标“*”为2024年数据。</w:t>
      </w:r>
    </w:p>
    <w:p w14:paraId="24B5FACC">
      <w:pPr>
        <w:pStyle w:val="3"/>
        <w:keepNext w:val="0"/>
        <w:keepLines w:val="0"/>
        <w:pageBreakBefore w:val="0"/>
        <w:widowControl w:val="0"/>
        <w:kinsoku/>
        <w:wordWrap/>
        <w:overflowPunct w:val="0"/>
        <w:topLinePunct w:val="0"/>
        <w:autoSpaceDE/>
        <w:autoSpaceDN/>
        <w:bidi w:val="0"/>
        <w:adjustRightInd w:val="0"/>
        <w:snapToGrid w:val="0"/>
        <w:spacing w:line="400" w:lineRule="exact"/>
        <w:ind w:left="0" w:leftChars="0" w:firstLine="472" w:firstLineChars="200"/>
        <w:textAlignment w:val="auto"/>
        <w:rPr>
          <w:rFonts w:hint="eastAsia" w:ascii="楷体_GB2312" w:hAnsi="楷体_GB2312" w:eastAsia="楷体_GB2312" w:cs="楷体_GB2312"/>
          <w:lang w:val="en-US" w:eastAsia="zh-CN"/>
        </w:rPr>
      </w:pPr>
      <w:r>
        <w:rPr>
          <w:rFonts w:hint="eastAsia" w:ascii="楷体_GB2312" w:hAnsi="楷体_GB2312" w:eastAsia="楷体_GB2312" w:cs="楷体_GB2312"/>
          <w:color w:val="000000" w:themeColor="text1"/>
          <w:sz w:val="24"/>
          <w:szCs w:val="24"/>
          <w:lang w:val="en-US" w:eastAsia="zh-CN"/>
          <w14:textFill>
            <w14:solidFill>
              <w14:schemeClr w14:val="tx1"/>
            </w14:solidFill>
          </w14:textFill>
        </w:rPr>
        <w:t>③全社会研发经费投入增速按不变价格计算。</w:t>
      </w:r>
    </w:p>
    <w:p w14:paraId="72B5EB0D">
      <w:pPr>
        <w:spacing w:line="412" w:lineRule="exact"/>
        <w:ind w:left="398" w:leftChars="126" w:firstLine="0" w:firstLineChars="0"/>
        <w:rPr>
          <w:rFonts w:hint="default" w:ascii="宋体" w:hAnsi="宋体" w:eastAsia="楷体_GB2312" w:cs="楷体_GB2312"/>
          <w:color w:val="000000" w:themeColor="text1"/>
          <w:spacing w:val="0"/>
          <w:sz w:val="22"/>
          <w:szCs w:val="22"/>
          <w:lang w:val="en-US" w:eastAsia="zh-CN"/>
          <w14:textFill>
            <w14:solidFill>
              <w14:schemeClr w14:val="tx1"/>
            </w14:solidFill>
          </w14:textFill>
        </w:rPr>
        <w:sectPr>
          <w:footerReference r:id="rId7" w:type="default"/>
          <w:pgSz w:w="11906" w:h="16838"/>
          <w:pgMar w:top="1984" w:right="1531" w:bottom="1814" w:left="1531" w:header="850" w:footer="1361" w:gutter="0"/>
          <w:pgNumType w:fmt="decimal" w:start="1"/>
          <w:cols w:space="720" w:num="1"/>
          <w:rtlGutter w:val="0"/>
          <w:docGrid w:type="linesAndChars" w:linePitch="592" w:charSpace="-849"/>
        </w:sectPr>
      </w:pPr>
    </w:p>
    <w:p w14:paraId="31DBE276">
      <w:pPr>
        <w:pStyle w:val="2"/>
        <w:keepNext/>
        <w:keepLines w:val="0"/>
        <w:pageBreakBefore w:val="0"/>
        <w:widowControl w:val="0"/>
        <w:kinsoku/>
        <w:wordWrap/>
        <w:overflowPunct w:val="0"/>
        <w:topLinePunct w:val="0"/>
        <w:autoSpaceDE/>
        <w:autoSpaceDN/>
        <w:bidi w:val="0"/>
        <w:adjustRightInd w:val="0"/>
        <w:snapToGrid w:val="0"/>
        <w:spacing w:before="313" w:beforeLines="100" w:after="313" w:afterLines="100" w:line="580" w:lineRule="exact"/>
        <w:ind w:left="0" w:leftChars="0" w:firstLine="0" w:firstLineChars="0"/>
        <w:jc w:val="center"/>
        <w:textAlignment w:val="auto"/>
        <w:rPr>
          <w:rFonts w:hint="default" w:ascii="方正小标宋简体" w:hAnsi="方正小标宋简体" w:eastAsia="方正小标宋简体" w:cs="方正小标宋简体"/>
          <w:b w:val="0"/>
          <w:bCs w:val="0"/>
          <w:spacing w:val="-6"/>
          <w:kern w:val="2"/>
          <w:sz w:val="32"/>
          <w:szCs w:val="32"/>
          <w:u w:val="none"/>
          <w:lang w:val="en-US" w:eastAsia="zh-CN"/>
        </w:rPr>
      </w:pPr>
      <w:bookmarkStart w:id="24" w:name="_Toc1015282549"/>
      <w:r>
        <w:rPr>
          <w:rFonts w:hint="eastAsia" w:ascii="方正小标宋简体" w:hAnsi="方正小标宋简体" w:eastAsia="方正小标宋简体" w:cs="方正小标宋简体"/>
          <w:b w:val="0"/>
          <w:bCs w:val="0"/>
          <w:spacing w:val="-6"/>
          <w:kern w:val="2"/>
          <w:sz w:val="32"/>
          <w:szCs w:val="32"/>
          <w:u w:val="none"/>
          <w:lang w:val="en-US" w:eastAsia="zh-CN"/>
        </w:rPr>
        <w:t>第二章 加快构建现代产业体系</w:t>
      </w:r>
      <w:bookmarkEnd w:id="24"/>
    </w:p>
    <w:p w14:paraId="4AAE7D1B">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坚持把发展经济的着力点放在实体经济上，坚持智能化、绿色化、融合化方向，大力推进新型工业化，优化提升传统产业，培育壮大新兴产业，推动商贸产业转型升级，促进现代服务业优质高效发展，加快构建以先进制造业为骨干的现代化产业体系。</w:t>
      </w:r>
    </w:p>
    <w:p w14:paraId="0C6D1400">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ascii="楷体_GB2312" w:hAnsi="楷体_GB2312" w:eastAsia="楷体_GB2312" w:cs="楷体_GB2312"/>
          <w:b w:val="0"/>
          <w:bCs w:val="0"/>
          <w:sz w:val="32"/>
          <w:szCs w:val="32"/>
          <w:u w:val="none"/>
          <w:lang w:val="en-US" w:eastAsia="zh-CN"/>
        </w:rPr>
      </w:pPr>
      <w:bookmarkStart w:id="25" w:name="_Toc608688467"/>
      <w:r>
        <w:rPr>
          <w:rFonts w:hint="eastAsia" w:ascii="楷体_GB2312" w:hAnsi="楷体_GB2312" w:eastAsia="楷体_GB2312" w:cs="楷体_GB2312"/>
          <w:b w:val="0"/>
          <w:bCs w:val="0"/>
          <w:sz w:val="32"/>
          <w:szCs w:val="32"/>
          <w:u w:val="none"/>
          <w:lang w:val="en-US" w:eastAsia="zh-CN"/>
        </w:rPr>
        <w:t xml:space="preserve">第一节  </w:t>
      </w:r>
      <w:r>
        <w:rPr>
          <w:rFonts w:hint="eastAsia" w:ascii="楷体_GB2312" w:hAnsi="楷体_GB2312" w:eastAsia="楷体_GB2312" w:cs="楷体_GB2312"/>
          <w:color w:val="000000"/>
          <w:sz w:val="32"/>
          <w:szCs w:val="32"/>
        </w:rPr>
        <w:t>推进工业强区建设</w:t>
      </w:r>
      <w:bookmarkEnd w:id="25"/>
    </w:p>
    <w:p w14:paraId="1FAB0CFE">
      <w:pPr>
        <w:keepNext w:val="0"/>
        <w:keepLines w:val="0"/>
        <w:pageBreakBefore w:val="0"/>
        <w:widowControl/>
        <w:suppressLineNumbers w:val="0"/>
        <w:kinsoku/>
        <w:wordWrap/>
        <w:overflowPunct w:val="0"/>
        <w:topLinePunct w:val="0"/>
        <w:autoSpaceDE/>
        <w:autoSpaceDN/>
        <w:bidi w:val="0"/>
        <w:adjustRightInd w:val="0"/>
        <w:snapToGrid w:val="0"/>
        <w:spacing w:line="580" w:lineRule="exact"/>
        <w:jc w:val="left"/>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实施工业发展倍增计划，</w:t>
      </w:r>
      <w:r>
        <w:rPr>
          <w:rFonts w:hint="eastAsia" w:ascii="仿宋_GB2312" w:hAnsi="仿宋_GB2312" w:eastAsia="仿宋_GB2312" w:cs="仿宋_GB2312"/>
          <w:color w:val="000000"/>
          <w:sz w:val="32"/>
          <w:szCs w:val="32"/>
          <w:highlight w:val="none"/>
        </w:rPr>
        <w:t>加快培育“3+2”主导产业链，</w:t>
      </w:r>
      <w:r>
        <w:rPr>
          <w:rFonts w:hint="eastAsia" w:ascii="仿宋_GB2312" w:hAnsi="仿宋_GB2312" w:eastAsia="仿宋_GB2312" w:cs="仿宋_GB2312"/>
          <w:color w:val="000000"/>
          <w:sz w:val="32"/>
          <w:szCs w:val="32"/>
        </w:rPr>
        <w:t>推动规上工业产值实现倍增</w:t>
      </w:r>
      <w:r>
        <w:rPr>
          <w:rFonts w:hint="eastAsia" w:cs="仿宋_GB2312"/>
          <w:color w:val="000000"/>
          <w:sz w:val="32"/>
          <w:szCs w:val="32"/>
          <w:lang w:eastAsia="zh-CN"/>
        </w:rPr>
        <w:t>，</w:t>
      </w:r>
      <w:r>
        <w:rPr>
          <w:rFonts w:hint="eastAsia" w:ascii="仿宋_GB2312" w:hAnsi="仿宋_GB2312" w:eastAsia="仿宋_GB2312" w:cs="仿宋_GB2312"/>
          <w:color w:val="000000"/>
          <w:sz w:val="32"/>
          <w:szCs w:val="32"/>
        </w:rPr>
        <w:t>充分发挥济南新材料产业园区主阵地作用，持续抓好产业项目谋划建设，围绕产业链上下游环节开展精准招商，强化项目支撑赋能产业发展。完善优质企业梯度培育机制，实施链主企业培育工程、中小企业提质行动，提升企业增资扩产和技改水平，加快构建“龙头引领、骨干支撑、小微蓬勃”的发展格局。</w:t>
      </w:r>
    </w:p>
    <w:p w14:paraId="72348E00">
      <w:pPr>
        <w:keepNext w:val="0"/>
        <w:keepLines w:val="0"/>
        <w:pageBreakBefore w:val="0"/>
        <w:widowControl w:val="0"/>
        <w:kinsoku/>
        <w:wordWrap/>
        <w:overflowPunct w:val="0"/>
        <w:topLinePunct w:val="0"/>
        <w:autoSpaceDE/>
        <w:autoSpaceDN/>
        <w:bidi w:val="0"/>
        <w:adjustRightInd w:val="0"/>
        <w:snapToGrid w:val="0"/>
        <w:spacing w:afterAutospacing="0" w:line="580" w:lineRule="exact"/>
        <w:ind w:left="0" w:leftChars="0" w:firstLine="643" w:firstLineChars="200"/>
        <w:jc w:val="both"/>
        <w:textAlignment w:val="auto"/>
        <w:outlineLvl w:val="9"/>
        <w:rPr>
          <w:rFonts w:hint="eastAsia"/>
          <w:b w:val="0"/>
          <w:bCs w:val="0"/>
          <w:color w:val="auto"/>
          <w:kern w:val="0"/>
          <w:sz w:val="32"/>
          <w:szCs w:val="32"/>
          <w:u w:val="none"/>
          <w:lang w:val="en-US" w:eastAsia="zh-CN"/>
        </w:rPr>
      </w:pPr>
      <w:r>
        <w:rPr>
          <w:rFonts w:hint="eastAsia"/>
          <w:b/>
          <w:bCs/>
          <w:color w:val="auto"/>
          <w:kern w:val="0"/>
          <w:sz w:val="32"/>
          <w:szCs w:val="32"/>
          <w:u w:val="none"/>
          <w:lang w:val="en-US" w:eastAsia="zh-CN"/>
        </w:rPr>
        <w:t>做强三大主导产业。新能源装备产业，</w:t>
      </w:r>
      <w:r>
        <w:rPr>
          <w:rFonts w:hint="eastAsia"/>
          <w:b w:val="0"/>
          <w:bCs w:val="0"/>
          <w:color w:val="auto"/>
          <w:kern w:val="0"/>
          <w:sz w:val="32"/>
          <w:szCs w:val="32"/>
          <w:u w:val="none"/>
          <w:lang w:val="en-US" w:eastAsia="zh-CN"/>
        </w:rPr>
        <w:t>以辖区优质电力企业为基础，谋划建设新电智造装备园，重点引进大型电力装备制造企业，构建智能电力装备集群。</w:t>
      </w:r>
      <w:r>
        <w:rPr>
          <w:rFonts w:hint="eastAsia" w:ascii="仿宋_GB2312" w:eastAsia="仿宋_GB2312"/>
          <w:sz w:val="32"/>
          <w:szCs w:val="32"/>
        </w:rPr>
        <w:t>拓展新兴照明应用领域</w:t>
      </w:r>
      <w:r>
        <w:rPr>
          <w:rFonts w:hint="eastAsia"/>
          <w:sz w:val="32"/>
          <w:szCs w:val="32"/>
          <w:lang w:eastAsia="zh-CN"/>
        </w:rPr>
        <w:t>，</w:t>
      </w:r>
      <w:r>
        <w:rPr>
          <w:rFonts w:hint="eastAsia"/>
          <w:b w:val="0"/>
          <w:bCs w:val="0"/>
          <w:color w:val="auto"/>
          <w:kern w:val="0"/>
          <w:sz w:val="32"/>
          <w:szCs w:val="32"/>
          <w:u w:val="none"/>
          <w:lang w:val="en-US" w:eastAsia="zh-CN"/>
        </w:rPr>
        <w:t>发挥龙头企业引领作用，打造</w:t>
      </w:r>
      <w:r>
        <w:rPr>
          <w:rFonts w:hint="eastAsia" w:ascii="仿宋_GB2312" w:eastAsia="仿宋_GB2312"/>
          <w:sz w:val="32"/>
          <w:szCs w:val="32"/>
        </w:rPr>
        <w:t>LED全产业链体系</w:t>
      </w:r>
      <w:r>
        <w:rPr>
          <w:rFonts w:hint="eastAsia"/>
          <w:b w:val="0"/>
          <w:bCs w:val="0"/>
          <w:color w:val="auto"/>
          <w:kern w:val="0"/>
          <w:sz w:val="32"/>
          <w:szCs w:val="32"/>
          <w:u w:val="none"/>
          <w:lang w:val="en-US" w:eastAsia="zh-CN"/>
        </w:rPr>
        <w:t>。</w:t>
      </w:r>
      <w:r>
        <w:rPr>
          <w:rFonts w:hint="eastAsia"/>
          <w:b/>
          <w:bCs/>
          <w:color w:val="auto"/>
          <w:kern w:val="0"/>
          <w:sz w:val="32"/>
          <w:szCs w:val="32"/>
          <w:u w:val="none"/>
          <w:lang w:val="en-US" w:eastAsia="zh-CN"/>
        </w:rPr>
        <w:t>高端数控机床与机器人产业，</w:t>
      </w:r>
      <w:r>
        <w:rPr>
          <w:rFonts w:hint="eastAsia"/>
          <w:b w:val="0"/>
          <w:bCs w:val="0"/>
          <w:color w:val="auto"/>
          <w:kern w:val="0"/>
          <w:sz w:val="32"/>
          <w:szCs w:val="32"/>
          <w:u w:val="none"/>
          <w:lang w:val="en-US" w:eastAsia="zh-CN"/>
        </w:rPr>
        <w:t>围绕新能源汽车、芯光电等领域需求，加快研发高档数控机床、智能系统、精密轴承等整机及核心部件，</w:t>
      </w:r>
      <w:r>
        <w:rPr>
          <w:rFonts w:hint="eastAsia" w:ascii="仿宋_GB2312" w:hAnsi="仿宋_GB2312" w:eastAsia="仿宋_GB2312" w:cs="仿宋_GB2312"/>
          <w:color w:val="000000"/>
          <w:sz w:val="32"/>
          <w:szCs w:val="32"/>
        </w:rPr>
        <w:t>打造“核心零部件—本体制造—系统集成”产业生态雏形</w:t>
      </w:r>
      <w:r>
        <w:rPr>
          <w:rFonts w:hint="eastAsia"/>
          <w:b w:val="0"/>
          <w:bCs w:val="0"/>
          <w:color w:val="auto"/>
          <w:kern w:val="0"/>
          <w:sz w:val="32"/>
          <w:szCs w:val="32"/>
          <w:u w:val="none"/>
          <w:lang w:val="en-US" w:eastAsia="zh-CN"/>
        </w:rPr>
        <w:t>。依托辖区现有机器人产业优势，开展核心零部件技术攻关，大力发展工业机器人，加快开发智能服务、医疗康复、消防救援等特种机器人，</w:t>
      </w:r>
      <w:r>
        <w:rPr>
          <w:rFonts w:hint="eastAsia" w:ascii="仿宋_GB2312" w:eastAsia="仿宋_GB2312"/>
          <w:sz w:val="32"/>
          <w:szCs w:val="32"/>
        </w:rPr>
        <w:t>夯实协作机器人基础并向服务机器人拓展</w:t>
      </w:r>
      <w:r>
        <w:rPr>
          <w:rFonts w:hint="eastAsia"/>
          <w:b w:val="0"/>
          <w:bCs w:val="0"/>
          <w:color w:val="auto"/>
          <w:kern w:val="0"/>
          <w:sz w:val="32"/>
          <w:szCs w:val="32"/>
          <w:u w:val="none"/>
          <w:lang w:val="en-US" w:eastAsia="zh-CN"/>
        </w:rPr>
        <w:t>。</w:t>
      </w:r>
      <w:r>
        <w:rPr>
          <w:rFonts w:hint="eastAsia"/>
          <w:b/>
          <w:bCs/>
          <w:color w:val="auto"/>
          <w:kern w:val="0"/>
          <w:sz w:val="32"/>
          <w:szCs w:val="32"/>
          <w:u w:val="none"/>
          <w:lang w:val="en-US" w:eastAsia="zh-CN"/>
        </w:rPr>
        <w:t>先进材料产业</w:t>
      </w:r>
      <w:r>
        <w:rPr>
          <w:rFonts w:hint="eastAsia"/>
          <w:b w:val="0"/>
          <w:bCs w:val="0"/>
          <w:color w:val="auto"/>
          <w:kern w:val="0"/>
          <w:sz w:val="32"/>
          <w:szCs w:val="32"/>
          <w:u w:val="none"/>
          <w:lang w:val="en-US" w:eastAsia="zh-CN"/>
        </w:rPr>
        <w:t>，聚焦上下游产业整合资源，加速薄膜电池产业化，强化光伏全链条协同配套和高质量发展。重点发展汽车润滑油、变压器油、重型机械用润滑油等油品，聚力突破高端特种润滑油制备技术，加快向航空航天、轨道交通、高端装备等高性能、高技术领域延伸，打造特色鲜明、竞争力强的先进材料产业高地。</w:t>
      </w:r>
    </w:p>
    <w:p w14:paraId="1C43E10C">
      <w:pPr>
        <w:keepNext w:val="0"/>
        <w:keepLines w:val="0"/>
        <w:pageBreakBefore w:val="0"/>
        <w:widowControl w:val="0"/>
        <w:kinsoku/>
        <w:wordWrap/>
        <w:overflowPunct w:val="0"/>
        <w:topLinePunct w:val="0"/>
        <w:autoSpaceDE/>
        <w:autoSpaceDN/>
        <w:bidi w:val="0"/>
        <w:adjustRightInd w:val="0"/>
        <w:snapToGrid w:val="0"/>
        <w:spacing w:afterAutospacing="0" w:line="580" w:lineRule="exact"/>
        <w:ind w:left="0" w:leftChars="0" w:firstLine="643" w:firstLineChars="200"/>
        <w:jc w:val="both"/>
        <w:textAlignment w:val="auto"/>
        <w:outlineLvl w:val="9"/>
        <w:rPr>
          <w:rFonts w:hint="eastAsia" w:ascii="仿宋_GB2312" w:hAnsi="仿宋_GB2312" w:eastAsia="仿宋_GB2312" w:cs="仿宋_GB2312"/>
          <w:color w:val="000000"/>
          <w:sz w:val="32"/>
          <w:szCs w:val="32"/>
        </w:rPr>
      </w:pPr>
      <w:r>
        <w:rPr>
          <w:rFonts w:hint="eastAsia"/>
          <w:b/>
          <w:bCs/>
          <w:color w:val="auto"/>
          <w:kern w:val="0"/>
          <w:sz w:val="32"/>
          <w:szCs w:val="32"/>
          <w:u w:val="none"/>
          <w:lang w:val="en-US" w:eastAsia="zh-CN"/>
        </w:rPr>
        <w:t>做大两大特色产业。航空航天暨低空经济产业。</w:t>
      </w:r>
      <w:r>
        <w:rPr>
          <w:rFonts w:hint="eastAsia"/>
          <w:b w:val="0"/>
          <w:bCs w:val="0"/>
          <w:color w:val="auto"/>
          <w:kern w:val="0"/>
          <w:sz w:val="32"/>
          <w:szCs w:val="32"/>
          <w:u w:val="none"/>
          <w:lang w:val="en-US" w:eastAsia="zh-CN"/>
        </w:rPr>
        <w:t>依托“技术研发+生产制造+场景应用”三位一体发展路径，完善基础设施布局，拓展政务服务、低空物流、低空文旅等多元应用场景，构建“黄河南集聚企业总部、研发中心及成果转化基地，黄河北打造低空制造与测试承载区”的全域产业发展布局。</w:t>
      </w:r>
      <w:r>
        <w:rPr>
          <w:rFonts w:hint="eastAsia"/>
          <w:b/>
          <w:bCs/>
          <w:color w:val="auto"/>
          <w:kern w:val="0"/>
          <w:sz w:val="32"/>
          <w:szCs w:val="32"/>
          <w:u w:val="none"/>
          <w:lang w:val="en-US" w:eastAsia="zh-CN"/>
        </w:rPr>
        <w:t>新型建材产业，</w:t>
      </w:r>
      <w:r>
        <w:rPr>
          <w:rFonts w:hint="eastAsia"/>
          <w:b w:val="0"/>
          <w:bCs w:val="0"/>
          <w:color w:val="auto"/>
          <w:kern w:val="0"/>
          <w:sz w:val="32"/>
          <w:szCs w:val="32"/>
          <w:u w:val="none"/>
          <w:lang w:val="en-US" w:eastAsia="zh-CN"/>
        </w:rPr>
        <w:t>鼓励</w:t>
      </w:r>
      <w:r>
        <w:rPr>
          <w:rFonts w:hint="eastAsia" w:ascii="仿宋_GB2312" w:eastAsia="仿宋_GB2312"/>
          <w:sz w:val="32"/>
          <w:szCs w:val="32"/>
        </w:rPr>
        <w:t>开发新型建材品种，积极发展装配式建筑部品部件</w:t>
      </w:r>
      <w:r>
        <w:rPr>
          <w:rFonts w:hint="eastAsia"/>
          <w:b w:val="0"/>
          <w:bCs w:val="0"/>
          <w:color w:val="auto"/>
          <w:kern w:val="0"/>
          <w:sz w:val="32"/>
          <w:szCs w:val="32"/>
          <w:u w:val="none"/>
          <w:lang w:val="en-US" w:eastAsia="zh-CN"/>
        </w:rPr>
        <w:t>，</w:t>
      </w:r>
      <w:r>
        <w:rPr>
          <w:rFonts w:hint="eastAsia" w:ascii="仿宋_GB2312" w:eastAsia="仿宋_GB2312"/>
          <w:sz w:val="32"/>
          <w:szCs w:val="32"/>
        </w:rPr>
        <w:t>做精无机非金属新材料产品</w:t>
      </w:r>
      <w:r>
        <w:rPr>
          <w:rFonts w:hint="eastAsia"/>
          <w:sz w:val="32"/>
          <w:szCs w:val="32"/>
          <w:lang w:eastAsia="zh-CN"/>
        </w:rPr>
        <w:t>，</w:t>
      </w:r>
      <w:r>
        <w:rPr>
          <w:rFonts w:hint="eastAsia" w:ascii="仿宋_GB2312" w:hAnsi="仿宋_GB2312" w:eastAsia="仿宋_GB2312" w:cs="仿宋_GB2312"/>
          <w:color w:val="000000"/>
          <w:sz w:val="32"/>
          <w:szCs w:val="32"/>
        </w:rPr>
        <w:t>推动新型建材等特色产业从普通生产向“新型建筑系统服务商”转型，不断优化产业结构。</w:t>
      </w:r>
    </w:p>
    <w:p w14:paraId="19A26323">
      <w:pPr>
        <w:keepNext w:val="0"/>
        <w:keepLines w:val="0"/>
        <w:pageBreakBefore w:val="0"/>
        <w:widowControl/>
        <w:suppressLineNumbers w:val="0"/>
        <w:kinsoku/>
        <w:wordWrap/>
        <w:overflowPunct w:val="0"/>
        <w:topLinePunct w:val="0"/>
        <w:autoSpaceDE/>
        <w:autoSpaceDN/>
        <w:bidi w:val="0"/>
        <w:adjustRightInd w:val="0"/>
        <w:snapToGrid w:val="0"/>
        <w:spacing w:line="580" w:lineRule="exact"/>
        <w:jc w:val="left"/>
        <w:textAlignment w:val="auto"/>
        <w:rPr>
          <w:rFonts w:hint="eastAsia"/>
          <w:color w:val="000000" w:themeColor="text1"/>
          <w:sz w:val="32"/>
          <w:szCs w:val="32"/>
          <w:highlight w:val="none"/>
          <w:u w:val="none"/>
          <w:lang w:val="en-US" w:eastAsia="zh-CN"/>
          <w14:textFill>
            <w14:solidFill>
              <w14:schemeClr w14:val="tx1"/>
            </w14:solidFill>
          </w14:textFill>
        </w:rPr>
      </w:pPr>
      <w:r>
        <w:rPr>
          <w:rFonts w:hint="eastAsia" w:ascii="仿宋_GB2312" w:eastAsia="仿宋_GB2312"/>
          <w:b/>
          <w:bCs/>
          <w:color w:val="000000" w:themeColor="text1"/>
          <w:sz w:val="32"/>
          <w:szCs w:val="32"/>
          <w:highlight w:val="none"/>
          <w:u w:val="none"/>
          <w:lang w:val="en-US" w:eastAsia="zh-CN"/>
          <w14:textFill>
            <w14:solidFill>
              <w14:schemeClr w14:val="tx1"/>
            </w14:solidFill>
          </w14:textFill>
        </w:rPr>
        <w:t>培育壮大新兴产业。</w:t>
      </w:r>
      <w:r>
        <w:rPr>
          <w:rFonts w:hint="eastAsia" w:ascii="仿宋_GB2312" w:hAnsi="仿宋_GB2312" w:eastAsia="仿宋_GB2312" w:cs="仿宋_GB2312"/>
          <w:color w:val="000000"/>
          <w:sz w:val="32"/>
          <w:szCs w:val="32"/>
        </w:rPr>
        <w:t>深化企业智改数转网联，培育一批产业大脑、智能工厂。</w:t>
      </w:r>
      <w:r>
        <w:rPr>
          <w:rFonts w:hint="eastAsia"/>
          <w:color w:val="000000" w:themeColor="text1"/>
          <w:sz w:val="32"/>
          <w:szCs w:val="32"/>
          <w:highlight w:val="none"/>
          <w:u w:val="none"/>
          <w:lang w:val="en-US" w:eastAsia="zh-CN"/>
          <w14:textFill>
            <w14:solidFill>
              <w14:schemeClr w14:val="tx1"/>
            </w14:solidFill>
          </w14:textFill>
        </w:rPr>
        <w:t>加快推进智能汽车产业集群建设，推动汽车零部件企业从基础零件生产向下游高附加值的集成化、模块化部件领域转型升级，重点突破车桥、车架、曲轴、底盘、减速器等关键零部件，着力发展高端零部件产品体系。加快推进智慧医疗产业集群建设，发挥家用氧疗设备制造基础，大力发展智慧化、家用化医用设备，积极引进和培育医用级智能可穿戴设备等创新企业。聚焦生物医用材料领域，重点发展口腔高值耗材，联动新材料产业资源推动义齿制造向高端化升级，同步探索药物控释材料、生物医用高分子材料等前沿方向。</w:t>
      </w:r>
    </w:p>
    <w:p w14:paraId="5A8C29C5">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default" w:ascii="楷体_GB2312" w:hAnsi="楷体_GB2312" w:eastAsia="楷体_GB2312" w:cs="楷体_GB2312"/>
          <w:b w:val="0"/>
          <w:bCs w:val="0"/>
          <w:sz w:val="32"/>
          <w:szCs w:val="32"/>
          <w:u w:val="none"/>
          <w:lang w:val="en-US" w:eastAsia="zh-CN"/>
        </w:rPr>
      </w:pPr>
      <w:bookmarkStart w:id="26" w:name="_Toc1788816218"/>
      <w:r>
        <w:rPr>
          <w:rFonts w:hint="eastAsia" w:ascii="楷体_GB2312" w:hAnsi="楷体_GB2312" w:eastAsia="楷体_GB2312" w:cs="楷体_GB2312"/>
          <w:b w:val="0"/>
          <w:bCs w:val="0"/>
          <w:sz w:val="32"/>
          <w:szCs w:val="32"/>
          <w:u w:val="none"/>
          <w:lang w:val="en-US" w:eastAsia="zh-CN"/>
        </w:rPr>
        <w:t>第二节  促进服务业优质高效发展</w:t>
      </w:r>
      <w:bookmarkEnd w:id="26"/>
    </w:p>
    <w:p w14:paraId="53036C14">
      <w:pPr>
        <w:keepLines w:val="0"/>
        <w:pageBreakBefore w:val="0"/>
        <w:widowControl w:val="0"/>
        <w:kinsoku/>
        <w:wordWrap/>
        <w:overflowPunct w:val="0"/>
        <w:topLinePunct w:val="0"/>
        <w:autoSpaceDE/>
        <w:autoSpaceDN/>
        <w:bidi w:val="0"/>
        <w:adjustRightInd w:val="0"/>
        <w:snapToGrid w:val="0"/>
        <w:spacing w:line="59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推动服务业向“新、优、特”方向转型升级，</w:t>
      </w:r>
      <w:r>
        <w:rPr>
          <w:rFonts w:hint="eastAsia" w:ascii="仿宋_GB2312" w:hAnsi="仿宋_GB2312" w:eastAsia="仿宋_GB2312" w:cs="仿宋_GB2312"/>
          <w:color w:val="000000"/>
          <w:sz w:val="32"/>
          <w:szCs w:val="32"/>
        </w:rPr>
        <w:t>打造现代服务业集聚区、专业园区、产业楼宇等高端载体，推动现代服务业</w:t>
      </w:r>
      <w:r>
        <w:rPr>
          <w:rFonts w:hint="eastAsia" w:cs="仿宋_GB2312"/>
          <w:color w:val="000000"/>
          <w:sz w:val="32"/>
          <w:szCs w:val="32"/>
          <w:lang w:eastAsia="zh-CN"/>
        </w:rPr>
        <w:t>与其他产业融合</w:t>
      </w:r>
      <w:r>
        <w:rPr>
          <w:rFonts w:hint="eastAsia" w:ascii="仿宋_GB2312" w:hAnsi="仿宋_GB2312" w:eastAsia="仿宋_GB2312" w:cs="仿宋_GB2312"/>
          <w:color w:val="000000"/>
          <w:sz w:val="32"/>
          <w:szCs w:val="32"/>
        </w:rPr>
        <w:t>发展</w:t>
      </w:r>
      <w:r>
        <w:rPr>
          <w:rFonts w:hint="eastAsia" w:cs="仿宋_GB2312"/>
          <w:color w:val="000000"/>
          <w:sz w:val="32"/>
          <w:szCs w:val="32"/>
          <w:lang w:eastAsia="zh-CN"/>
        </w:rPr>
        <w:t>，</w:t>
      </w:r>
      <w:r>
        <w:rPr>
          <w:rFonts w:hint="eastAsia" w:ascii="仿宋_GB2312" w:hAnsi="仿宋_GB2312" w:eastAsia="仿宋_GB2312" w:cs="仿宋_GB2312"/>
          <w:sz w:val="32"/>
          <w:szCs w:val="32"/>
        </w:rPr>
        <w:t>鼓励支持生产性服务业实现集群式发展</w:t>
      </w:r>
      <w:r>
        <w:rPr>
          <w:rFonts w:hint="eastAsia" w:cs="仿宋_GB2312"/>
          <w:sz w:val="32"/>
          <w:szCs w:val="32"/>
          <w:lang w:eastAsia="zh-CN"/>
        </w:rPr>
        <w:t>，</w:t>
      </w:r>
      <w:r>
        <w:rPr>
          <w:rFonts w:hint="eastAsia" w:ascii="仿宋_GB2312" w:hAnsi="仿宋_GB2312" w:eastAsia="仿宋_GB2312" w:cs="仿宋_GB2312"/>
          <w:sz w:val="32"/>
          <w:szCs w:val="32"/>
        </w:rPr>
        <w:t>引导生活性服务业向高品质和多样化升级</w:t>
      </w:r>
      <w:r>
        <w:rPr>
          <w:rFonts w:hint="eastAsia" w:cs="仿宋_GB2312"/>
          <w:sz w:val="32"/>
          <w:szCs w:val="32"/>
          <w:lang w:eastAsia="zh-CN"/>
        </w:rPr>
        <w:t>。</w:t>
      </w:r>
    </w:p>
    <w:p w14:paraId="2DCD8BAC">
      <w:pPr>
        <w:keepNext w:val="0"/>
        <w:keepLines w:val="0"/>
        <w:pageBreakBefore w:val="0"/>
        <w:widowControl w:val="0"/>
        <w:kinsoku/>
        <w:wordWrap/>
        <w:overflowPunct w:val="0"/>
        <w:topLinePunct w:val="0"/>
        <w:autoSpaceDE/>
        <w:autoSpaceDN/>
        <w:bidi w:val="0"/>
        <w:adjustRightInd w:val="0"/>
        <w:snapToGrid w:val="0"/>
        <w:spacing w:line="590" w:lineRule="exact"/>
        <w:ind w:left="0" w:leftChars="0" w:firstLine="643" w:firstLineChars="200"/>
        <w:jc w:val="both"/>
        <w:textAlignment w:val="auto"/>
        <w:outlineLvl w:val="9"/>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b/>
          <w:bCs/>
          <w:sz w:val="32"/>
          <w:szCs w:val="32"/>
          <w:highlight w:val="none"/>
          <w:lang w:val="en-US" w:eastAsia="zh-CN" w:bidi="ar-SA"/>
        </w:rPr>
        <w:t>聚力发展高端生产性服务业</w:t>
      </w:r>
      <w:r>
        <w:rPr>
          <w:rFonts w:hint="eastAsia" w:cs="仿宋_GB2312"/>
          <w:b/>
          <w:bCs/>
          <w:sz w:val="32"/>
          <w:szCs w:val="32"/>
          <w:highlight w:val="none"/>
          <w:lang w:val="en-US" w:eastAsia="zh-CN" w:bidi="ar-SA"/>
        </w:rPr>
        <w:t>。</w:t>
      </w:r>
      <w:r>
        <w:rPr>
          <w:rFonts w:hint="eastAsia" w:ascii="仿宋_GB2312" w:hAnsi="仿宋_GB2312" w:eastAsia="仿宋_GB2312" w:cs="仿宋_GB2312"/>
          <w:sz w:val="32"/>
          <w:szCs w:val="32"/>
          <w:highlight w:val="none"/>
          <w:lang w:val="en-US" w:eastAsia="zh-CN" w:bidi="ar-SA"/>
        </w:rPr>
        <w:t>紧密衔接产业链需求，构建专业化、高端化的生产性服务体系。依托</w:t>
      </w:r>
      <w:r>
        <w:rPr>
          <w:rFonts w:hint="eastAsia" w:cs="仿宋_GB2312"/>
          <w:sz w:val="32"/>
          <w:szCs w:val="32"/>
          <w:highlight w:val="none"/>
          <w:lang w:val="en-US" w:eastAsia="zh-CN" w:bidi="ar-SA"/>
        </w:rPr>
        <w:t>产业</w:t>
      </w:r>
      <w:r>
        <w:rPr>
          <w:rFonts w:hint="eastAsia" w:ascii="仿宋_GB2312" w:hAnsi="仿宋_GB2312" w:eastAsia="仿宋_GB2312" w:cs="仿宋_GB2312"/>
          <w:sz w:val="32"/>
          <w:szCs w:val="32"/>
          <w:highlight w:val="none"/>
          <w:lang w:val="en-US" w:eastAsia="zh-CN" w:bidi="ar-SA"/>
        </w:rPr>
        <w:t>载体，重点发展研发设计、检验检测认证、知识产权运营与成果转化等高附加值业态，嵌入产业链关键环节，补齐创新服务短板。大力发展</w:t>
      </w:r>
      <w:r>
        <w:rPr>
          <w:rFonts w:hint="eastAsia" w:cs="仿宋_GB2312"/>
          <w:sz w:val="32"/>
          <w:szCs w:val="32"/>
          <w:highlight w:val="none"/>
          <w:lang w:val="en-US" w:eastAsia="zh-CN" w:bidi="ar-SA"/>
        </w:rPr>
        <w:t>现代</w:t>
      </w:r>
      <w:r>
        <w:rPr>
          <w:rFonts w:hint="eastAsia" w:ascii="仿宋_GB2312" w:hAnsi="仿宋_GB2312" w:eastAsia="仿宋_GB2312" w:cs="仿宋_GB2312"/>
          <w:sz w:val="32"/>
          <w:szCs w:val="32"/>
          <w:highlight w:val="none"/>
          <w:lang w:val="en-US" w:eastAsia="zh-CN" w:bidi="ar-SA"/>
        </w:rPr>
        <w:t>金融与数字化供应链管理，通过“外引内培”壮大专业服务主体，为制造业发展提供精准高效的资本</w:t>
      </w:r>
      <w:r>
        <w:rPr>
          <w:rFonts w:hint="eastAsia" w:cs="仿宋_GB2312"/>
          <w:sz w:val="32"/>
          <w:szCs w:val="32"/>
          <w:highlight w:val="none"/>
          <w:lang w:val="en-US" w:eastAsia="zh-CN" w:bidi="ar-SA"/>
        </w:rPr>
        <w:t>与信息流</w:t>
      </w:r>
      <w:r>
        <w:rPr>
          <w:rFonts w:hint="eastAsia" w:ascii="仿宋_GB2312" w:hAnsi="仿宋_GB2312" w:eastAsia="仿宋_GB2312" w:cs="仿宋_GB2312"/>
          <w:sz w:val="32"/>
          <w:szCs w:val="32"/>
          <w:highlight w:val="none"/>
          <w:lang w:val="en-US" w:eastAsia="zh-CN" w:bidi="ar-SA"/>
        </w:rPr>
        <w:t>保障。全面优化区域物流结构，系统构建现代物流新体系，促进现代物流业与先进制造业、现代农业、现代商贸业深度融合，全力打造现代物流枢纽区。深入实施“数字+制造+服务”行动计划，推动大数据、人工智能与服务</w:t>
      </w:r>
      <w:r>
        <w:rPr>
          <w:rFonts w:hint="eastAsia" w:cs="仿宋_GB2312"/>
          <w:sz w:val="32"/>
          <w:szCs w:val="32"/>
          <w:highlight w:val="none"/>
          <w:lang w:val="en-US" w:eastAsia="zh-CN" w:bidi="ar-SA"/>
        </w:rPr>
        <w:t>有机契合</w:t>
      </w:r>
      <w:r>
        <w:rPr>
          <w:rFonts w:hint="eastAsia" w:ascii="仿宋_GB2312" w:hAnsi="仿宋_GB2312" w:eastAsia="仿宋_GB2312" w:cs="仿宋_GB2312"/>
          <w:sz w:val="32"/>
          <w:szCs w:val="32"/>
          <w:highlight w:val="none"/>
          <w:lang w:val="en-US" w:eastAsia="zh-CN" w:bidi="ar-SA"/>
        </w:rPr>
        <w:t>，培育服务型制造、柔性定制等新业态。</w:t>
      </w:r>
    </w:p>
    <w:p w14:paraId="69A5875A">
      <w:pPr>
        <w:keepNext w:val="0"/>
        <w:keepLines w:val="0"/>
        <w:pageBreakBefore w:val="0"/>
        <w:widowControl w:val="0"/>
        <w:kinsoku/>
        <w:wordWrap/>
        <w:overflowPunct w:val="0"/>
        <w:topLinePunct w:val="0"/>
        <w:autoSpaceDE/>
        <w:autoSpaceDN/>
        <w:bidi w:val="0"/>
        <w:adjustRightInd w:val="0"/>
        <w:snapToGrid w:val="0"/>
        <w:spacing w:line="590" w:lineRule="exact"/>
        <w:ind w:left="0" w:leftChars="0" w:firstLine="643" w:firstLineChars="200"/>
        <w:jc w:val="both"/>
        <w:textAlignment w:val="auto"/>
        <w:outlineLvl w:val="9"/>
        <w:rPr>
          <w:rFonts w:hint="eastAsia" w:ascii="仿宋_GB2312" w:hAnsi="仿宋_GB2312" w:eastAsia="仿宋_GB2312" w:cs="仿宋_GB2312"/>
          <w:sz w:val="32"/>
          <w:szCs w:val="32"/>
          <w:highlight w:val="none"/>
          <w:lang w:val="en-US" w:eastAsia="zh-CN" w:bidi="ar-SA"/>
        </w:rPr>
      </w:pPr>
      <w:r>
        <w:rPr>
          <w:rFonts w:hint="eastAsia" w:cs="仿宋_GB2312"/>
          <w:b/>
          <w:bCs/>
          <w:sz w:val="32"/>
          <w:szCs w:val="32"/>
          <w:highlight w:val="none"/>
          <w:lang w:val="en-US" w:eastAsia="zh-CN" w:bidi="ar-SA"/>
        </w:rPr>
        <w:t>推动</w:t>
      </w:r>
      <w:r>
        <w:rPr>
          <w:rFonts w:hint="eastAsia" w:ascii="仿宋_GB2312" w:hAnsi="仿宋_GB2312" w:eastAsia="仿宋_GB2312" w:cs="仿宋_GB2312"/>
          <w:b/>
          <w:bCs/>
          <w:sz w:val="32"/>
          <w:szCs w:val="32"/>
          <w:highlight w:val="none"/>
          <w:lang w:val="en-US" w:eastAsia="zh-CN" w:bidi="ar-SA"/>
        </w:rPr>
        <w:t>生活性服务业提质升级</w:t>
      </w:r>
      <w:r>
        <w:rPr>
          <w:rFonts w:hint="eastAsia" w:cs="仿宋_GB2312"/>
          <w:b/>
          <w:bCs/>
          <w:sz w:val="32"/>
          <w:szCs w:val="32"/>
          <w:highlight w:val="none"/>
          <w:lang w:val="en-US" w:eastAsia="zh-CN" w:bidi="ar-SA"/>
        </w:rPr>
        <w:t>。</w:t>
      </w:r>
      <w:r>
        <w:rPr>
          <w:rFonts w:hint="eastAsia" w:ascii="仿宋_GB2312" w:hAnsi="仿宋_GB2312" w:eastAsia="仿宋_GB2312" w:cs="仿宋_GB2312"/>
          <w:sz w:val="32"/>
          <w:szCs w:val="32"/>
          <w:highlight w:val="none"/>
          <w:lang w:val="en-US" w:eastAsia="zh-CN" w:bidi="ar-SA"/>
        </w:rPr>
        <w:t>围绕居民全生命周期需求，构建层次丰富、便捷优质的生活服务体系。优化提升北园大街、堤口路等核心商圈能级，引进高端品牌与商业运营资源，举办时尚消费活动，升级商务商贸、餐饮住宿、家政服务等业态。推动传统餐饮融入非遗文化元素，加强特色美食品牌塑造。依托老街区等文化资源，推动文创设计、影视制作与文旅体康融合发展，开发数字文化体验、沉浸式文旅及黄河生态、鹊山健身等特色产品，提供个性化定制服务。鼓励发展“物业+生活”、“文旅+消费”、“数字+民生”等模式，探索利用AI、VR等技术提升服务体验，搭建生活服务大数据平台，创造多元化、便利化消费新场景。</w:t>
      </w:r>
    </w:p>
    <w:p w14:paraId="5318AA22">
      <w:pPr>
        <w:keepNext w:val="0"/>
        <w:keepLines w:val="0"/>
        <w:pageBreakBefore w:val="0"/>
        <w:widowControl w:val="0"/>
        <w:kinsoku/>
        <w:wordWrap/>
        <w:overflowPunct w:val="0"/>
        <w:topLinePunct w:val="0"/>
        <w:autoSpaceDE/>
        <w:autoSpaceDN/>
        <w:bidi w:val="0"/>
        <w:adjustRightInd w:val="0"/>
        <w:snapToGrid w:val="0"/>
        <w:spacing w:line="590" w:lineRule="exact"/>
        <w:ind w:left="0" w:leftChars="0" w:firstLine="643" w:firstLineChars="200"/>
        <w:jc w:val="both"/>
        <w:textAlignment w:val="auto"/>
        <w:outlineLvl w:val="9"/>
        <w:rPr>
          <w:rFonts w:hint="eastAsia" w:ascii="仿宋_GB2312" w:hAnsi="仿宋_GB2312" w:eastAsia="仿宋_GB2312" w:cs="仿宋_GB2312"/>
          <w:sz w:val="32"/>
          <w:szCs w:val="32"/>
          <w:highlight w:val="none"/>
          <w:lang w:val="en-US" w:eastAsia="zh-CN" w:bidi="ar-SA"/>
        </w:rPr>
      </w:pPr>
      <w:r>
        <w:rPr>
          <w:rFonts w:hint="eastAsia" w:ascii="仿宋_GB2312" w:hAnsi="仿宋_GB2312" w:eastAsia="仿宋_GB2312" w:cs="仿宋_GB2312"/>
          <w:b/>
          <w:bCs/>
          <w:sz w:val="32"/>
          <w:szCs w:val="32"/>
          <w:highlight w:val="none"/>
          <w:lang w:val="en-US" w:eastAsia="zh-CN" w:bidi="ar-SA"/>
        </w:rPr>
        <w:t>深化服务业与制造业融合创新</w:t>
      </w:r>
      <w:r>
        <w:rPr>
          <w:rFonts w:hint="eastAsia" w:cs="仿宋_GB2312"/>
          <w:sz w:val="32"/>
          <w:szCs w:val="32"/>
          <w:highlight w:val="none"/>
          <w:lang w:val="en-US" w:eastAsia="zh-CN" w:bidi="ar-SA"/>
        </w:rPr>
        <w:t>。</w:t>
      </w:r>
      <w:r>
        <w:rPr>
          <w:rFonts w:hint="eastAsia" w:ascii="仿宋_GB2312" w:hAnsi="仿宋_GB2312" w:eastAsia="仿宋_GB2312" w:cs="仿宋_GB2312"/>
          <w:sz w:val="32"/>
          <w:szCs w:val="32"/>
          <w:highlight w:val="none"/>
          <w:lang w:val="en-US" w:eastAsia="zh-CN" w:bidi="ar-SA"/>
        </w:rPr>
        <w:t>推动服务环节与制造环节全方位、深层次融合</w:t>
      </w:r>
      <w:r>
        <w:rPr>
          <w:rFonts w:hint="eastAsia" w:cs="仿宋_GB2312"/>
          <w:sz w:val="32"/>
          <w:szCs w:val="32"/>
          <w:highlight w:val="none"/>
          <w:lang w:val="en-US" w:eastAsia="zh-CN" w:bidi="ar-SA"/>
        </w:rPr>
        <w:t>，</w:t>
      </w:r>
      <w:r>
        <w:rPr>
          <w:rFonts w:hint="eastAsia" w:ascii="仿宋_GB2312" w:hAnsi="仿宋_GB2312" w:eastAsia="仿宋_GB2312" w:cs="仿宋_GB2312"/>
          <w:sz w:val="32"/>
          <w:szCs w:val="32"/>
          <w:highlight w:val="none"/>
          <w:lang w:val="en-US" w:eastAsia="zh-CN" w:bidi="ar-SA"/>
        </w:rPr>
        <w:t>依托黄河南片区研发基地资源，引导科技服务业为黄河北片区制造基地提供前端研发、中间试验和后端检测的全链条服务。支持制造企业向“产品+服务”转型，发展全生命周期管理、总集成总承包等模式。引导数字金融、信息技术、商务咨询等生产性服务业深度融入制造业流程再造与价值链提升。建立常态化的制造业与服务业交流对接机制，促进技术、人才、数据、资本等要素在两类产业间高效流动，构建以高端制造为核心、现代服务为支撑的融合发展生态体系。</w:t>
      </w:r>
    </w:p>
    <w:p w14:paraId="7227B8BF">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ascii="楷体_GB2312" w:hAnsi="楷体_GB2312" w:eastAsia="楷体_GB2312" w:cs="楷体_GB2312"/>
          <w:b w:val="0"/>
          <w:bCs w:val="0"/>
          <w:sz w:val="32"/>
          <w:szCs w:val="32"/>
          <w:u w:val="none"/>
          <w:lang w:val="en-US" w:eastAsia="zh-CN"/>
        </w:rPr>
      </w:pPr>
      <w:bookmarkStart w:id="27" w:name="_Toc432915694"/>
      <w:r>
        <w:rPr>
          <w:rFonts w:hint="eastAsia" w:ascii="楷体_GB2312" w:hAnsi="楷体_GB2312" w:eastAsia="楷体_GB2312" w:cs="楷体_GB2312"/>
          <w:b w:val="0"/>
          <w:bCs w:val="0"/>
          <w:sz w:val="32"/>
          <w:szCs w:val="32"/>
          <w:u w:val="none"/>
          <w:lang w:val="en-US" w:eastAsia="zh-CN"/>
        </w:rPr>
        <w:t>第三节  加快商贸业转型升级</w:t>
      </w:r>
      <w:bookmarkEnd w:id="27"/>
    </w:p>
    <w:p w14:paraId="544093B5">
      <w:pPr>
        <w:keepNext w:val="0"/>
        <w:keepLines w:val="0"/>
        <w:pageBreakBefore w:val="0"/>
        <w:widowControl w:val="0"/>
        <w:kinsoku/>
        <w:wordWrap/>
        <w:overflowPunct w:val="0"/>
        <w:topLinePunct w:val="0"/>
        <w:autoSpaceDE/>
        <w:autoSpaceDN/>
        <w:bidi w:val="0"/>
        <w:adjustRightInd w:val="0"/>
        <w:snapToGrid w:val="0"/>
        <w:spacing w:beforeLines="0" w:afterLines="0" w:line="590" w:lineRule="exact"/>
        <w:ind w:left="0" w:leftChars="0" w:firstLine="640" w:firstLineChars="200"/>
        <w:jc w:val="both"/>
        <w:textAlignment w:val="auto"/>
        <w:outlineLvl w:val="9"/>
        <w:rPr>
          <w:rFonts w:hint="eastAsia" w:ascii="仿宋_GB2312" w:hAnsi="仿宋_GB2312" w:eastAsia="仿宋_GB2312" w:cs="仿宋_GB2312"/>
          <w:color w:val="000000" w:themeColor="text1"/>
          <w:sz w:val="32"/>
          <w:szCs w:val="32"/>
          <w:highlight w:val="none"/>
          <w:u w:val="none"/>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szCs w:val="32"/>
          <w:highlight w:val="none"/>
          <w:u w:val="none"/>
          <w:lang w:val="en-US" w:eastAsia="zh-CN" w:bidi="ar-SA"/>
          <w14:textFill>
            <w14:solidFill>
              <w14:schemeClr w14:val="tx1"/>
            </w14:solidFill>
          </w14:textFill>
        </w:rPr>
        <w:t>着力推动传统商圈提质与新兴业态培育，以数字化、绿色化、国际化为引领，加快构建布局合理、业态先进、韧性强健的现代商贸流通体系。</w:t>
      </w:r>
    </w:p>
    <w:p w14:paraId="6E0C04D7">
      <w:pPr>
        <w:keepNext w:val="0"/>
        <w:keepLines w:val="0"/>
        <w:pageBreakBefore w:val="0"/>
        <w:widowControl w:val="0"/>
        <w:kinsoku/>
        <w:wordWrap/>
        <w:overflowPunct w:val="0"/>
        <w:topLinePunct w:val="0"/>
        <w:autoSpaceDE/>
        <w:autoSpaceDN/>
        <w:bidi w:val="0"/>
        <w:adjustRightInd w:val="0"/>
        <w:snapToGrid w:val="0"/>
        <w:spacing w:beforeLines="0" w:afterLines="0" w:line="590" w:lineRule="exact"/>
        <w:ind w:left="0" w:leftChars="0" w:firstLine="643" w:firstLineChars="200"/>
        <w:jc w:val="both"/>
        <w:textAlignment w:val="auto"/>
        <w:outlineLvl w:val="9"/>
        <w:rPr>
          <w:rFonts w:hint="eastAsia" w:ascii="仿宋_GB2312" w:hAnsi="仿宋_GB2312" w:eastAsia="仿宋_GB2312" w:cs="仿宋_GB2312"/>
          <w:color w:val="000000" w:themeColor="text1"/>
          <w:sz w:val="32"/>
          <w:szCs w:val="32"/>
          <w:highlight w:val="none"/>
          <w:u w:val="none"/>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u w:val="none"/>
          <w:lang w:val="en-US" w:eastAsia="zh-CN" w:bidi="ar-SA"/>
          <w14:textFill>
            <w14:solidFill>
              <w14:schemeClr w14:val="tx1"/>
            </w14:solidFill>
          </w14:textFill>
        </w:rPr>
        <w:t>完善商贸流通体系。</w:t>
      </w:r>
      <w:r>
        <w:rPr>
          <w:rFonts w:hint="eastAsia" w:ascii="仿宋_GB2312" w:hAnsi="仿宋_GB2312" w:eastAsia="仿宋_GB2312" w:cs="仿宋_GB2312"/>
          <w:color w:val="000000" w:themeColor="text1"/>
          <w:sz w:val="32"/>
          <w:szCs w:val="32"/>
          <w:highlight w:val="none"/>
          <w:u w:val="none"/>
          <w:lang w:val="en-US" w:eastAsia="zh-CN" w:bidi="ar-SA"/>
          <w14:textFill>
            <w14:solidFill>
              <w14:schemeClr w14:val="tx1"/>
            </w14:solidFill>
          </w14:textFill>
        </w:rPr>
        <w:t>全面优化城区商业设施布局，加快补齐农村商贸流通短板，</w:t>
      </w:r>
      <w:r>
        <w:rPr>
          <w:rFonts w:hint="eastAsia" w:ascii="仿宋_GB2312" w:hAnsi="仿宋_GB2312" w:eastAsia="仿宋_GB2312" w:cs="仿宋_GB2312"/>
          <w:color w:val="000000"/>
          <w:sz w:val="32"/>
          <w:szCs w:val="32"/>
        </w:rPr>
        <w:t>提升城市商业效能</w:t>
      </w:r>
      <w:r>
        <w:rPr>
          <w:rFonts w:hint="eastAsia" w:cs="仿宋_GB2312"/>
          <w:color w:val="000000"/>
          <w:sz w:val="32"/>
          <w:szCs w:val="32"/>
          <w:lang w:eastAsia="zh-CN"/>
        </w:rPr>
        <w:t>，不断优化</w:t>
      </w:r>
      <w:r>
        <w:rPr>
          <w:rFonts w:hint="eastAsia" w:ascii="仿宋_GB2312" w:hAnsi="仿宋_GB2312" w:eastAsia="仿宋_GB2312" w:cs="仿宋_GB2312"/>
          <w:color w:val="000000" w:themeColor="text1"/>
          <w:sz w:val="32"/>
          <w:szCs w:val="32"/>
          <w:highlight w:val="none"/>
          <w:u w:val="none"/>
          <w:lang w:val="en-US" w:eastAsia="zh-CN" w:bidi="ar-SA"/>
          <w14:textFill>
            <w14:solidFill>
              <w14:schemeClr w14:val="tx1"/>
            </w14:solidFill>
          </w14:textFill>
        </w:rPr>
        <w:t>消费供给质量与能级。织密筑牢生活物资应急保供网络，持续增强应急保供体系韧性，推动商贸流通体系整体效能提升。</w:t>
      </w:r>
    </w:p>
    <w:p w14:paraId="623B5707">
      <w:pPr>
        <w:keepNext w:val="0"/>
        <w:keepLines w:val="0"/>
        <w:pageBreakBefore w:val="0"/>
        <w:widowControl w:val="0"/>
        <w:kinsoku/>
        <w:wordWrap/>
        <w:overflowPunct w:val="0"/>
        <w:topLinePunct w:val="0"/>
        <w:autoSpaceDE/>
        <w:autoSpaceDN/>
        <w:bidi w:val="0"/>
        <w:adjustRightInd w:val="0"/>
        <w:snapToGrid w:val="0"/>
        <w:spacing w:beforeLines="0" w:afterLines="0" w:line="590" w:lineRule="exact"/>
        <w:ind w:left="0" w:leftChars="0" w:firstLine="643" w:firstLineChars="200"/>
        <w:jc w:val="both"/>
        <w:textAlignment w:val="auto"/>
        <w:outlineLvl w:val="9"/>
        <w:rPr>
          <w:rFonts w:hint="eastAsia" w:ascii="仿宋_GB2312" w:hAnsi="仿宋_GB2312" w:eastAsia="仿宋_GB2312" w:cs="仿宋_GB2312"/>
          <w:color w:val="000000" w:themeColor="text1"/>
          <w:sz w:val="32"/>
          <w:szCs w:val="32"/>
          <w:highlight w:val="none"/>
          <w:u w:val="none"/>
          <w:lang w:val="en-US" w:eastAsia="zh-CN" w:bidi="ar-SA"/>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u w:val="none"/>
          <w:lang w:val="en-US" w:eastAsia="zh-CN" w:bidi="ar-SA"/>
          <w14:textFill>
            <w14:solidFill>
              <w14:schemeClr w14:val="tx1"/>
            </w14:solidFill>
          </w14:textFill>
        </w:rPr>
        <w:t>推动商业载体与业态升级。</w:t>
      </w:r>
      <w:r>
        <w:rPr>
          <w:rFonts w:hint="eastAsia" w:ascii="仿宋_GB2312" w:hAnsi="仿宋_GB2312" w:eastAsia="仿宋_GB2312" w:cs="仿宋_GB2312"/>
          <w:color w:val="000000" w:themeColor="text1"/>
          <w:sz w:val="32"/>
          <w:szCs w:val="32"/>
          <w:highlight w:val="none"/>
          <w:u w:val="none"/>
          <w:lang w:val="en-US" w:eastAsia="zh-CN" w:bidi="ar-SA"/>
          <w14:textFill>
            <w14:solidFill>
              <w14:schemeClr w14:val="tx1"/>
            </w14:solidFill>
          </w14:textFill>
        </w:rPr>
        <w:t>加快推进高端商业载体建设，</w:t>
      </w:r>
      <w:r>
        <w:rPr>
          <w:rFonts w:hint="eastAsia" w:ascii="仿宋_GB2312" w:hAnsi="仿宋_GB2312" w:eastAsia="仿宋_GB2312" w:cs="仿宋_GB2312"/>
          <w:color w:val="000000"/>
          <w:sz w:val="32"/>
          <w:szCs w:val="32"/>
        </w:rPr>
        <w:t>推动北园大街、济泺路、堤口路、小清河</w:t>
      </w:r>
      <w:r>
        <w:rPr>
          <w:rFonts w:hint="eastAsia" w:ascii="仿宋_GB2312" w:hAnsi="仿宋_GB2312" w:eastAsia="仿宋_GB2312" w:cs="仿宋_GB2312"/>
          <w:color w:val="000000" w:themeColor="text1"/>
          <w:sz w:val="32"/>
          <w:szCs w:val="32"/>
          <w:highlight w:val="none"/>
          <w:u w:val="none"/>
          <w:lang w:val="en-US" w:eastAsia="zh-CN" w:bidi="ar-SA"/>
          <w14:textFill>
            <w14:solidFill>
              <w14:schemeClr w14:val="tx1"/>
            </w14:solidFill>
          </w14:textFill>
        </w:rPr>
        <w:t>等</w:t>
      </w:r>
      <w:r>
        <w:rPr>
          <w:rFonts w:hint="eastAsia" w:ascii="仿宋_GB2312" w:hAnsi="仿宋_GB2312" w:eastAsia="仿宋_GB2312" w:cs="仿宋_GB2312"/>
          <w:color w:val="000000"/>
          <w:sz w:val="32"/>
          <w:szCs w:val="32"/>
        </w:rPr>
        <w:t>区域周边商圈全面升级</w:t>
      </w:r>
      <w:r>
        <w:rPr>
          <w:rFonts w:hint="eastAsia" w:ascii="仿宋_GB2312" w:hAnsi="仿宋_GB2312" w:eastAsia="仿宋_GB2312" w:cs="仿宋_GB2312"/>
          <w:color w:val="000000" w:themeColor="text1"/>
          <w:sz w:val="32"/>
          <w:szCs w:val="32"/>
          <w:highlight w:val="none"/>
          <w:u w:val="none"/>
          <w:lang w:val="en-US" w:eastAsia="zh-CN" w:bidi="ar-SA"/>
          <w14:textFill>
            <w14:solidFill>
              <w14:schemeClr w14:val="tx1"/>
            </w14:solidFill>
          </w14:textFill>
        </w:rPr>
        <w:t>。引导传统专业市场数字化转型，</w:t>
      </w:r>
      <w:r>
        <w:rPr>
          <w:rFonts w:hint="eastAsia" w:ascii="仿宋_GB2312" w:hAnsi="仿宋_GB2312" w:eastAsia="仿宋_GB2312" w:cs="仿宋_GB2312"/>
          <w:color w:val="000000"/>
          <w:sz w:val="32"/>
          <w:szCs w:val="32"/>
        </w:rPr>
        <w:t>构建涵盖鉴定、评估、交易、售后全链条的二手商品服务体系和线上线下融合的循环生态。</w:t>
      </w:r>
      <w:r>
        <w:rPr>
          <w:rFonts w:hint="eastAsia" w:ascii="仿宋_GB2312" w:hAnsi="仿宋_GB2312" w:eastAsia="仿宋_GB2312" w:cs="仿宋_GB2312"/>
          <w:color w:val="000000" w:themeColor="text1"/>
          <w:sz w:val="32"/>
          <w:szCs w:val="32"/>
          <w:highlight w:val="none"/>
          <w:u w:val="none"/>
          <w:lang w:val="en-US" w:eastAsia="zh-CN" w:bidi="ar-SA"/>
          <w14:textFill>
            <w14:solidFill>
              <w14:schemeClr w14:val="tx1"/>
            </w14:solidFill>
          </w14:textFill>
        </w:rPr>
        <w:t>加快配套商业项目建设，促进以贸促产、聚商兴园。</w:t>
      </w:r>
    </w:p>
    <w:p w14:paraId="0981068C">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ascii="楷体_GB2312" w:hAnsi="楷体_GB2312" w:eastAsia="楷体_GB2312" w:cs="楷体_GB2312"/>
          <w:b w:val="0"/>
          <w:bCs w:val="0"/>
          <w:sz w:val="32"/>
          <w:szCs w:val="32"/>
          <w:highlight w:val="none"/>
          <w:u w:val="none"/>
          <w:lang w:val="en-US" w:eastAsia="zh-CN"/>
        </w:rPr>
      </w:pPr>
      <w:r>
        <w:rPr>
          <w:rFonts w:hint="eastAsia" w:ascii="楷体_GB2312" w:hAnsi="楷体_GB2312" w:eastAsia="楷体_GB2312" w:cs="楷体_GB2312"/>
          <w:b w:val="0"/>
          <w:bCs w:val="0"/>
          <w:sz w:val="32"/>
          <w:szCs w:val="32"/>
          <w:highlight w:val="none"/>
          <w:u w:val="none"/>
          <w:lang w:val="en-US" w:eastAsia="zh-CN"/>
        </w:rPr>
        <w:t>第</w:t>
      </w:r>
      <w:r>
        <w:rPr>
          <w:rFonts w:hint="eastAsia" w:ascii="楷体_GB2312" w:hAnsi="楷体_GB2312" w:cs="楷体_GB2312"/>
          <w:b w:val="0"/>
          <w:bCs w:val="0"/>
          <w:sz w:val="32"/>
          <w:szCs w:val="32"/>
          <w:highlight w:val="none"/>
          <w:u w:val="none"/>
          <w:lang w:val="en-US" w:eastAsia="zh-CN"/>
        </w:rPr>
        <w:t>四</w:t>
      </w:r>
      <w:r>
        <w:rPr>
          <w:rFonts w:hint="eastAsia" w:ascii="楷体_GB2312" w:hAnsi="楷体_GB2312" w:eastAsia="楷体_GB2312" w:cs="楷体_GB2312"/>
          <w:b w:val="0"/>
          <w:bCs w:val="0"/>
          <w:sz w:val="32"/>
          <w:szCs w:val="32"/>
          <w:highlight w:val="none"/>
          <w:u w:val="none"/>
          <w:lang w:val="en-US" w:eastAsia="zh-CN"/>
        </w:rPr>
        <w:t>节  精准发力招商引资</w:t>
      </w:r>
    </w:p>
    <w:p w14:paraId="27D89FAF">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Lines="0" w:beforeAutospacing="0" w:after="0" w:afterLines="0" w:afterAutospacing="0" w:line="600" w:lineRule="exact"/>
        <w:ind w:left="0" w:right="0" w:firstLine="643"/>
        <w:jc w:val="both"/>
        <w:outlineLvl w:val="9"/>
        <w:rPr>
          <w:rFonts w:hint="eastAsia" w:ascii="仿宋_GB2312" w:hAnsi="仿宋_GB2312" w:eastAsia="仿宋_GB2312" w:cs="仿宋_GB2312"/>
          <w:b w:val="0"/>
          <w:bCs w:val="0"/>
          <w:color w:val="000000"/>
          <w:kern w:val="0"/>
          <w:sz w:val="32"/>
          <w:szCs w:val="32"/>
          <w:highlight w:val="none"/>
          <w:u w:val="none"/>
          <w:lang w:val="en-US" w:eastAsia="zh-CN" w:bidi="ar-SA"/>
        </w:rPr>
      </w:pPr>
      <w:r>
        <w:rPr>
          <w:rFonts w:hint="eastAsia" w:ascii="仿宋_GB2312" w:hAnsi="仿宋_GB2312" w:eastAsia="仿宋_GB2312" w:cs="仿宋_GB2312"/>
          <w:color w:val="000000"/>
          <w:sz w:val="32"/>
          <w:szCs w:val="32"/>
          <w:highlight w:val="none"/>
          <w:u w:val="none"/>
        </w:rPr>
        <w:t>扎实推动招商引资提质增效</w:t>
      </w:r>
      <w:r>
        <w:rPr>
          <w:rFonts w:hint="eastAsia" w:cs="仿宋_GB2312"/>
          <w:color w:val="000000"/>
          <w:sz w:val="32"/>
          <w:szCs w:val="32"/>
          <w:highlight w:val="none"/>
          <w:u w:val="none"/>
          <w:lang w:eastAsia="zh-CN"/>
        </w:rPr>
        <w:t>，</w:t>
      </w:r>
      <w:r>
        <w:rPr>
          <w:rFonts w:hint="eastAsia" w:ascii="仿宋_GB2312" w:hAnsi="仿宋_GB2312" w:eastAsia="仿宋_GB2312" w:cs="仿宋_GB2312"/>
          <w:color w:val="000000"/>
          <w:sz w:val="32"/>
          <w:szCs w:val="32"/>
          <w:highlight w:val="none"/>
        </w:rPr>
        <w:t>聚焦产业提质、项目提效、服务提优，创新招商理念、拓宽招商渠道、完善招商机制，着力引进一批</w:t>
      </w:r>
      <w:r>
        <w:rPr>
          <w:rStyle w:val="17"/>
          <w:rFonts w:hint="eastAsia" w:ascii="仿宋_GB2312" w:hAnsi="仿宋_GB2312" w:eastAsia="仿宋_GB2312" w:cs="仿宋_GB2312"/>
          <w:b w:val="0"/>
          <w:bCs w:val="0"/>
          <w:color w:val="000000"/>
          <w:sz w:val="32"/>
          <w:szCs w:val="32"/>
          <w:highlight w:val="none"/>
        </w:rPr>
        <w:t>体量大、质量高、效益好、带动强</w:t>
      </w:r>
      <w:r>
        <w:rPr>
          <w:rFonts w:hint="eastAsia" w:ascii="仿宋_GB2312" w:hAnsi="仿宋_GB2312" w:eastAsia="仿宋_GB2312" w:cs="仿宋_GB2312"/>
          <w:color w:val="000000"/>
          <w:sz w:val="32"/>
          <w:szCs w:val="32"/>
          <w:highlight w:val="none"/>
        </w:rPr>
        <w:t>的优质项目，以高水平招商引资赋能产业升级、增强发展动能</w:t>
      </w:r>
      <w:r>
        <w:rPr>
          <w:rFonts w:hint="eastAsia" w:cs="仿宋_GB2312"/>
          <w:color w:val="000000"/>
          <w:sz w:val="32"/>
          <w:szCs w:val="32"/>
          <w:highlight w:val="none"/>
          <w:u w:val="none"/>
          <w:lang w:eastAsia="zh-CN"/>
        </w:rPr>
        <w:t>。</w:t>
      </w:r>
    </w:p>
    <w:p w14:paraId="1D7AF006">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Lines="0" w:beforeAutospacing="0" w:after="0" w:afterLines="0" w:afterAutospacing="0" w:line="600" w:lineRule="exact"/>
        <w:ind w:left="0" w:right="0" w:firstLine="643"/>
        <w:jc w:val="both"/>
        <w:outlineLvl w:val="9"/>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b/>
          <w:bCs/>
          <w:color w:val="000000" w:themeColor="text1"/>
          <w:kern w:val="0"/>
          <w:sz w:val="32"/>
          <w:szCs w:val="32"/>
          <w:highlight w:val="none"/>
          <w:u w:val="none"/>
          <w:lang w:val="en-US" w:eastAsia="zh-CN" w:bidi="ar-SA"/>
          <w14:textFill>
            <w14:solidFill>
              <w14:schemeClr w14:val="tx1"/>
            </w14:solidFill>
          </w14:textFill>
        </w:rPr>
        <w:t>创新产业招商模式。</w:t>
      </w:r>
      <w:r>
        <w:rPr>
          <w:rFonts w:hint="eastAsia" w:ascii="仿宋_GB2312" w:hAnsi="仿宋_GB2312" w:eastAsia="仿宋_GB2312" w:cs="仿宋_GB2312"/>
          <w:b w:val="0"/>
          <w:bCs w:val="0"/>
          <w:color w:val="000000" w:themeColor="text1"/>
          <w:kern w:val="0"/>
          <w:sz w:val="32"/>
          <w:szCs w:val="32"/>
          <w:highlight w:val="none"/>
          <w:u w:val="none"/>
          <w:lang w:val="en-US" w:eastAsia="zh-CN" w:bidi="ar-SA"/>
          <w14:textFill>
            <w14:solidFill>
              <w14:schemeClr w14:val="tx1"/>
            </w14:solidFill>
          </w14:textFill>
        </w:rPr>
        <w:t>积极参与省市</w:t>
      </w:r>
      <w:r>
        <w:rPr>
          <w:rFonts w:hint="eastAsia" w:cs="仿宋_GB2312"/>
          <w:b w:val="0"/>
          <w:bCs w:val="0"/>
          <w:color w:val="000000" w:themeColor="text1"/>
          <w:kern w:val="0"/>
          <w:sz w:val="32"/>
          <w:szCs w:val="32"/>
          <w:highlight w:val="none"/>
          <w:u w:val="none"/>
          <w:lang w:val="en-US" w:eastAsia="zh-CN" w:bidi="ar-SA"/>
          <w14:textFill>
            <w14:solidFill>
              <w14:schemeClr w14:val="tx1"/>
            </w14:solidFill>
          </w14:textFill>
        </w:rPr>
        <w:t>级</w:t>
      </w:r>
      <w:r>
        <w:rPr>
          <w:rFonts w:hint="eastAsia" w:ascii="仿宋_GB2312" w:hAnsi="仿宋_GB2312" w:eastAsia="仿宋_GB2312" w:cs="仿宋_GB2312"/>
          <w:b w:val="0"/>
          <w:bCs w:val="0"/>
          <w:color w:val="000000" w:themeColor="text1"/>
          <w:kern w:val="0"/>
          <w:sz w:val="32"/>
          <w:szCs w:val="32"/>
          <w:highlight w:val="none"/>
          <w:u w:val="none"/>
          <w:lang w:val="en-US" w:eastAsia="zh-CN" w:bidi="ar-SA"/>
          <w14:textFill>
            <w14:solidFill>
              <w14:schemeClr w14:val="tx1"/>
            </w14:solidFill>
          </w14:textFill>
        </w:rPr>
        <w:t>高能级开放平台，开展靶向推介</w:t>
      </w:r>
      <w:r>
        <w:rPr>
          <w:rFonts w:hint="eastAsia" w:cs="仿宋_GB2312"/>
          <w:b w:val="0"/>
          <w:bCs w:val="0"/>
          <w:color w:val="000000" w:themeColor="text1"/>
          <w:kern w:val="0"/>
          <w:sz w:val="32"/>
          <w:szCs w:val="32"/>
          <w:highlight w:val="none"/>
          <w:u w:val="none"/>
          <w:lang w:val="en-US" w:eastAsia="zh-CN" w:bidi="ar-SA"/>
          <w14:textFill>
            <w14:solidFill>
              <w14:schemeClr w14:val="tx1"/>
            </w14:solidFill>
          </w14:textFill>
        </w:rPr>
        <w:t>和</w:t>
      </w:r>
      <w:r>
        <w:rPr>
          <w:rFonts w:hint="eastAsia" w:ascii="仿宋_GB2312" w:hAnsi="仿宋_GB2312" w:eastAsia="仿宋_GB2312" w:cs="仿宋_GB2312"/>
          <w:b w:val="0"/>
          <w:bCs w:val="0"/>
          <w:color w:val="000000" w:themeColor="text1"/>
          <w:kern w:val="0"/>
          <w:sz w:val="32"/>
          <w:szCs w:val="32"/>
          <w:highlight w:val="none"/>
          <w:u w:val="none"/>
          <w:lang w:val="en-US" w:eastAsia="zh-CN" w:bidi="ar-SA"/>
          <w14:textFill>
            <w14:solidFill>
              <w14:schemeClr w14:val="tx1"/>
            </w14:solidFill>
          </w14:textFill>
        </w:rPr>
        <w:t>项目对接，聚力突破</w:t>
      </w:r>
      <w:r>
        <w:rPr>
          <w:rFonts w:hint="eastAsia" w:cs="仿宋_GB2312"/>
          <w:b w:val="0"/>
          <w:bCs w:val="0"/>
          <w:color w:val="000000" w:themeColor="text1"/>
          <w:kern w:val="0"/>
          <w:sz w:val="32"/>
          <w:szCs w:val="32"/>
          <w:highlight w:val="none"/>
          <w:u w:val="none"/>
          <w:lang w:val="en-US" w:eastAsia="zh-CN" w:bidi="ar-SA"/>
          <w14:textFill>
            <w14:solidFill>
              <w14:schemeClr w14:val="tx1"/>
            </w14:solidFill>
          </w14:textFill>
        </w:rPr>
        <w:t>主导产业</w:t>
      </w:r>
      <w:r>
        <w:rPr>
          <w:rFonts w:hint="eastAsia" w:ascii="仿宋_GB2312" w:hAnsi="仿宋_GB2312" w:eastAsia="仿宋_GB2312" w:cs="仿宋_GB2312"/>
          <w:b w:val="0"/>
          <w:bCs w:val="0"/>
          <w:color w:val="000000" w:themeColor="text1"/>
          <w:kern w:val="0"/>
          <w:sz w:val="32"/>
          <w:szCs w:val="32"/>
          <w:highlight w:val="none"/>
          <w:u w:val="none"/>
          <w:lang w:val="en-US" w:eastAsia="zh-CN" w:bidi="ar-SA"/>
          <w14:textFill>
            <w14:solidFill>
              <w14:schemeClr w14:val="tx1"/>
            </w14:solidFill>
          </w14:textFill>
        </w:rPr>
        <w:t>招引。围绕现代化产业体系，深入开展</w:t>
      </w:r>
      <w:r>
        <w:rPr>
          <w:rStyle w:val="17"/>
          <w:rFonts w:hint="eastAsia" w:ascii="仿宋_GB2312" w:hAnsi="仿宋_GB2312" w:eastAsia="仿宋_GB2312" w:cs="仿宋_GB2312"/>
          <w:b w:val="0"/>
          <w:bCs w:val="0"/>
          <w:color w:val="000000" w:themeColor="text1"/>
          <w:kern w:val="0"/>
          <w:sz w:val="32"/>
          <w:szCs w:val="32"/>
          <w:highlight w:val="none"/>
          <w:u w:val="none"/>
          <w:lang w:val="en-US" w:eastAsia="zh-CN" w:bidi="ar-SA"/>
          <w14:textFill>
            <w14:solidFill>
              <w14:schemeClr w14:val="tx1"/>
            </w14:solidFill>
          </w14:textFill>
        </w:rPr>
        <w:t>建链、延链、补链、强链</w:t>
      </w:r>
      <w:r>
        <w:rPr>
          <w:rFonts w:hint="eastAsia" w:ascii="仿宋_GB2312" w:hAnsi="仿宋_GB2312" w:eastAsia="仿宋_GB2312" w:cs="仿宋_GB2312"/>
          <w:b w:val="0"/>
          <w:bCs w:val="0"/>
          <w:color w:val="000000" w:themeColor="text1"/>
          <w:kern w:val="0"/>
          <w:sz w:val="32"/>
          <w:szCs w:val="32"/>
          <w:highlight w:val="none"/>
          <w:u w:val="none"/>
          <w:lang w:val="en-US" w:eastAsia="zh-CN" w:bidi="ar-SA"/>
          <w14:textFill>
            <w14:solidFill>
              <w14:schemeClr w14:val="tx1"/>
            </w14:solidFill>
          </w14:textFill>
        </w:rPr>
        <w:t>定向招商，瞄准大高强优项目精准发力、持续攻坚，推动招商引资向构建完整产业链、培育产业集群转变。</w:t>
      </w:r>
    </w:p>
    <w:p w14:paraId="5FE1B6B7">
      <w:pPr>
        <w:widowControl/>
        <w:pBdr>
          <w:top w:val="none" w:color="auto" w:sz="0" w:space="0"/>
          <w:left w:val="none" w:color="auto" w:sz="0" w:space="0"/>
          <w:bottom w:val="none" w:color="auto" w:sz="0" w:space="0"/>
          <w:right w:val="none" w:color="auto" w:sz="0" w:space="0"/>
        </w:pBdr>
        <w:spacing w:beforeLines="0" w:afterLines="0"/>
        <w:ind w:firstLine="643"/>
        <w:jc w:val="left"/>
        <w:outlineLvl w:val="9"/>
        <w:rPr>
          <w:rFonts w:hint="eastAsia"/>
          <w:highlight w:val="none"/>
          <w:lang w:val="en-US" w:eastAsia="zh-CN"/>
        </w:rPr>
      </w:pPr>
      <w:r>
        <w:rPr>
          <w:rFonts w:hint="eastAsia" w:ascii="仿宋_GB2312" w:hAnsi="仿宋_GB2312" w:eastAsia="仿宋_GB2312" w:cs="仿宋_GB2312"/>
          <w:b/>
          <w:bCs/>
          <w:color w:val="000000" w:themeColor="text1"/>
          <w:sz w:val="32"/>
          <w:szCs w:val="32"/>
          <w:highlight w:val="none"/>
          <w:u w:val="none"/>
          <w14:textFill>
            <w14:solidFill>
              <w14:schemeClr w14:val="tx1"/>
            </w14:solidFill>
          </w14:textFill>
        </w:rPr>
        <w:t>创新招商引资工作机制</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。健全招商工作体系，高效集聚市场、技术、资本、人才、产业配套等核心要素</w:t>
      </w:r>
      <w:r>
        <w:rPr>
          <w:rFonts w:hint="eastAsia" w:cs="仿宋_GB2312"/>
          <w:color w:val="000000" w:themeColor="text1"/>
          <w:sz w:val="32"/>
          <w:szCs w:val="32"/>
          <w:highlight w:val="none"/>
          <w:u w:val="none"/>
          <w:lang w:eastAsia="zh-CN"/>
          <w14:textFill>
            <w14:solidFill>
              <w14:schemeClr w14:val="tx1"/>
            </w14:solidFill>
          </w14:textFill>
        </w:rPr>
        <w:t>，精准开展产业招商。</w:t>
      </w:r>
      <w:r>
        <w:rPr>
          <w:rFonts w:hint="eastAsia" w:cs="仿宋_GB2312"/>
          <w:color w:val="000000" w:themeColor="text1"/>
          <w:sz w:val="32"/>
          <w:szCs w:val="32"/>
          <w:highlight w:val="none"/>
          <w:u w:val="none"/>
          <w:lang w:val="en-US" w:eastAsia="zh-CN"/>
          <w14:textFill>
            <w14:solidFill>
              <w14:schemeClr w14:val="tx1"/>
            </w14:solidFill>
          </w14:textFill>
        </w:rPr>
        <w:t>探索</w:t>
      </w:r>
      <w:r>
        <w:rPr>
          <w:rFonts w:hint="eastAsia" w:ascii="仿宋_GB2312" w:hAnsi="仿宋_GB2312" w:eastAsia="仿宋_GB2312" w:cs="仿宋_GB2312"/>
          <w:color w:val="000000"/>
          <w:kern w:val="0"/>
          <w:sz w:val="32"/>
          <w:szCs w:val="32"/>
          <w:highlight w:val="none"/>
          <w:lang w:val="en-US" w:eastAsia="zh-CN" w:bidi="ar"/>
        </w:rPr>
        <w:t>培育线上招商载体，</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运用大数据、“互联网+”等手段，提升招商精准度</w:t>
      </w:r>
      <w:r>
        <w:rPr>
          <w:rFonts w:hint="eastAsia" w:cs="仿宋_GB2312"/>
          <w:color w:val="000000" w:themeColor="text1"/>
          <w:sz w:val="32"/>
          <w:szCs w:val="32"/>
          <w:highlight w:val="none"/>
          <w:u w:val="none"/>
          <w:lang w:val="en-US" w:eastAsia="zh-CN"/>
          <w14:textFill>
            <w14:solidFill>
              <w14:schemeClr w14:val="tx1"/>
            </w14:solidFill>
          </w14:textFill>
        </w:rPr>
        <w:t>和</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落地实效。建立招商引资专家智库机制，发挥决策咨询、资源链接作用，提升招商专业化水平</w:t>
      </w:r>
      <w:r>
        <w:rPr>
          <w:rFonts w:hint="eastAsia" w:cs="仿宋_GB2312"/>
          <w:color w:val="000000" w:themeColor="text1"/>
          <w:sz w:val="32"/>
          <w:szCs w:val="32"/>
          <w:highlight w:val="none"/>
          <w:u w:val="none"/>
          <w:lang w:val="en-US" w:eastAsia="zh-CN"/>
          <w14:textFill>
            <w14:solidFill>
              <w14:schemeClr w14:val="tx1"/>
            </w14:solidFill>
          </w14:textFill>
        </w:rPr>
        <w:t>和</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服务企业效能。实行招商项目“一企一案”</w:t>
      </w:r>
      <w:r>
        <w:rPr>
          <w:rStyle w:val="17"/>
          <w:rFonts w:hint="eastAsia" w:ascii="仿宋_GB2312" w:hAnsi="仿宋_GB2312" w:eastAsia="仿宋_GB2312" w:cs="仿宋_GB2312"/>
          <w:b w:val="0"/>
          <w:bCs w:val="0"/>
          <w:color w:val="000000" w:themeColor="text1"/>
          <w:sz w:val="32"/>
          <w:szCs w:val="32"/>
          <w:highlight w:val="none"/>
          <w:u w:val="none"/>
          <w14:textFill>
            <w14:solidFill>
              <w14:schemeClr w14:val="tx1"/>
            </w14:solidFill>
          </w14:textFill>
        </w:rPr>
        <w:t>全生命周期管理，强化跟踪服务与要素保障。健全空置厂房、商务楼宇、产业用地等闲置资源盘活利用机制，提高资源配置</w:t>
      </w:r>
      <w:r>
        <w:rPr>
          <w:rFonts w:hint="eastAsia" w:cs="仿宋_GB2312"/>
          <w:b w:val="0"/>
          <w:bCs w:val="0"/>
          <w:color w:val="000000" w:themeColor="text1"/>
          <w:sz w:val="32"/>
          <w:szCs w:val="32"/>
          <w:highlight w:val="none"/>
          <w:u w:val="none"/>
          <w:lang w:val="en-US" w:eastAsia="zh-CN"/>
          <w14:textFill>
            <w14:solidFill>
              <w14:schemeClr w14:val="tx1"/>
            </w14:solidFill>
          </w14:textFill>
        </w:rPr>
        <w:t>和</w:t>
      </w:r>
      <w:r>
        <w:rPr>
          <w:rStyle w:val="17"/>
          <w:rFonts w:hint="eastAsia" w:ascii="仿宋_GB2312" w:hAnsi="仿宋_GB2312" w:eastAsia="仿宋_GB2312" w:cs="仿宋_GB2312"/>
          <w:b w:val="0"/>
          <w:bCs w:val="0"/>
          <w:color w:val="000000" w:themeColor="text1"/>
          <w:sz w:val="32"/>
          <w:szCs w:val="32"/>
          <w:highlight w:val="none"/>
          <w:u w:val="none"/>
          <w14:textFill>
            <w14:solidFill>
              <w14:schemeClr w14:val="tx1"/>
            </w14:solidFill>
          </w14:textFill>
        </w:rPr>
        <w:t>招商利用效率。</w:t>
      </w:r>
    </w:p>
    <w:p w14:paraId="3257AB55">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ascii="楷体_GB2312" w:hAnsi="楷体_GB2312" w:eastAsia="楷体_GB2312" w:cs="楷体_GB2312"/>
          <w:b w:val="0"/>
          <w:bCs w:val="0"/>
          <w:sz w:val="32"/>
          <w:szCs w:val="32"/>
          <w:u w:val="none"/>
          <w:lang w:val="en-US" w:eastAsia="zh-CN"/>
        </w:rPr>
      </w:pPr>
    </w:p>
    <w:p w14:paraId="7B9E57EC">
      <w:pPr>
        <w:rPr>
          <w:rFonts w:hint="eastAsia"/>
          <w:lang w:val="en-US" w:eastAsia="zh-CN"/>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DAF6EBA">
      <w:pPr>
        <w:pStyle w:val="2"/>
        <w:keepNext/>
        <w:keepLines w:val="0"/>
        <w:pageBreakBefore w:val="0"/>
        <w:widowControl w:val="0"/>
        <w:kinsoku/>
        <w:wordWrap/>
        <w:overflowPunct w:val="0"/>
        <w:topLinePunct w:val="0"/>
        <w:autoSpaceDE/>
        <w:autoSpaceDN/>
        <w:bidi w:val="0"/>
        <w:adjustRightInd w:val="0"/>
        <w:snapToGrid w:val="0"/>
        <w:spacing w:before="313" w:beforeLines="100" w:after="313" w:afterLines="100" w:line="580" w:lineRule="exact"/>
        <w:ind w:left="0" w:leftChars="0" w:firstLine="0" w:firstLineChars="0"/>
        <w:jc w:val="center"/>
        <w:textAlignment w:val="auto"/>
        <w:rPr>
          <w:rFonts w:hint="eastAsia" w:ascii="方正小标宋简体" w:hAnsi="方正小标宋简体" w:eastAsia="方正小标宋简体" w:cs="方正小标宋简体"/>
          <w:b w:val="0"/>
          <w:bCs w:val="0"/>
          <w:spacing w:val="-6"/>
          <w:kern w:val="2"/>
          <w:sz w:val="32"/>
          <w:szCs w:val="32"/>
          <w:u w:val="none"/>
          <w:lang w:val="en-US" w:eastAsia="zh-CN"/>
        </w:rPr>
      </w:pPr>
      <w:bookmarkStart w:id="28" w:name="_Toc623512089"/>
      <w:r>
        <w:rPr>
          <w:rFonts w:hint="eastAsia" w:ascii="方正小标宋简体" w:hAnsi="方正小标宋简体" w:eastAsia="方正小标宋简体" w:cs="方正小标宋简体"/>
          <w:b w:val="0"/>
          <w:bCs w:val="0"/>
          <w:spacing w:val="-6"/>
          <w:kern w:val="2"/>
          <w:sz w:val="32"/>
          <w:szCs w:val="32"/>
          <w:u w:val="none"/>
          <w:lang w:val="en-US" w:eastAsia="zh-CN"/>
        </w:rPr>
        <w:t>第三章  坚持科技创新与产业创新融合发展</w:t>
      </w:r>
      <w:bookmarkEnd w:id="28"/>
    </w:p>
    <w:p w14:paraId="6135C6C0">
      <w:pPr>
        <w:keepNext w:val="0"/>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640" w:firstLineChars="200"/>
        <w:jc w:val="left"/>
        <w:textAlignment w:val="auto"/>
        <w:outlineLvl w:val="9"/>
        <w:rPr>
          <w:rFonts w:hint="eastAsia" w:ascii="仿宋_GB2312" w:hAnsi="仿宋_GB2312" w:eastAsia="仿宋_GB2312" w:cs="仿宋_GB2312"/>
          <w:color w:val="000000"/>
          <w:sz w:val="32"/>
          <w:szCs w:val="32"/>
        </w:rPr>
      </w:pPr>
      <w:bookmarkStart w:id="29" w:name="_Toc749350316"/>
      <w:r>
        <w:rPr>
          <w:rFonts w:hint="eastAsia" w:ascii="仿宋_GB2312" w:hAnsi="仿宋_GB2312" w:eastAsia="仿宋_GB2312" w:cs="仿宋_GB2312"/>
          <w:color w:val="000000"/>
          <w:sz w:val="32"/>
          <w:szCs w:val="32"/>
        </w:rPr>
        <w:t>聚焦主导产业发展，</w:t>
      </w:r>
      <w:r>
        <w:rPr>
          <w:rFonts w:hint="eastAsia" w:ascii="仿宋_GB2312" w:hAnsi="仿宋_GB2312" w:eastAsia="仿宋_GB2312" w:cs="仿宋_GB2312"/>
          <w:color w:val="000000"/>
          <w:sz w:val="32"/>
          <w:szCs w:val="32"/>
          <w:lang w:val="en-US" w:eastAsia="zh-CN"/>
        </w:rPr>
        <w:t>大力推动科技成果就地转化，因地制宜发展新质生产力</w:t>
      </w:r>
      <w:r>
        <w:rPr>
          <w:rFonts w:hint="eastAsia" w:ascii="仿宋_GB2312" w:hAnsi="仿宋_GB2312" w:eastAsia="仿宋_GB2312" w:cs="仿宋_GB2312"/>
          <w:color w:val="000000"/>
          <w:sz w:val="32"/>
          <w:szCs w:val="32"/>
        </w:rPr>
        <w:t>。</w:t>
      </w:r>
      <w:bookmarkEnd w:id="29"/>
    </w:p>
    <w:p w14:paraId="06E18006">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default" w:ascii="楷体_GB2312" w:hAnsi="楷体_GB2312" w:eastAsia="楷体_GB2312" w:cs="楷体_GB2312"/>
          <w:b w:val="0"/>
          <w:bCs w:val="0"/>
          <w:sz w:val="32"/>
          <w:szCs w:val="32"/>
          <w:u w:val="none"/>
          <w:lang w:val="en-US" w:eastAsia="zh-CN"/>
        </w:rPr>
      </w:pPr>
      <w:bookmarkStart w:id="30" w:name="_Toc877078079"/>
      <w:r>
        <w:rPr>
          <w:rFonts w:hint="eastAsia" w:ascii="楷体_GB2312" w:hAnsi="楷体_GB2312" w:eastAsia="楷体_GB2312" w:cs="楷体_GB2312"/>
          <w:b w:val="0"/>
          <w:bCs w:val="0"/>
          <w:sz w:val="32"/>
          <w:szCs w:val="32"/>
          <w:u w:val="none"/>
          <w:lang w:val="en-US" w:eastAsia="zh-CN"/>
        </w:rPr>
        <w:t>第一节  强化企业创新主体地位</w:t>
      </w:r>
      <w:bookmarkEnd w:id="30"/>
    </w:p>
    <w:p w14:paraId="00CE3997">
      <w:pPr>
        <w:keepNext w:val="0"/>
        <w:keepLines w:val="0"/>
        <w:pageBreakBefore w:val="0"/>
        <w:widowControl w:val="0"/>
        <w:kinsoku/>
        <w:wordWrap/>
        <w:overflowPunct w:val="0"/>
        <w:topLinePunct w:val="0"/>
        <w:autoSpaceDE/>
        <w:autoSpaceDN/>
        <w:bidi w:val="0"/>
        <w:adjustRightInd w:val="0"/>
        <w:snapToGrid w:val="0"/>
        <w:spacing w:afterAutospacing="0" w:line="580" w:lineRule="exact"/>
        <w:ind w:left="0" w:leftChars="0" w:firstLine="640" w:firstLineChars="200"/>
        <w:jc w:val="both"/>
        <w:textAlignment w:val="auto"/>
        <w:outlineLvl w:val="9"/>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建立以企业为主体、以市场为导向的协同创新体系，推进创新链产业链协同发展，</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引导人才、技术、资金等创新资源向企业集聚</w:t>
      </w:r>
      <w:r>
        <w:rPr>
          <w:rFonts w:hint="eastAsia" w:cs="仿宋_GB2312"/>
          <w:color w:val="000000" w:themeColor="text1"/>
          <w:sz w:val="32"/>
          <w:szCs w:val="32"/>
          <w:u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提升企业研发能级</w:t>
      </w:r>
      <w:r>
        <w:rPr>
          <w:rFonts w:hint="eastAsia" w:cs="仿宋_GB2312"/>
          <w:color w:val="000000" w:themeColor="text1"/>
          <w:sz w:val="32"/>
          <w:szCs w:val="32"/>
          <w:u w:val="none"/>
          <w:lang w:val="en-US" w:eastAsia="zh-CN"/>
          <w14:textFill>
            <w14:solidFill>
              <w14:schemeClr w14:val="tx1"/>
            </w14:solidFill>
          </w14:textFill>
        </w:rPr>
        <w:t>和</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核心竞争力。</w:t>
      </w:r>
    </w:p>
    <w:p w14:paraId="36A4D50C">
      <w:pPr>
        <w:keepNext w:val="0"/>
        <w:keepLines w:val="0"/>
        <w:pageBreakBefore w:val="0"/>
        <w:widowControl w:val="0"/>
        <w:kinsoku/>
        <w:wordWrap/>
        <w:overflowPunct w:val="0"/>
        <w:topLinePunct w:val="0"/>
        <w:autoSpaceDE/>
        <w:autoSpaceDN/>
        <w:bidi w:val="0"/>
        <w:adjustRightInd w:val="0"/>
        <w:snapToGrid w:val="0"/>
        <w:spacing w:afterAutospacing="0" w:line="580" w:lineRule="exact"/>
        <w:ind w:left="0" w:leftChars="0" w:firstLine="643" w:firstLineChars="200"/>
        <w:jc w:val="both"/>
        <w:textAlignment w:val="auto"/>
        <w:outlineLvl w:val="9"/>
        <w:rPr>
          <w:rFonts w:hint="eastAsia"/>
          <w:b w:val="0"/>
          <w:bCs w:val="0"/>
          <w:color w:val="000000" w:themeColor="text1"/>
          <w:kern w:val="0"/>
          <w:sz w:val="32"/>
          <w:szCs w:val="32"/>
          <w:u w:val="none"/>
          <w:lang w:val="en-US" w:eastAsia="zh-CN"/>
          <w14:textFill>
            <w14:solidFill>
              <w14:schemeClr w14:val="tx1"/>
            </w14:solidFill>
          </w14:textFill>
        </w:rPr>
      </w:pPr>
      <w:r>
        <w:rPr>
          <w:rFonts w:hint="eastAsia"/>
          <w:b/>
          <w:bCs/>
          <w:color w:val="auto"/>
          <w:kern w:val="0"/>
          <w:sz w:val="32"/>
          <w:szCs w:val="32"/>
          <w:u w:val="none"/>
          <w:lang w:val="en-US" w:eastAsia="zh-CN"/>
        </w:rPr>
        <w:t>构建高质量科技型企业矩阵</w:t>
      </w:r>
      <w:r>
        <w:rPr>
          <w:rFonts w:hint="eastAsia"/>
          <w:b w:val="0"/>
          <w:bCs w:val="0"/>
          <w:color w:val="auto"/>
          <w:kern w:val="0"/>
          <w:sz w:val="32"/>
          <w:szCs w:val="32"/>
          <w:u w:val="none"/>
          <w:lang w:val="en-US" w:eastAsia="zh-CN"/>
        </w:rPr>
        <w:t>。健全“科技型中小企业—高新技术企业—专精特新企业—行业领军企业”的梯度培育体系，瞄准产业链关键环节和核心技术，加大科技型中小企业优选精育力度，加速推进高新企业“规模化”和规上企业“高新化”，引育一批集聚高端要素、技术含量高的科技领军企业</w:t>
      </w:r>
      <w:r>
        <w:rPr>
          <w:rFonts w:hint="eastAsia" w:ascii="仿宋_GB2312" w:hAnsi="仿宋_GB2312" w:eastAsia="仿宋_GB2312" w:cs="仿宋_GB2312"/>
          <w:b w:val="0"/>
          <w:bCs w:val="0"/>
          <w:color w:val="000000" w:themeColor="text1"/>
          <w:kern w:val="0"/>
          <w:sz w:val="32"/>
          <w:szCs w:val="32"/>
          <w:u w:val="none"/>
          <w:lang w:val="en-US" w:eastAsia="zh-CN" w:bidi="ar-SA"/>
          <w14:textFill>
            <w14:solidFill>
              <w14:schemeClr w14:val="tx1"/>
            </w14:solidFill>
          </w14:textFill>
        </w:rPr>
        <w:t>。</w:t>
      </w:r>
      <w:r>
        <w:rPr>
          <w:rFonts w:hint="eastAsia"/>
          <w:b w:val="0"/>
          <w:bCs w:val="0"/>
          <w:color w:val="000000" w:themeColor="text1"/>
          <w:kern w:val="0"/>
          <w:sz w:val="32"/>
          <w:szCs w:val="32"/>
          <w:u w:val="none"/>
          <w:lang w:val="en-US" w:eastAsia="zh-CN"/>
          <w14:textFill>
            <w14:solidFill>
              <w14:schemeClr w14:val="tx1"/>
            </w14:solidFill>
          </w14:textFill>
        </w:rPr>
        <w:t>到2030年，规上高新技术企业突破140家、科技型中小企业突破600家。</w:t>
      </w:r>
    </w:p>
    <w:p w14:paraId="7DD8B677">
      <w:pPr>
        <w:keepNext w:val="0"/>
        <w:keepLines w:val="0"/>
        <w:pageBreakBefore w:val="0"/>
        <w:widowControl w:val="0"/>
        <w:kinsoku/>
        <w:wordWrap/>
        <w:overflowPunct w:val="0"/>
        <w:topLinePunct w:val="0"/>
        <w:autoSpaceDE/>
        <w:autoSpaceDN/>
        <w:bidi w:val="0"/>
        <w:adjustRightInd w:val="0"/>
        <w:snapToGrid w:val="0"/>
        <w:spacing w:afterAutospacing="0" w:line="580" w:lineRule="exact"/>
        <w:ind w:left="0" w:leftChars="0" w:firstLine="643" w:firstLineChars="200"/>
        <w:jc w:val="both"/>
        <w:textAlignment w:val="auto"/>
        <w:outlineLvl w:val="9"/>
        <w:rPr>
          <w:rFonts w:hint="default"/>
          <w:b w:val="0"/>
          <w:bCs w:val="0"/>
          <w:color w:val="auto"/>
          <w:kern w:val="0"/>
          <w:sz w:val="32"/>
          <w:szCs w:val="32"/>
          <w:u w:val="none"/>
          <w:lang w:val="en-US" w:eastAsia="zh-CN"/>
        </w:rPr>
      </w:pPr>
      <w:r>
        <w:rPr>
          <w:rFonts w:hint="eastAsia"/>
          <w:b/>
          <w:bCs/>
          <w:color w:val="auto"/>
          <w:kern w:val="0"/>
          <w:sz w:val="32"/>
          <w:szCs w:val="32"/>
          <w:highlight w:val="none"/>
          <w:u w:val="none"/>
          <w:lang w:val="en-US" w:eastAsia="zh-CN"/>
        </w:rPr>
        <w:t>强化企业研发投入主体地位</w:t>
      </w:r>
      <w:r>
        <w:rPr>
          <w:rFonts w:hint="eastAsia"/>
          <w:b w:val="0"/>
          <w:bCs w:val="0"/>
          <w:color w:val="auto"/>
          <w:kern w:val="0"/>
          <w:sz w:val="32"/>
          <w:szCs w:val="32"/>
          <w:u w:val="none"/>
          <w:lang w:val="en-US" w:eastAsia="zh-CN"/>
        </w:rPr>
        <w:t>。</w:t>
      </w:r>
      <w:r>
        <w:rPr>
          <w:rFonts w:hint="eastAsia" w:ascii="仿宋_GB2312" w:hAnsi="仿宋_GB2312" w:eastAsia="仿宋_GB2312" w:cs="仿宋_GB2312"/>
          <w:sz w:val="32"/>
          <w:szCs w:val="32"/>
          <w:lang w:val="en-US" w:eastAsia="zh-CN"/>
        </w:rPr>
        <w:t>支持</w:t>
      </w:r>
      <w:r>
        <w:rPr>
          <w:rFonts w:hint="eastAsia" w:cs="仿宋_GB2312"/>
          <w:sz w:val="32"/>
          <w:szCs w:val="32"/>
          <w:lang w:val="en-US" w:eastAsia="zh-CN"/>
        </w:rPr>
        <w:t>行业</w:t>
      </w:r>
      <w:r>
        <w:rPr>
          <w:rFonts w:hint="eastAsia" w:ascii="仿宋_GB2312" w:hAnsi="仿宋_GB2312" w:eastAsia="仿宋_GB2312" w:cs="仿宋_GB2312"/>
          <w:sz w:val="32"/>
          <w:szCs w:val="32"/>
          <w:lang w:val="en-US" w:eastAsia="zh-CN"/>
        </w:rPr>
        <w:t>企业牵头或参与国家、省、市重大科技项目，组建创新联合体、技术中心、工业设计中心和重点实验室</w:t>
      </w:r>
      <w:r>
        <w:rPr>
          <w:rFonts w:hint="eastAsia" w:cs="仿宋_GB2312"/>
          <w:sz w:val="32"/>
          <w:szCs w:val="32"/>
          <w:lang w:val="en-US" w:eastAsia="zh-CN"/>
        </w:rPr>
        <w:t>，</w:t>
      </w:r>
      <w:r>
        <w:rPr>
          <w:rFonts w:hint="eastAsia"/>
          <w:b w:val="0"/>
          <w:bCs w:val="0"/>
          <w:color w:val="auto"/>
          <w:kern w:val="0"/>
          <w:sz w:val="32"/>
          <w:szCs w:val="32"/>
          <w:u w:val="none"/>
          <w:lang w:val="en-US" w:eastAsia="zh-CN"/>
        </w:rPr>
        <w:t>持续强化企业在重大技术创新方向确定和应用类科技项目遴选中的主导权。到2030年，由企业牵头承担省市级科技计划项目比例达80%以上。</w:t>
      </w:r>
    </w:p>
    <w:p w14:paraId="569E51F7">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default" w:ascii="楷体_GB2312" w:hAnsi="楷体_GB2312" w:eastAsia="楷体_GB2312" w:cs="楷体_GB2312"/>
          <w:b w:val="0"/>
          <w:bCs w:val="0"/>
          <w:sz w:val="32"/>
          <w:szCs w:val="32"/>
          <w:u w:val="none"/>
          <w:lang w:val="en-US" w:eastAsia="zh-CN"/>
        </w:rPr>
      </w:pPr>
      <w:bookmarkStart w:id="31" w:name="_Toc788609324"/>
      <w:r>
        <w:rPr>
          <w:rFonts w:hint="eastAsia" w:ascii="楷体_GB2312" w:hAnsi="楷体_GB2312" w:eastAsia="楷体_GB2312" w:cs="楷体_GB2312"/>
          <w:b w:val="0"/>
          <w:bCs w:val="0"/>
          <w:sz w:val="32"/>
          <w:szCs w:val="32"/>
          <w:u w:val="none"/>
          <w:lang w:val="en-US" w:eastAsia="zh-CN"/>
        </w:rPr>
        <w:t>第二节  推动科技成果转化应用</w:t>
      </w:r>
      <w:bookmarkEnd w:id="31"/>
    </w:p>
    <w:p w14:paraId="6D580C54">
      <w:pPr>
        <w:keepLines w:val="0"/>
        <w:pageBreakBefore w:val="0"/>
        <w:kinsoku/>
        <w:wordWrap/>
        <w:topLinePunct w:val="0"/>
        <w:autoSpaceDE/>
        <w:autoSpaceDN/>
        <w:bidi w:val="0"/>
        <w:spacing w:line="580" w:lineRule="exact"/>
        <w:textAlignment w:val="auto"/>
        <w:rPr>
          <w:rFonts w:hint="eastAsia" w:ascii="仿宋_GB2312" w:hAnsi="仿宋_GB2312" w:eastAsia="仿宋_GB2312" w:cs="仿宋_GB2312"/>
          <w:sz w:val="32"/>
          <w:szCs w:val="32"/>
          <w:lang w:val="en-US" w:eastAsia="zh-CN"/>
        </w:rPr>
      </w:pPr>
      <w:r>
        <w:rPr>
          <w:rFonts w:hint="eastAsia"/>
          <w:lang w:val="en-US" w:eastAsia="zh-CN"/>
        </w:rPr>
        <w:t>聚焦产业发展需求，统筹推进科技创新和成果转化</w:t>
      </w:r>
      <w:r>
        <w:rPr>
          <w:rFonts w:hint="eastAsia" w:ascii="仿宋_GB2312" w:hAnsi="仿宋_GB2312" w:eastAsia="仿宋_GB2312" w:cs="仿宋_GB2312"/>
          <w:sz w:val="32"/>
          <w:szCs w:val="32"/>
          <w:lang w:val="en-US" w:eastAsia="zh-CN"/>
        </w:rPr>
        <w:t>，构建“基础研究</w:t>
      </w:r>
      <w:r>
        <w:rPr>
          <w:rFonts w:hint="eastAsia" w:cs="仿宋_GB2312"/>
          <w:sz w:val="32"/>
          <w:szCs w:val="32"/>
          <w:lang w:val="en-US" w:eastAsia="zh-CN"/>
        </w:rPr>
        <w:t>—</w:t>
      </w:r>
      <w:r>
        <w:rPr>
          <w:rFonts w:hint="eastAsia" w:ascii="仿宋_GB2312" w:hAnsi="仿宋_GB2312" w:eastAsia="仿宋_GB2312" w:cs="仿宋_GB2312"/>
          <w:sz w:val="32"/>
          <w:szCs w:val="32"/>
          <w:lang w:val="en-US" w:eastAsia="zh-CN"/>
        </w:rPr>
        <w:t>技术攻关</w:t>
      </w:r>
      <w:r>
        <w:rPr>
          <w:rFonts w:hint="eastAsia" w:cs="仿宋_GB2312"/>
          <w:sz w:val="32"/>
          <w:szCs w:val="32"/>
          <w:lang w:val="en-US" w:eastAsia="zh-CN"/>
        </w:rPr>
        <w:t>—</w:t>
      </w:r>
      <w:r>
        <w:rPr>
          <w:rFonts w:hint="eastAsia" w:ascii="仿宋_GB2312" w:hAnsi="仿宋_GB2312" w:eastAsia="仿宋_GB2312" w:cs="仿宋_GB2312"/>
          <w:sz w:val="32"/>
          <w:szCs w:val="32"/>
          <w:lang w:val="en-US" w:eastAsia="zh-CN"/>
        </w:rPr>
        <w:t>成果转化</w:t>
      </w:r>
      <w:r>
        <w:rPr>
          <w:rFonts w:hint="eastAsia" w:cs="仿宋_GB2312"/>
          <w:sz w:val="32"/>
          <w:szCs w:val="32"/>
          <w:lang w:val="en-US" w:eastAsia="zh-CN"/>
        </w:rPr>
        <w:t>—</w:t>
      </w:r>
      <w:r>
        <w:rPr>
          <w:rFonts w:hint="eastAsia" w:ascii="仿宋_GB2312" w:hAnsi="仿宋_GB2312" w:eastAsia="仿宋_GB2312" w:cs="仿宋_GB2312"/>
          <w:sz w:val="32"/>
          <w:szCs w:val="32"/>
          <w:lang w:val="en-US" w:eastAsia="zh-CN"/>
        </w:rPr>
        <w:t>产业引领”的</w:t>
      </w:r>
      <w:r>
        <w:rPr>
          <w:rFonts w:hint="eastAsia" w:cs="仿宋_GB2312"/>
          <w:sz w:val="32"/>
          <w:szCs w:val="32"/>
          <w:lang w:val="en-US" w:eastAsia="zh-CN"/>
        </w:rPr>
        <w:t>一体化成果转化体系</w:t>
      </w:r>
      <w:r>
        <w:rPr>
          <w:rFonts w:hint="eastAsia" w:ascii="仿宋_GB2312" w:hAnsi="仿宋_GB2312" w:eastAsia="仿宋_GB2312" w:cs="仿宋_GB2312"/>
          <w:sz w:val="32"/>
          <w:szCs w:val="32"/>
          <w:lang w:val="en-US" w:eastAsia="zh-CN"/>
        </w:rPr>
        <w:t>。</w:t>
      </w:r>
    </w:p>
    <w:p w14:paraId="13E29F9F">
      <w:pPr>
        <w:keepNext w:val="0"/>
        <w:keepLines w:val="0"/>
        <w:pageBreakBefore w:val="0"/>
        <w:widowControl w:val="0"/>
        <w:kinsoku/>
        <w:wordWrap/>
        <w:overflowPunct w:val="0"/>
        <w:topLinePunct w:val="0"/>
        <w:autoSpaceDE/>
        <w:autoSpaceDN/>
        <w:bidi w:val="0"/>
        <w:adjustRightInd w:val="0"/>
        <w:snapToGrid w:val="0"/>
        <w:spacing w:afterAutospacing="0" w:line="580" w:lineRule="exact"/>
        <w:ind w:left="0" w:leftChars="0" w:firstLine="643" w:firstLineChars="200"/>
        <w:jc w:val="both"/>
        <w:textAlignment w:val="auto"/>
        <w:outlineLvl w:val="9"/>
        <w:rPr>
          <w:rFonts w:hint="eastAsia"/>
          <w:b w:val="0"/>
          <w:bCs w:val="0"/>
          <w:color w:val="auto"/>
          <w:kern w:val="0"/>
          <w:sz w:val="32"/>
          <w:szCs w:val="32"/>
          <w:highlight w:val="none"/>
          <w:u w:val="none"/>
          <w:lang w:val="en-US" w:eastAsia="zh-CN"/>
        </w:rPr>
      </w:pPr>
      <w:r>
        <w:rPr>
          <w:rFonts w:hint="eastAsia"/>
          <w:b/>
          <w:bCs/>
          <w:color w:val="auto"/>
          <w:kern w:val="0"/>
          <w:sz w:val="32"/>
          <w:szCs w:val="32"/>
          <w:highlight w:val="none"/>
          <w:u w:val="none"/>
          <w:lang w:val="en-US" w:eastAsia="zh-CN"/>
        </w:rPr>
        <w:t>建设高能级转化应用载体。</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深化与高校、科研院所的战略协同，系统布局科创载体</w:t>
      </w:r>
      <w:r>
        <w:rPr>
          <w:rFonts w:hint="eastAsia" w:cs="仿宋_GB2312"/>
          <w:color w:val="000000" w:themeColor="text1"/>
          <w:sz w:val="32"/>
          <w:szCs w:val="32"/>
          <w:u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依托省市高水平研发平台建设一批科技成果转化产业基地</w:t>
      </w:r>
      <w:r>
        <w:rPr>
          <w:rFonts w:hint="eastAsia" w:cs="仿宋_GB2312"/>
          <w:color w:val="000000" w:themeColor="text1"/>
          <w:sz w:val="32"/>
          <w:szCs w:val="32"/>
          <w:u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整合职业教育资源打造区域性职业教育培训基地</w:t>
      </w:r>
      <w:r>
        <w:rPr>
          <w:rFonts w:hint="eastAsia" w:cs="仿宋_GB2312"/>
          <w:color w:val="000000" w:themeColor="text1"/>
          <w:sz w:val="32"/>
          <w:szCs w:val="32"/>
          <w:u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鼓励高校、科研院所与</w:t>
      </w:r>
      <w:r>
        <w:rPr>
          <w:rFonts w:hint="eastAsia" w:cs="仿宋_GB2312"/>
          <w:color w:val="000000" w:themeColor="text1"/>
          <w:sz w:val="32"/>
          <w:szCs w:val="32"/>
          <w:u w:val="none"/>
          <w:lang w:val="en-US" w:eastAsia="zh-CN"/>
          <w14:textFill>
            <w14:solidFill>
              <w14:schemeClr w14:val="tx1"/>
            </w14:solidFill>
          </w14:textFill>
        </w:rPr>
        <w:t>行业</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企业共建创新联合体，协同申报重点实验室、承担重大科技项目，实现资源共享、能力叠加</w:t>
      </w:r>
      <w:r>
        <w:rPr>
          <w:rFonts w:hint="eastAsia" w:cs="仿宋_GB2312"/>
          <w:color w:val="000000" w:themeColor="text1"/>
          <w:sz w:val="32"/>
          <w:szCs w:val="32"/>
          <w:u w:val="none"/>
          <w:lang w:val="en-US" w:eastAsia="zh-CN"/>
          <w14:textFill>
            <w14:solidFill>
              <w14:schemeClr w14:val="tx1"/>
            </w14:solidFill>
          </w14:textFill>
        </w:rPr>
        <w:t>。</w:t>
      </w:r>
      <w:r>
        <w:rPr>
          <w:rFonts w:hint="eastAsia"/>
          <w:b w:val="0"/>
          <w:bCs w:val="0"/>
          <w:color w:val="auto"/>
          <w:kern w:val="0"/>
          <w:sz w:val="32"/>
          <w:szCs w:val="32"/>
          <w:highlight w:val="none"/>
          <w:u w:val="none"/>
          <w:lang w:val="en-US" w:eastAsia="zh-CN"/>
        </w:rPr>
        <w:t>全力争取国家实验室、国家级制造业创新中心落户天桥。</w:t>
      </w:r>
    </w:p>
    <w:p w14:paraId="43315560">
      <w:pPr>
        <w:keepNext w:val="0"/>
        <w:keepLines w:val="0"/>
        <w:pageBreakBefore w:val="0"/>
        <w:widowControl w:val="0"/>
        <w:kinsoku/>
        <w:wordWrap/>
        <w:overflowPunct w:val="0"/>
        <w:topLinePunct w:val="0"/>
        <w:autoSpaceDE/>
        <w:autoSpaceDN/>
        <w:bidi w:val="0"/>
        <w:adjustRightInd w:val="0"/>
        <w:snapToGrid w:val="0"/>
        <w:spacing w:afterAutospacing="0" w:line="580" w:lineRule="exact"/>
        <w:ind w:left="0" w:leftChars="0" w:firstLine="643" w:firstLineChars="200"/>
        <w:jc w:val="both"/>
        <w:textAlignment w:val="auto"/>
        <w:outlineLvl w:val="9"/>
        <w:rPr>
          <w:rFonts w:hint="eastAsia"/>
          <w:b w:val="0"/>
          <w:bCs w:val="0"/>
          <w:color w:val="000000" w:themeColor="text1"/>
          <w:kern w:val="0"/>
          <w:sz w:val="32"/>
          <w:szCs w:val="32"/>
          <w:highlight w:val="none"/>
          <w:u w:val="none"/>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u w:val="none"/>
          <w:lang w:val="en-US" w:eastAsia="zh-CN"/>
          <w14:textFill>
            <w14:solidFill>
              <w14:schemeClr w14:val="tx1"/>
            </w14:solidFill>
          </w14:textFill>
        </w:rPr>
        <w:t>健全</w:t>
      </w:r>
      <w:r>
        <w:rPr>
          <w:rFonts w:hint="eastAsia"/>
          <w:b/>
          <w:bCs/>
          <w:color w:val="000000" w:themeColor="text1"/>
          <w:u w:val="none"/>
          <w:lang w:val="en-US" w:eastAsia="zh-CN"/>
          <w14:textFill>
            <w14:solidFill>
              <w14:schemeClr w14:val="tx1"/>
            </w14:solidFill>
          </w14:textFill>
        </w:rPr>
        <w:t>科技成果转化</w:t>
      </w:r>
      <w:r>
        <w:rPr>
          <w:rFonts w:hint="eastAsia" w:ascii="仿宋_GB2312" w:hAnsi="仿宋_GB2312" w:eastAsia="仿宋_GB2312" w:cs="仿宋_GB2312"/>
          <w:b/>
          <w:bCs/>
          <w:color w:val="000000" w:themeColor="text1"/>
          <w:sz w:val="32"/>
          <w:szCs w:val="32"/>
          <w:u w:val="none"/>
          <w:lang w:val="en-US" w:eastAsia="zh-CN"/>
          <w14:textFill>
            <w14:solidFill>
              <w14:schemeClr w14:val="tx1"/>
            </w14:solidFill>
          </w14:textFill>
        </w:rPr>
        <w:t>机制</w:t>
      </w:r>
      <w:r>
        <w:rPr>
          <w:rFonts w:hint="eastAsia"/>
          <w:b/>
          <w:bCs/>
          <w:color w:val="000000" w:themeColor="text1"/>
          <w:u w:val="none"/>
          <w:lang w:val="en-US" w:eastAsia="zh-CN"/>
          <w14:textFill>
            <w14:solidFill>
              <w14:schemeClr w14:val="tx1"/>
            </w14:solidFill>
          </w14:textFill>
        </w:rPr>
        <w:t>。</w:t>
      </w:r>
      <w:r>
        <w:rPr>
          <w:rFonts w:hint="eastAsia"/>
          <w:b w:val="0"/>
          <w:bCs w:val="0"/>
          <w:color w:val="000000" w:themeColor="text1"/>
          <w:szCs w:val="32"/>
          <w:u w:val="none"/>
          <w:lang w:val="en-US" w:eastAsia="zh-CN"/>
          <w14:textFill>
            <w14:solidFill>
              <w14:schemeClr w14:val="tx1"/>
            </w14:solidFill>
          </w14:textFill>
        </w:rPr>
        <w:t>健全完善科技成果转化平台体系，强化项目、技术、人才、资金等创新要素一体化高效配置，推动创新链、产业链、资金链、人才链深度融合，加快科技成果向现实生产力转化。</w:t>
      </w:r>
      <w:r>
        <w:rPr>
          <w:rFonts w:hint="eastAsia" w:ascii="仿宋_GB2312" w:hAnsi="仿宋_GB2312" w:eastAsia="仿宋_GB2312" w:cs="仿宋_GB2312"/>
          <w:color w:val="000000" w:themeColor="text1"/>
          <w:sz w:val="32"/>
          <w:szCs w:val="32"/>
          <w:u w:val="none"/>
          <w14:textFill>
            <w14:solidFill>
              <w14:schemeClr w14:val="tx1"/>
            </w14:solidFill>
          </w14:textFill>
        </w:rPr>
        <w:t>完善科技成果共享共用与收益分配激励机制，深入推进</w:t>
      </w:r>
      <w:r>
        <w:rPr>
          <w:rStyle w:val="17"/>
          <w:rFonts w:hint="eastAsia" w:ascii="仿宋_GB2312" w:hAnsi="仿宋_GB2312" w:eastAsia="仿宋_GB2312" w:cs="仿宋_GB2312"/>
          <w:b w:val="0"/>
          <w:bCs w:val="0"/>
          <w:color w:val="000000" w:themeColor="text1"/>
          <w:sz w:val="32"/>
          <w:szCs w:val="32"/>
          <w:u w:val="none"/>
          <w14:textFill>
            <w14:solidFill>
              <w14:schemeClr w14:val="tx1"/>
            </w14:solidFill>
          </w14:textFill>
        </w:rPr>
        <w:t>职务科技成果赋权改革</w:t>
      </w:r>
      <w:r>
        <w:rPr>
          <w:rFonts w:hint="eastAsia" w:ascii="仿宋_GB2312" w:hAnsi="仿宋_GB2312" w:eastAsia="仿宋_GB2312" w:cs="仿宋_GB2312"/>
          <w:color w:val="000000" w:themeColor="text1"/>
          <w:sz w:val="32"/>
          <w:szCs w:val="32"/>
          <w:u w:val="none"/>
          <w14:textFill>
            <w14:solidFill>
              <w14:schemeClr w14:val="tx1"/>
            </w14:solidFill>
          </w14:textFill>
        </w:rPr>
        <w:t>，实行职务科技成果资产单列管理，积极探索</w:t>
      </w:r>
      <w:r>
        <w:rPr>
          <w:rStyle w:val="17"/>
          <w:rFonts w:hint="eastAsia" w:ascii="仿宋_GB2312" w:hAnsi="仿宋_GB2312" w:eastAsia="仿宋_GB2312" w:cs="仿宋_GB2312"/>
          <w:b w:val="0"/>
          <w:bCs w:val="0"/>
          <w:color w:val="000000" w:themeColor="text1"/>
          <w:sz w:val="32"/>
          <w:szCs w:val="32"/>
          <w:u w:val="none"/>
          <w14:textFill>
            <w14:solidFill>
              <w14:schemeClr w14:val="tx1"/>
            </w14:solidFill>
          </w14:textFill>
        </w:rPr>
        <w:t>科技成果首台（套）、首批次、首单应用</w:t>
      </w:r>
      <w:r>
        <w:rPr>
          <w:rFonts w:hint="eastAsia" w:ascii="仿宋_GB2312" w:hAnsi="仿宋_GB2312" w:eastAsia="仿宋_GB2312" w:cs="仿宋_GB2312"/>
          <w:color w:val="000000" w:themeColor="text1"/>
          <w:sz w:val="32"/>
          <w:szCs w:val="32"/>
          <w:u w:val="none"/>
          <w14:textFill>
            <w14:solidFill>
              <w14:schemeClr w14:val="tx1"/>
            </w14:solidFill>
          </w14:textFill>
        </w:rPr>
        <w:t>支持政策，打通成果转化“最后一公里”。推动政府机关、国有企业、行业领军企业创新场景全面开放，全面提升科技成果产业化水平。</w:t>
      </w:r>
    </w:p>
    <w:p w14:paraId="564EF4C7">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ascii="楷体_GB2312" w:hAnsi="楷体_GB2312" w:eastAsia="楷体_GB2312" w:cs="楷体_GB2312"/>
          <w:b w:val="0"/>
          <w:bCs w:val="0"/>
          <w:sz w:val="32"/>
          <w:szCs w:val="32"/>
          <w:u w:val="none"/>
          <w:lang w:val="en-US" w:eastAsia="zh-CN"/>
        </w:rPr>
      </w:pPr>
      <w:bookmarkStart w:id="32" w:name="_Toc250827599"/>
      <w:r>
        <w:rPr>
          <w:rFonts w:hint="eastAsia" w:ascii="楷体_GB2312" w:hAnsi="楷体_GB2312" w:eastAsia="楷体_GB2312" w:cs="楷体_GB2312"/>
          <w:b w:val="0"/>
          <w:bCs w:val="0"/>
          <w:sz w:val="32"/>
          <w:szCs w:val="32"/>
          <w:u w:val="none"/>
          <w:lang w:val="en-US" w:eastAsia="zh-CN"/>
        </w:rPr>
        <w:t>第三节  激发人才创新活力</w:t>
      </w:r>
      <w:bookmarkEnd w:id="32"/>
    </w:p>
    <w:p w14:paraId="23D498DC">
      <w:pPr>
        <w:keepNext w:val="0"/>
        <w:keepLines w:val="0"/>
        <w:pageBreakBefore w:val="0"/>
        <w:widowControl w:val="0"/>
        <w:kinsoku/>
        <w:wordWrap/>
        <w:topLinePunct w:val="0"/>
        <w:autoSpaceDE/>
        <w:autoSpaceDN/>
        <w:bidi w:val="0"/>
        <w:spacing w:line="59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实施靶向攻坚海内外顶尖人才，聚力培育产业领军人才，大力吸引青年人才、技能人才的“塔尖领航、塔身支撑、塔基固本”的人才“金字塔型”发展体系，推动人才数量质量双提升，形成具有天桥特色的人才竞争优势</w:t>
      </w:r>
      <w:r>
        <w:rPr>
          <w:rFonts w:hint="eastAsia" w:ascii="仿宋_GB2312" w:hAnsi="仿宋_GB2312" w:eastAsia="仿宋_GB2312" w:cs="仿宋_GB2312"/>
          <w:sz w:val="32"/>
          <w:szCs w:val="32"/>
          <w:lang w:eastAsia="zh-CN"/>
        </w:rPr>
        <w:t>。</w:t>
      </w:r>
    </w:p>
    <w:p w14:paraId="769EA385">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仿宋_GB2312" w:hAnsi="仿宋_GB2312" w:eastAsia="仿宋_GB2312" w:cs="仿宋_GB2312"/>
          <w:b w:val="0"/>
          <w:color w:val="auto"/>
          <w:kern w:val="0"/>
          <w:sz w:val="32"/>
          <w:szCs w:val="32"/>
          <w:highlight w:val="none"/>
          <w:lang w:val="en-US" w:eastAsia="zh-CN" w:bidi="ar"/>
        </w:rPr>
      </w:pPr>
      <w:r>
        <w:rPr>
          <w:rFonts w:hint="eastAsia" w:ascii="仿宋_GB2312" w:hAnsi="仿宋_GB2312" w:eastAsia="仿宋_GB2312" w:cs="仿宋_GB2312"/>
          <w:b/>
          <w:bCs/>
          <w:color w:val="000000" w:themeColor="text1"/>
          <w:kern w:val="2"/>
          <w:sz w:val="32"/>
          <w:szCs w:val="22"/>
          <w:u w:val="none"/>
          <w:lang w:val="en-US" w:eastAsia="zh-CN" w:bidi="ar-SA"/>
          <w14:textFill>
            <w14:solidFill>
              <w14:schemeClr w14:val="tx1"/>
            </w14:solidFill>
          </w14:textFill>
        </w:rPr>
        <w:t>深化人才发展体制机制改革。</w:t>
      </w:r>
      <w:r>
        <w:rPr>
          <w:rFonts w:hint="eastAsia" w:ascii="仿宋_GB2312" w:hAnsi="仿宋_GB2312" w:eastAsia="仿宋_GB2312" w:cs="仿宋_GB2312"/>
          <w:sz w:val="32"/>
          <w:szCs w:val="32"/>
          <w:lang w:val="en-US" w:eastAsia="zh-CN"/>
        </w:rPr>
        <w:t>坚持党管人才，</w:t>
      </w:r>
      <w:r>
        <w:rPr>
          <w:rFonts w:hint="eastAsia" w:ascii="仿宋_GB2312" w:eastAsia="仿宋_GB2312"/>
          <w:sz w:val="32"/>
          <w:szCs w:val="32"/>
        </w:rPr>
        <w:t>落实党委联系服务专家制度，</w:t>
      </w:r>
      <w:r>
        <w:rPr>
          <w:rFonts w:hint="eastAsia" w:ascii="仿宋_GB2312" w:hAnsi="仿宋_GB2312" w:eastAsia="仿宋_GB2312" w:cs="仿宋_GB2312"/>
          <w:sz w:val="32"/>
          <w:szCs w:val="32"/>
          <w:lang w:val="en-US" w:eastAsia="zh-CN"/>
        </w:rPr>
        <w:t>开展</w:t>
      </w:r>
      <w:r>
        <w:rPr>
          <w:rFonts w:hint="eastAsia" w:ascii="仿宋_GB2312" w:eastAsia="仿宋_GB2312"/>
          <w:sz w:val="32"/>
          <w:szCs w:val="32"/>
        </w:rPr>
        <w:t>党委书记人才</w:t>
      </w:r>
      <w:r>
        <w:rPr>
          <w:rFonts w:hint="eastAsia" w:ascii="仿宋_GB2312" w:eastAsia="仿宋_GB2312"/>
          <w:sz w:val="32"/>
          <w:szCs w:val="32"/>
          <w:lang w:val="en-US" w:eastAsia="zh-CN"/>
        </w:rPr>
        <w:t>工作</w:t>
      </w:r>
      <w:r>
        <w:rPr>
          <w:rFonts w:hint="eastAsia" w:ascii="仿宋_GB2312" w:eastAsia="仿宋_GB2312"/>
          <w:sz w:val="32"/>
          <w:szCs w:val="32"/>
        </w:rPr>
        <w:t>项目，压实“一把手”抓“第一资源”责任。</w:t>
      </w:r>
      <w:r>
        <w:rPr>
          <w:rFonts w:hint="eastAsia" w:ascii="仿宋_GB2312" w:hAnsi="仿宋_GB2312" w:eastAsia="仿宋_GB2312" w:cs="仿宋_GB2312"/>
          <w:b w:val="0"/>
          <w:color w:val="auto"/>
          <w:kern w:val="0"/>
          <w:sz w:val="32"/>
          <w:szCs w:val="32"/>
          <w:highlight w:val="none"/>
          <w:lang w:val="en-US" w:eastAsia="zh-CN" w:bidi="ar"/>
        </w:rPr>
        <w:t>动态优化区级人才政策，推动政策供给与产业发展需求精准匹配。鼓励企业、科研院所专业人才赴高校担任产业教授，支持高校、科研院所高层次人才到企业担任科技副总，推动产学研融合发展。</w:t>
      </w:r>
    </w:p>
    <w:p w14:paraId="6ED7E40E">
      <w:pPr>
        <w:pStyle w:val="3"/>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jc w:val="both"/>
        <w:textAlignment w:val="auto"/>
        <w:rPr>
          <w:rFonts w:hint="eastAsia" w:ascii="仿宋_GB2312" w:hAnsi="仿宋_GB2312" w:eastAsia="仿宋_GB2312" w:cs="仿宋_GB2312"/>
          <w:bCs w:val="0"/>
          <w:kern w:val="2"/>
          <w:sz w:val="32"/>
          <w:szCs w:val="32"/>
          <w:lang w:val="en-US" w:eastAsia="zh-CN" w:bidi="ar-SA"/>
        </w:rPr>
      </w:pPr>
      <w:r>
        <w:rPr>
          <w:rFonts w:hint="eastAsia" w:ascii="仿宋_GB2312" w:hAnsi="仿宋_GB2312" w:eastAsia="仿宋_GB2312" w:cs="仿宋_GB2312"/>
          <w:b/>
          <w:bCs/>
          <w:color w:val="000000" w:themeColor="text1"/>
          <w:sz w:val="32"/>
          <w:szCs w:val="22"/>
          <w:u w:val="none"/>
          <w:lang w:val="en-US" w:eastAsia="zh-CN" w:bidi="ar-SA"/>
          <w14:textFill>
            <w14:solidFill>
              <w14:schemeClr w14:val="tx1"/>
            </w14:solidFill>
          </w14:textFill>
        </w:rPr>
        <w:t>打造高水平人才聚集高地。</w:t>
      </w:r>
      <w:r>
        <w:rPr>
          <w:rFonts w:hint="eastAsia" w:ascii="仿宋_GB2312" w:hAnsi="仿宋_GB2312" w:eastAsia="仿宋_GB2312" w:cs="仿宋_GB2312"/>
          <w:bCs w:val="0"/>
          <w:kern w:val="2"/>
          <w:sz w:val="32"/>
          <w:szCs w:val="32"/>
          <w:lang w:val="en-US" w:eastAsia="zh-CN" w:bidi="ar-SA"/>
        </w:rPr>
        <w:t>聚焦智能制造、新材料等主导产业，靶向引育一批国家级战略人才、顶尖科学家等高层次人才，储备培育一批省、市重点产业领军人才，常态化开展青年人才和技能人才招引。着眼天桥经济社会各项事业全方位加速发展所需，系统培育教育、医疗、金融、乡村振兴等重点领域实用人才，统筹推进各类人才队伍建设。</w:t>
      </w:r>
    </w:p>
    <w:p w14:paraId="0F5B59AD">
      <w:pPr>
        <w:pStyle w:val="3"/>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jc w:val="both"/>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22"/>
          <w:u w:val="none"/>
          <w:lang w:val="en-US" w:eastAsia="zh-CN" w:bidi="ar-SA"/>
          <w14:textFill>
            <w14:solidFill>
              <w14:schemeClr w14:val="tx1"/>
            </w14:solidFill>
          </w14:textFill>
        </w:rPr>
        <w:t>加快建设人才创新创业平台。</w:t>
      </w:r>
      <w:r>
        <w:rPr>
          <w:rFonts w:hint="eastAsia" w:ascii="仿宋_GB2312" w:hAnsi="仿宋_GB2312" w:eastAsia="仿宋_GB2312" w:cs="仿宋_GB2312"/>
          <w:b w:val="0"/>
          <w:bCs w:val="0"/>
          <w:sz w:val="32"/>
          <w:szCs w:val="32"/>
          <w:lang w:val="en-US" w:eastAsia="zh-CN"/>
        </w:rPr>
        <w:t>统筹区域内产业集聚园区等载体资源，高标准建设天桥区人才项目孵化基地，为人才项目发展提供创业辅导、人才招引、资源对接等全链条服务。组织开展各行业领域专家人才培训和交流活动，拓宽创新创业人才交流合作渠道。</w:t>
      </w:r>
    </w:p>
    <w:p w14:paraId="36CE1301">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ascii="楷体_GB2312" w:hAnsi="楷体_GB2312" w:eastAsia="楷体_GB2312" w:cs="楷体_GB2312"/>
          <w:b w:val="0"/>
          <w:bCs w:val="0"/>
          <w:sz w:val="32"/>
          <w:szCs w:val="32"/>
          <w:u w:val="none"/>
          <w:lang w:val="en-US" w:eastAsia="zh-CN"/>
        </w:rPr>
      </w:pPr>
      <w:bookmarkStart w:id="33" w:name="_Toc1886062159"/>
      <w:r>
        <w:rPr>
          <w:rFonts w:hint="eastAsia" w:ascii="楷体_GB2312" w:hAnsi="楷体_GB2312" w:eastAsia="楷体_GB2312" w:cs="楷体_GB2312"/>
          <w:b w:val="0"/>
          <w:bCs w:val="0"/>
          <w:sz w:val="32"/>
          <w:szCs w:val="32"/>
          <w:u w:val="none"/>
          <w:lang w:val="en-US" w:eastAsia="zh-CN"/>
        </w:rPr>
        <w:t>第四节  深化产业融合创新</w:t>
      </w:r>
      <w:bookmarkEnd w:id="33"/>
    </w:p>
    <w:p w14:paraId="7BACE00A">
      <w:pPr>
        <w:keepNext w:val="0"/>
        <w:keepLines w:val="0"/>
        <w:pageBreakBefore w:val="0"/>
        <w:widowControl w:val="0"/>
        <w:kinsoku/>
        <w:wordWrap/>
        <w:topLinePunct w:val="0"/>
        <w:autoSpaceDE/>
        <w:autoSpaceDN/>
        <w:bidi w:val="0"/>
        <w:spacing w:line="580" w:lineRule="exact"/>
        <w:ind w:firstLine="640"/>
        <w:jc w:val="both"/>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系统整合高校、科研院所、医院等优势资源，</w:t>
      </w:r>
      <w:r>
        <w:rPr>
          <w:rFonts w:hint="eastAsia" w:cs="仿宋_GB2312"/>
          <w:color w:val="000000" w:themeColor="text1"/>
          <w:sz w:val="32"/>
          <w:szCs w:val="32"/>
          <w:u w:val="none"/>
          <w:lang w:val="en-US" w:eastAsia="zh-CN"/>
          <w14:textFill>
            <w14:solidFill>
              <w14:schemeClr w14:val="tx1"/>
            </w14:solidFill>
          </w14:textFill>
        </w:rPr>
        <w:t>推动</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融合发展，打造产学研协同创新高地，提升区域产业技术自主创新能力。依托</w:t>
      </w:r>
      <w:r>
        <w:rPr>
          <w:rFonts w:hint="eastAsia" w:cs="仿宋_GB2312"/>
          <w:color w:val="000000" w:themeColor="text1"/>
          <w:sz w:val="32"/>
          <w:szCs w:val="32"/>
          <w:u w:val="none"/>
          <w:lang w:val="en-US" w:eastAsia="zh-CN"/>
          <w14:textFill>
            <w14:solidFill>
              <w14:schemeClr w14:val="tx1"/>
            </w14:solidFill>
          </w14:textFill>
        </w:rPr>
        <w:t>辖区优质医疗资源</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，构建大健康产业创新引擎，推动医工结合、医研产联动，延伸健康产业链条。促进数字经济和实体经济深度融合，锚定</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“数</w:t>
      </w:r>
      <w:r>
        <w:rPr>
          <w:rFonts w:hint="eastAsia" w:cs="仿宋_GB2312"/>
          <w:color w:val="000000" w:themeColor="text1"/>
          <w:sz w:val="32"/>
          <w:szCs w:val="32"/>
          <w:highlight w:val="none"/>
          <w:u w:val="none"/>
          <w:lang w:val="en-US" w:eastAsia="zh-CN"/>
          <w14:textFill>
            <w14:solidFill>
              <w14:schemeClr w14:val="tx1"/>
            </w14:solidFill>
          </w14:textFill>
        </w:rPr>
        <w:t>智</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天桥”</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目标，强化算力、算法、数据等新型基础设施供给，深化公共数据资源开放开发。深入实施“人工智能+”行动，在产业发展、文化传承、民生服务、社会治理等领域打造一批数智化应用场景，赋能千行百业数字化转型与智能化升级。</w:t>
      </w:r>
    </w:p>
    <w:p w14:paraId="14CA4D59">
      <w:pPr>
        <w:pStyle w:val="2"/>
        <w:keepNext w:val="0"/>
        <w:keepLines w:val="0"/>
        <w:pageBreakBefore w:val="0"/>
        <w:widowControl w:val="0"/>
        <w:kinsoku/>
        <w:wordWrap/>
        <w:overflowPunct w:val="0"/>
        <w:topLinePunct w:val="0"/>
        <w:autoSpaceDE/>
        <w:autoSpaceDN/>
        <w:bidi w:val="0"/>
        <w:adjustRightInd w:val="0"/>
        <w:snapToGrid w:val="0"/>
        <w:spacing w:before="313" w:beforeLines="100" w:after="313" w:afterLines="100" w:line="600" w:lineRule="exact"/>
        <w:ind w:left="0" w:leftChars="0" w:firstLine="0" w:firstLineChars="0"/>
        <w:jc w:val="center"/>
        <w:textAlignment w:val="auto"/>
        <w:rPr>
          <w:rFonts w:hint="eastAsia" w:ascii="方正小标宋简体" w:hAnsi="方正小标宋简体" w:eastAsia="方正小标宋简体" w:cs="方正小标宋简体"/>
          <w:b w:val="0"/>
          <w:bCs w:val="0"/>
          <w:spacing w:val="-6"/>
          <w:kern w:val="2"/>
          <w:sz w:val="32"/>
          <w:szCs w:val="32"/>
          <w:highlight w:val="none"/>
          <w:u w:val="none"/>
          <w:lang w:val="en-US" w:eastAsia="zh-CN"/>
        </w:rPr>
        <w:sectPr>
          <w:footerReference r:id="rId8" w:type="default"/>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34" w:name="_Toc1094599006"/>
    </w:p>
    <w:p w14:paraId="2B994241">
      <w:pPr>
        <w:pStyle w:val="2"/>
        <w:keepNext/>
        <w:keepLines w:val="0"/>
        <w:pageBreakBefore w:val="0"/>
        <w:widowControl w:val="0"/>
        <w:kinsoku/>
        <w:wordWrap/>
        <w:overflowPunct w:val="0"/>
        <w:topLinePunct w:val="0"/>
        <w:autoSpaceDE/>
        <w:autoSpaceDN/>
        <w:bidi w:val="0"/>
        <w:adjustRightInd w:val="0"/>
        <w:snapToGrid w:val="0"/>
        <w:spacing w:before="313" w:beforeLines="100" w:after="313" w:afterLines="100" w:line="580" w:lineRule="exact"/>
        <w:ind w:left="0" w:leftChars="0" w:firstLine="0" w:firstLineChars="0"/>
        <w:jc w:val="center"/>
        <w:textAlignment w:val="auto"/>
        <w:rPr>
          <w:rFonts w:hint="eastAsia" w:ascii="方正小标宋简体" w:hAnsi="方正小标宋简体" w:eastAsia="方正小标宋简体" w:cs="方正小标宋简体"/>
          <w:b w:val="0"/>
          <w:bCs w:val="0"/>
          <w:spacing w:val="-6"/>
          <w:kern w:val="2"/>
          <w:sz w:val="32"/>
          <w:szCs w:val="32"/>
          <w:highlight w:val="none"/>
          <w:u w:val="none"/>
          <w:lang w:val="en-US" w:eastAsia="zh-CN"/>
        </w:rPr>
      </w:pPr>
      <w:r>
        <w:rPr>
          <w:rFonts w:hint="eastAsia" w:ascii="方正小标宋简体" w:hAnsi="方正小标宋简体" w:eastAsia="方正小标宋简体" w:cs="方正小标宋简体"/>
          <w:b w:val="0"/>
          <w:bCs w:val="0"/>
          <w:spacing w:val="-6"/>
          <w:kern w:val="2"/>
          <w:sz w:val="32"/>
          <w:szCs w:val="32"/>
          <w:highlight w:val="none"/>
          <w:u w:val="none"/>
          <w:lang w:val="en-US" w:eastAsia="zh-CN"/>
        </w:rPr>
        <w:t>第四章 坚定落实扩大内需战略</w:t>
      </w:r>
      <w:bookmarkEnd w:id="34"/>
    </w:p>
    <w:p w14:paraId="36DBD70D">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000000"/>
          <w:sz w:val="32"/>
          <w:szCs w:val="32"/>
        </w:rPr>
      </w:pPr>
      <w:bookmarkStart w:id="35" w:name="_Toc5115"/>
      <w:r>
        <w:rPr>
          <w:rFonts w:hint="eastAsia" w:ascii="仿宋_GB2312" w:hAnsi="仿宋_GB2312" w:eastAsia="仿宋_GB2312" w:cs="仿宋_GB2312"/>
          <w:color w:val="000000"/>
          <w:sz w:val="32"/>
          <w:szCs w:val="32"/>
        </w:rPr>
        <w:t>坚持惠民生和促消费、投资于物和投资于人紧密结合，以新需求引领新供给，以新供给创造新需求，促进消费和投资、供给和需求良性互动，加快构建内需主导、消费拉动、创新驱动的内生型经济发展格局。</w:t>
      </w:r>
    </w:p>
    <w:p w14:paraId="3F1C8473">
      <w:pPr>
        <w:pStyle w:val="3"/>
        <w:keepNext/>
        <w:keepLines w:val="0"/>
        <w:pageBreakBefore w:val="0"/>
        <w:widowControl w:val="0"/>
        <w:kinsoku/>
        <w:wordWrap/>
        <w:overflowPunct w:val="0"/>
        <w:topLinePunct w:val="0"/>
        <w:autoSpaceDE/>
        <w:autoSpaceDN/>
        <w:bidi w:val="0"/>
        <w:adjustRightInd w:val="0"/>
        <w:snapToGrid w:val="0"/>
        <w:spacing w:before="156" w:beforeLines="50" w:after="156" w:afterLines="50" w:line="580" w:lineRule="exact"/>
        <w:ind w:firstLine="0" w:firstLineChars="0"/>
        <w:jc w:val="center"/>
        <w:textAlignment w:val="auto"/>
        <w:rPr>
          <w:szCs w:val="32"/>
        </w:rPr>
      </w:pPr>
      <w:bookmarkStart w:id="36" w:name="_Toc493839054"/>
      <w:r>
        <w:rPr>
          <w:rFonts w:hint="eastAsia"/>
          <w:szCs w:val="32"/>
        </w:rPr>
        <w:t xml:space="preserve">第一节  </w:t>
      </w:r>
      <w:r>
        <w:rPr>
          <w:rFonts w:hint="eastAsia" w:ascii="楷体_GB2312" w:hAnsi="楷体_GB2312" w:eastAsia="楷体_GB2312" w:cs="楷体_GB2312"/>
          <w:color w:val="000000"/>
          <w:sz w:val="32"/>
          <w:szCs w:val="32"/>
        </w:rPr>
        <w:t>激发消费潜能</w:t>
      </w:r>
      <w:bookmarkEnd w:id="36"/>
    </w:p>
    <w:p w14:paraId="309E889A">
      <w:pPr>
        <w:keepLines w:val="0"/>
        <w:pageBreakBefore w:val="0"/>
        <w:widowControl w:val="0"/>
        <w:kinsoku/>
        <w:wordWrap/>
        <w:topLinePunct w:val="0"/>
        <w:autoSpaceDE/>
        <w:autoSpaceDN/>
        <w:bidi w:val="0"/>
        <w:spacing w:line="580" w:lineRule="exact"/>
        <w:ind w:firstLine="640"/>
        <w:textAlignment w:val="auto"/>
        <w:rPr>
          <w:rFonts w:ascii="Calibri" w:hAnsi="Calibri"/>
          <w:snapToGrid w:val="0"/>
          <w:color w:val="000000" w:themeColor="text1"/>
          <w:szCs w:val="32"/>
          <w:u w:val="none"/>
          <w14:textFill>
            <w14:solidFill>
              <w14:schemeClr w14:val="tx1"/>
            </w14:solidFill>
          </w14:textFill>
        </w:rPr>
      </w:pPr>
      <w:r>
        <w:rPr>
          <w:rFonts w:hint="eastAsia" w:ascii="Calibri" w:hAnsi="Calibri"/>
          <w:snapToGrid w:val="0"/>
          <w:color w:val="000000" w:themeColor="text1"/>
          <w:szCs w:val="32"/>
          <w:u w:val="none"/>
          <w14:textFill>
            <w14:solidFill>
              <w14:schemeClr w14:val="tx1"/>
            </w14:solidFill>
          </w14:textFill>
        </w:rPr>
        <w:t>顺应居民消费品质化、多样化、服务化升级趋势，加快集聚优质消费资源，培育消费新场景，促进消费扩容提质。</w:t>
      </w:r>
    </w:p>
    <w:p w14:paraId="393AE571">
      <w:pPr>
        <w:keepLines w:val="0"/>
        <w:pageBreakBefore w:val="0"/>
        <w:widowControl w:val="0"/>
        <w:kinsoku/>
        <w:wordWrap/>
        <w:topLinePunct w:val="0"/>
        <w:autoSpaceDE/>
        <w:autoSpaceDN/>
        <w:bidi w:val="0"/>
        <w:spacing w:line="580" w:lineRule="exact"/>
        <w:ind w:firstLine="643"/>
        <w:textAlignment w:val="auto"/>
        <w:rPr>
          <w:rFonts w:ascii="Calibri" w:hAnsi="Calibri"/>
          <w:snapToGrid w:val="0"/>
          <w:color w:val="000000" w:themeColor="text1"/>
          <w:szCs w:val="32"/>
          <w:u w:val="none"/>
          <w14:textFill>
            <w14:solidFill>
              <w14:schemeClr w14:val="tx1"/>
            </w14:solidFill>
          </w14:textFill>
        </w:rPr>
      </w:pPr>
      <w:r>
        <w:rPr>
          <w:rFonts w:hint="eastAsia" w:ascii="Calibri" w:hAnsi="Calibri"/>
          <w:b/>
          <w:bCs/>
          <w:snapToGrid w:val="0"/>
          <w:color w:val="000000" w:themeColor="text1"/>
          <w:szCs w:val="32"/>
          <w:u w:val="none"/>
          <w14:textFill>
            <w14:solidFill>
              <w14:schemeClr w14:val="tx1"/>
            </w14:solidFill>
          </w14:textFill>
        </w:rPr>
        <w:t>拓展多元消费场景。</w:t>
      </w:r>
      <w:r>
        <w:rPr>
          <w:rFonts w:hint="eastAsia" w:ascii="仿宋_GB2312" w:hAnsi="仿宋_GB2312" w:eastAsia="仿宋_GB2312" w:cs="仿宋_GB2312"/>
          <w:color w:val="000000"/>
          <w:sz w:val="32"/>
          <w:szCs w:val="32"/>
        </w:rPr>
        <w:t>实施提振消费专项行动，</w:t>
      </w:r>
      <w:r>
        <w:rPr>
          <w:rFonts w:hint="eastAsia" w:ascii="Calibri" w:hAnsi="Calibri"/>
          <w:snapToGrid w:val="0"/>
          <w:color w:val="000000" w:themeColor="text1"/>
          <w:szCs w:val="32"/>
          <w:u w:val="none"/>
          <w14:textFill>
            <w14:solidFill>
              <w14:schemeClr w14:val="tx1"/>
            </w14:solidFill>
          </w14:textFill>
        </w:rPr>
        <w:t>系统开展季节性主题消费节、品牌联动促销、数字消费券发放等多元化促消费活动。</w:t>
      </w:r>
      <w:r>
        <w:rPr>
          <w:rFonts w:hint="eastAsia" w:ascii="仿宋_GB2312" w:hAnsi="仿宋_GB2312" w:eastAsia="仿宋_GB2312" w:cs="仿宋_GB2312"/>
          <w:color w:val="000000"/>
          <w:sz w:val="32"/>
          <w:szCs w:val="32"/>
        </w:rPr>
        <w:t>强化优质消费品供给，激发家电、家居等大宗消费活力，推动消费品以旧换新。</w:t>
      </w:r>
      <w:r>
        <w:rPr>
          <w:rFonts w:hint="eastAsia" w:ascii="Calibri" w:hAnsi="Calibri"/>
          <w:snapToGrid w:val="0"/>
          <w:color w:val="000000" w:themeColor="text1"/>
          <w:szCs w:val="32"/>
          <w:u w:val="none"/>
          <w14:textFill>
            <w14:solidFill>
              <w14:schemeClr w14:val="tx1"/>
            </w14:solidFill>
          </w14:textFill>
        </w:rPr>
        <w:t>打造一刻钟便民生活圈，做强家政服务、社区零售、餐饮住宿等业态，壮大养老托育、文旅体育、教育培训、健康服务等领域，满足居民多元化消费需求。</w:t>
      </w:r>
    </w:p>
    <w:p w14:paraId="4781B0AE">
      <w:pPr>
        <w:keepLines w:val="0"/>
        <w:pageBreakBefore w:val="0"/>
        <w:widowControl w:val="0"/>
        <w:kinsoku/>
        <w:wordWrap/>
        <w:overflowPunct/>
        <w:topLinePunct w:val="0"/>
        <w:autoSpaceDE/>
        <w:autoSpaceDN/>
        <w:bidi w:val="0"/>
        <w:adjustRightInd/>
        <w:snapToGrid/>
        <w:spacing w:line="580" w:lineRule="exact"/>
        <w:ind w:firstLine="643"/>
        <w:textAlignment w:val="auto"/>
        <w:rPr>
          <w:rFonts w:hint="eastAsia"/>
          <w:color w:val="000000" w:themeColor="text1"/>
          <w:kern w:val="2"/>
          <w:szCs w:val="32"/>
          <w:u w:val="none"/>
          <w14:textFill>
            <w14:solidFill>
              <w14:schemeClr w14:val="tx1"/>
            </w14:solidFill>
          </w14:textFill>
        </w:rPr>
      </w:pPr>
      <w:r>
        <w:rPr>
          <w:rFonts w:hint="eastAsia" w:ascii="Calibri" w:hAnsi="Calibri"/>
          <w:b/>
          <w:bCs/>
          <w:snapToGrid w:val="0"/>
          <w:color w:val="000000" w:themeColor="text1"/>
          <w:szCs w:val="32"/>
          <w:u w:val="none"/>
          <w14:textFill>
            <w14:solidFill>
              <w14:schemeClr w14:val="tx1"/>
            </w14:solidFill>
          </w14:textFill>
        </w:rPr>
        <w:t>扩大优质服务供给。</w:t>
      </w:r>
      <w:r>
        <w:rPr>
          <w:rFonts w:hint="eastAsia" w:ascii="仿宋_GB2312" w:hAnsi="仿宋_GB2312" w:eastAsia="仿宋_GB2312" w:cs="仿宋_GB2312"/>
          <w:color w:val="000000"/>
          <w:sz w:val="32"/>
          <w:szCs w:val="32"/>
        </w:rPr>
        <w:t>发挥老字号品牌效应，培育一批新潮品。大力培育首店经济、银发经济、演艺经济、电竞赛事经济等新模式新业态。打造会展精品项目，策划举办纺织服装、家居、建材等高层级行业会展活动，持续增强“济南时装周”品牌影响力。</w:t>
      </w:r>
    </w:p>
    <w:p w14:paraId="5DFD5DF5">
      <w:pPr>
        <w:pStyle w:val="3"/>
        <w:keepNext/>
        <w:keepLines w:val="0"/>
        <w:pageBreakBefore w:val="0"/>
        <w:widowControl w:val="0"/>
        <w:kinsoku/>
        <w:wordWrap/>
        <w:overflowPunct w:val="0"/>
        <w:topLinePunct w:val="0"/>
        <w:autoSpaceDE/>
        <w:autoSpaceDN/>
        <w:bidi w:val="0"/>
        <w:adjustRightInd w:val="0"/>
        <w:snapToGrid w:val="0"/>
        <w:spacing w:before="156" w:beforeLines="50" w:after="156" w:afterLines="50" w:line="580" w:lineRule="exact"/>
        <w:ind w:firstLine="0" w:firstLineChars="0"/>
        <w:jc w:val="center"/>
        <w:textAlignment w:val="auto"/>
        <w:rPr>
          <w:rFonts w:hint="eastAsia"/>
          <w:szCs w:val="32"/>
        </w:rPr>
      </w:pPr>
      <w:bookmarkStart w:id="37" w:name="_Toc235373704"/>
      <w:r>
        <w:rPr>
          <w:rFonts w:hint="eastAsia"/>
          <w:szCs w:val="32"/>
        </w:rPr>
        <w:t>第二节  扩大有效投资</w:t>
      </w:r>
      <w:bookmarkEnd w:id="37"/>
    </w:p>
    <w:p w14:paraId="3BDEC87D">
      <w:pPr>
        <w:keepLines w:val="0"/>
        <w:pageBreakBefore w:val="0"/>
        <w:widowControl w:val="0"/>
        <w:kinsoku/>
        <w:wordWrap/>
        <w:topLinePunct w:val="0"/>
        <w:autoSpaceDE/>
        <w:autoSpaceDN/>
        <w:bidi w:val="0"/>
        <w:spacing w:line="580" w:lineRule="exact"/>
        <w:ind w:firstLine="640"/>
        <w:textAlignment w:val="auto"/>
        <w:rPr>
          <w:rFonts w:ascii="Calibri" w:hAnsi="Calibri" w:eastAsia="宋体" w:cs="宋体"/>
          <w:color w:val="000000" w:themeColor="text1"/>
          <w:kern w:val="2"/>
          <w:sz w:val="21"/>
          <w:szCs w:val="24"/>
          <w:u w:val="none"/>
          <w14:textFill>
            <w14:solidFill>
              <w14:schemeClr w14:val="tx1"/>
            </w14:solidFill>
          </w14:textFill>
        </w:rPr>
      </w:pPr>
      <w:r>
        <w:rPr>
          <w:rFonts w:hint="eastAsia" w:hAnsi="Times New Roman"/>
          <w:color w:val="000000" w:themeColor="text1"/>
          <w:kern w:val="2"/>
          <w:szCs w:val="32"/>
          <w:u w:val="none"/>
          <w:shd w:val="clear" w:color="auto" w:fill="FFFFFF"/>
          <w14:textFill>
            <w14:solidFill>
              <w14:schemeClr w14:val="tx1"/>
            </w14:solidFill>
          </w14:textFill>
        </w:rPr>
        <w:t>以项目为抓手扩大有效投资，</w:t>
      </w:r>
      <w:r>
        <w:rPr>
          <w:rFonts w:hint="eastAsia" w:ascii="Calibri" w:hAnsi="Calibri"/>
          <w:snapToGrid w:val="0"/>
          <w:color w:val="000000" w:themeColor="text1"/>
          <w:szCs w:val="32"/>
          <w:u w:val="none"/>
          <w14:textFill>
            <w14:solidFill>
              <w14:schemeClr w14:val="tx1"/>
            </w14:solidFill>
          </w14:textFill>
        </w:rPr>
        <w:t>聚焦重点领域和未来方向，统筹推进政府投资和民间投资，</w:t>
      </w:r>
      <w:r>
        <w:rPr>
          <w:rFonts w:hint="eastAsia"/>
          <w:color w:val="000000" w:themeColor="text1"/>
          <w:szCs w:val="32"/>
          <w:u w:val="none"/>
          <w14:textFill>
            <w14:solidFill>
              <w14:schemeClr w14:val="tx1"/>
            </w14:solidFill>
          </w14:textFill>
        </w:rPr>
        <w:t>发挥投资对优化供给结构的关键作用，保持投资合理增长，</w:t>
      </w:r>
      <w:r>
        <w:rPr>
          <w:rFonts w:hint="eastAsia"/>
          <w:color w:val="000000" w:themeColor="text1"/>
          <w:szCs w:val="32"/>
          <w:u w:val="none"/>
          <w:lang w:val="en-US" w:eastAsia="zh-CN"/>
          <w14:textFill>
            <w14:solidFill>
              <w14:schemeClr w14:val="tx1"/>
            </w14:solidFill>
          </w14:textFill>
        </w:rPr>
        <w:t>不断增强</w:t>
      </w:r>
      <w:r>
        <w:rPr>
          <w:rFonts w:hint="eastAsia"/>
          <w:color w:val="000000" w:themeColor="text1"/>
          <w:szCs w:val="32"/>
          <w:u w:val="none"/>
          <w14:textFill>
            <w14:solidFill>
              <w14:schemeClr w14:val="tx1"/>
            </w14:solidFill>
          </w14:textFill>
        </w:rPr>
        <w:t>投资效能。</w:t>
      </w:r>
    </w:p>
    <w:p w14:paraId="2838FA68">
      <w:pPr>
        <w:keepLines w:val="0"/>
        <w:pageBreakBefore w:val="0"/>
        <w:widowControl w:val="0"/>
        <w:kinsoku/>
        <w:wordWrap/>
        <w:topLinePunct w:val="0"/>
        <w:autoSpaceDE/>
        <w:autoSpaceDN/>
        <w:bidi w:val="0"/>
        <w:spacing w:line="580" w:lineRule="exact"/>
        <w:ind w:firstLine="643"/>
        <w:textAlignment w:val="auto"/>
        <w:rPr>
          <w:rFonts w:ascii="Calibri" w:hAnsi="Calibri"/>
          <w:snapToGrid w:val="0"/>
          <w:color w:val="000000" w:themeColor="text1"/>
          <w:szCs w:val="32"/>
          <w:u w:val="none"/>
          <w14:textFill>
            <w14:solidFill>
              <w14:schemeClr w14:val="tx1"/>
            </w14:solidFill>
          </w14:textFill>
        </w:rPr>
      </w:pPr>
      <w:r>
        <w:rPr>
          <w:rFonts w:hint="eastAsia" w:ascii="Calibri" w:hAnsi="Calibri"/>
          <w:b/>
          <w:bCs/>
          <w:snapToGrid w:val="0"/>
          <w:color w:val="000000" w:themeColor="text1"/>
          <w:szCs w:val="32"/>
          <w:u w:val="none"/>
          <w14:textFill>
            <w14:solidFill>
              <w14:schemeClr w14:val="tx1"/>
            </w14:solidFill>
          </w14:textFill>
        </w:rPr>
        <w:t>强化项目支撑保障作用</w:t>
      </w:r>
      <w:r>
        <w:rPr>
          <w:rFonts w:hint="eastAsia" w:ascii="Calibri" w:hAnsi="Calibri"/>
          <w:b/>
          <w:bCs/>
          <w:snapToGrid w:val="0"/>
          <w:color w:val="000000" w:themeColor="text1"/>
          <w:szCs w:val="32"/>
          <w:u w:val="none"/>
          <w:lang w:eastAsia="zh-CN"/>
          <w14:textFill>
            <w14:solidFill>
              <w14:schemeClr w14:val="tx1"/>
            </w14:solidFill>
          </w14:textFill>
        </w:rPr>
        <w:t>。</w:t>
      </w:r>
      <w:r>
        <w:rPr>
          <w:rFonts w:hint="eastAsia" w:ascii="Calibri" w:hAnsi="Calibri"/>
          <w:snapToGrid w:val="0"/>
          <w:color w:val="000000" w:themeColor="text1"/>
          <w:szCs w:val="32"/>
          <w:u w:val="none"/>
          <w14:textFill>
            <w14:solidFill>
              <w14:schemeClr w14:val="tx1"/>
            </w14:solidFill>
          </w14:textFill>
        </w:rPr>
        <w:t>持续健全和落实项目全生命周期服务推进机制，</w:t>
      </w:r>
      <w:r>
        <w:rPr>
          <w:rFonts w:hint="eastAsia" w:ascii="仿宋_GB2312" w:hAnsi="仿宋_GB2312" w:eastAsia="仿宋_GB2312" w:cs="仿宋_GB2312"/>
          <w:color w:val="000000"/>
          <w:sz w:val="32"/>
          <w:szCs w:val="32"/>
        </w:rPr>
        <w:t>深化“要素跟着项目走”，以重点项目建设牵引有效投资。</w:t>
      </w:r>
      <w:r>
        <w:rPr>
          <w:rFonts w:hint="eastAsia" w:cs="仿宋_GB2312"/>
          <w:color w:val="000000"/>
          <w:sz w:val="32"/>
          <w:szCs w:val="32"/>
          <w:lang w:eastAsia="zh-CN"/>
        </w:rPr>
        <w:t>提高</w:t>
      </w:r>
      <w:r>
        <w:rPr>
          <w:rFonts w:hint="eastAsia" w:ascii="仿宋_GB2312" w:hAnsi="仿宋_GB2312" w:eastAsia="仿宋_GB2312" w:cs="仿宋_GB2312"/>
          <w:color w:val="000000"/>
          <w:sz w:val="32"/>
          <w:szCs w:val="32"/>
        </w:rPr>
        <w:t>“投资于物”</w:t>
      </w:r>
      <w:r>
        <w:rPr>
          <w:rFonts w:hint="eastAsia" w:cs="仿宋_GB2312"/>
          <w:color w:val="000000"/>
          <w:sz w:val="32"/>
          <w:szCs w:val="32"/>
          <w:lang w:eastAsia="zh-CN"/>
        </w:rPr>
        <w:t>水平</w:t>
      </w:r>
      <w:r>
        <w:rPr>
          <w:rFonts w:hint="eastAsia" w:ascii="仿宋_GB2312" w:hAnsi="仿宋_GB2312" w:eastAsia="仿宋_GB2312" w:cs="仿宋_GB2312"/>
          <w:color w:val="000000"/>
          <w:sz w:val="32"/>
          <w:szCs w:val="32"/>
        </w:rPr>
        <w:t>，更好发挥工业投资支撑带动作用，谋划储备一批制造业项目，支持企业推进高水平技改升级和大规模设备更新，努力保持投资的可持续性。加大“投资于人”力度，引导更多资金投向教育医疗、养老托育、人力资源开发等领域。</w:t>
      </w:r>
    </w:p>
    <w:p w14:paraId="5153380C">
      <w:pPr>
        <w:keepLines w:val="0"/>
        <w:pageBreakBefore w:val="0"/>
        <w:widowControl w:val="0"/>
        <w:kinsoku/>
        <w:wordWrap/>
        <w:overflowPunct/>
        <w:topLinePunct w:val="0"/>
        <w:autoSpaceDE/>
        <w:autoSpaceDN/>
        <w:bidi w:val="0"/>
        <w:adjustRightInd/>
        <w:snapToGrid/>
        <w:spacing w:line="580" w:lineRule="exact"/>
        <w:ind w:firstLine="643"/>
        <w:textAlignment w:val="auto"/>
        <w:rPr>
          <w:rFonts w:ascii="Calibri" w:hAnsi="Calibri"/>
          <w:snapToGrid w:val="0"/>
          <w:color w:val="000000" w:themeColor="text1"/>
          <w:szCs w:val="32"/>
          <w:u w:val="none"/>
          <w14:textFill>
            <w14:solidFill>
              <w14:schemeClr w14:val="tx1"/>
            </w14:solidFill>
          </w14:textFill>
        </w:rPr>
      </w:pPr>
      <w:r>
        <w:rPr>
          <w:rFonts w:hint="eastAsia" w:ascii="Calibri" w:hAnsi="Calibri"/>
          <w:b/>
          <w:bCs/>
          <w:snapToGrid w:val="0"/>
          <w:color w:val="000000" w:themeColor="text1"/>
          <w:szCs w:val="32"/>
          <w:u w:val="none"/>
          <w:lang w:eastAsia="zh-CN"/>
          <w14:textFill>
            <w14:solidFill>
              <w14:schemeClr w14:val="tx1"/>
            </w14:solidFill>
          </w14:textFill>
        </w:rPr>
        <w:t>不断优化投资结构。</w:t>
      </w:r>
      <w:r>
        <w:rPr>
          <w:rFonts w:hint="eastAsia" w:ascii="Calibri" w:hAnsi="Calibri"/>
          <w:b w:val="0"/>
          <w:bCs w:val="0"/>
          <w:snapToGrid w:val="0"/>
          <w:color w:val="000000" w:themeColor="text1"/>
          <w:szCs w:val="32"/>
          <w:u w:val="none"/>
          <w14:textFill>
            <w14:solidFill>
              <w14:schemeClr w14:val="tx1"/>
            </w14:solidFill>
          </w14:textFill>
        </w:rPr>
        <w:t>优化投资投向结构</w:t>
      </w:r>
      <w:r>
        <w:rPr>
          <w:rFonts w:hint="eastAsia" w:ascii="Calibri" w:hAnsi="Calibri"/>
          <w:b w:val="0"/>
          <w:bCs w:val="0"/>
          <w:snapToGrid w:val="0"/>
          <w:color w:val="000000" w:themeColor="text1"/>
          <w:szCs w:val="32"/>
          <w:u w:val="none"/>
          <w:lang w:eastAsia="zh-CN"/>
          <w14:textFill>
            <w14:solidFill>
              <w14:schemeClr w14:val="tx1"/>
            </w14:solidFill>
          </w14:textFill>
        </w:rPr>
        <w:t>，</w:t>
      </w:r>
      <w:r>
        <w:rPr>
          <w:rFonts w:hint="eastAsia" w:ascii="Calibri" w:hAnsi="Calibri"/>
          <w:snapToGrid w:val="0"/>
          <w:color w:val="000000" w:themeColor="text1"/>
          <w:szCs w:val="32"/>
          <w:u w:val="none"/>
          <w14:textFill>
            <w14:solidFill>
              <w14:schemeClr w14:val="tx1"/>
            </w14:solidFill>
          </w14:textFill>
        </w:rPr>
        <w:t>重点支持实体产业投资，注重工业投资和基础设施投资的比例，推进民生项目建设。优化投资来源结构，完善政府投资预算审批制度，积极争取中央预算内投资、超长期特别国债、地方政府专项债券</w:t>
      </w:r>
      <w:r>
        <w:rPr>
          <w:rFonts w:hint="eastAsia" w:ascii="Calibri" w:hAnsi="Calibri"/>
          <w:snapToGrid w:val="0"/>
          <w:color w:val="000000" w:themeColor="text1"/>
          <w:szCs w:val="32"/>
          <w:u w:val="none"/>
          <w:lang w:eastAsia="zh-CN"/>
          <w14:textFill>
            <w14:solidFill>
              <w14:schemeClr w14:val="tx1"/>
            </w14:solidFill>
          </w14:textFill>
        </w:rPr>
        <w:t>。</w:t>
      </w:r>
      <w:r>
        <w:rPr>
          <w:rFonts w:hint="eastAsia" w:ascii="Calibri" w:hAnsi="Calibri"/>
          <w:snapToGrid w:val="0"/>
          <w:color w:val="000000" w:themeColor="text1"/>
          <w:szCs w:val="32"/>
          <w:u w:val="none"/>
          <w14:textFill>
            <w14:solidFill>
              <w14:schemeClr w14:val="tx1"/>
            </w14:solidFill>
          </w14:textFill>
        </w:rPr>
        <w:t>扩大民间投资，推动国有企业投资体制改革，鼓励吸引民间资本参与重大项目建设，加快构建市场主导、活力充沛、持续增长的投资内生增长机制。</w:t>
      </w:r>
    </w:p>
    <w:p w14:paraId="2C60D05B">
      <w:pPr>
        <w:pStyle w:val="3"/>
        <w:keepNext/>
        <w:keepLines w:val="0"/>
        <w:pageBreakBefore w:val="0"/>
        <w:widowControl w:val="0"/>
        <w:kinsoku/>
        <w:wordWrap/>
        <w:overflowPunct w:val="0"/>
        <w:topLinePunct w:val="0"/>
        <w:autoSpaceDE/>
        <w:autoSpaceDN/>
        <w:bidi w:val="0"/>
        <w:adjustRightInd w:val="0"/>
        <w:snapToGrid w:val="0"/>
        <w:spacing w:before="156" w:beforeLines="50" w:after="156" w:afterLines="50" w:line="580" w:lineRule="exact"/>
        <w:ind w:firstLine="0" w:firstLineChars="0"/>
        <w:jc w:val="center"/>
        <w:textAlignment w:val="auto"/>
        <w:rPr>
          <w:rFonts w:hint="eastAsia"/>
          <w:szCs w:val="32"/>
        </w:rPr>
      </w:pPr>
      <w:bookmarkStart w:id="38" w:name="_Toc1692148413"/>
      <w:r>
        <w:rPr>
          <w:rFonts w:hint="eastAsia"/>
          <w:szCs w:val="32"/>
        </w:rPr>
        <w:t>第三节  构建现代化基础设施体系</w:t>
      </w:r>
      <w:bookmarkEnd w:id="38"/>
    </w:p>
    <w:p w14:paraId="2E5272A3">
      <w:pPr>
        <w:keepLines w:val="0"/>
        <w:pageBreakBefore w:val="0"/>
        <w:widowControl w:val="0"/>
        <w:kinsoku/>
        <w:wordWrap/>
        <w:topLinePunct w:val="0"/>
        <w:autoSpaceDE/>
        <w:autoSpaceDN/>
        <w:bidi w:val="0"/>
        <w:adjustRightInd/>
        <w:snapToGrid/>
        <w:spacing w:line="580" w:lineRule="exact"/>
        <w:ind w:firstLine="643"/>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优化基础设施布局、结构、功能和发展模式，适度超前建设新型基础设施，推进传统基础设施更新和数智化改造。</w:t>
      </w:r>
    </w:p>
    <w:p w14:paraId="19B0FC68">
      <w:pPr>
        <w:keepLines w:val="0"/>
        <w:pageBreakBefore w:val="0"/>
        <w:widowControl w:val="0"/>
        <w:kinsoku/>
        <w:wordWrap/>
        <w:topLinePunct w:val="0"/>
        <w:autoSpaceDE/>
        <w:autoSpaceDN/>
        <w:bidi w:val="0"/>
        <w:adjustRightInd/>
        <w:snapToGrid/>
        <w:spacing w:line="580" w:lineRule="exact"/>
        <w:ind w:firstLine="643"/>
        <w:textAlignment w:val="auto"/>
        <w:rPr>
          <w:rFonts w:hint="eastAsia"/>
          <w:color w:val="000000" w:themeColor="text1"/>
          <w:szCs w:val="32"/>
          <w:u w:val="none"/>
          <w14:textFill>
            <w14:solidFill>
              <w14:schemeClr w14:val="tx1"/>
            </w14:solidFill>
          </w14:textFill>
        </w:rPr>
      </w:pPr>
      <w:r>
        <w:rPr>
          <w:rFonts w:hint="eastAsia"/>
          <w:b/>
          <w:bCs/>
          <w:color w:val="000000" w:themeColor="text1"/>
          <w:szCs w:val="32"/>
          <w:u w:val="none"/>
          <w14:textFill>
            <w14:solidFill>
              <w14:schemeClr w14:val="tx1"/>
            </w14:solidFill>
          </w14:textFill>
        </w:rPr>
        <w:t>完善现代化综合交通运输体系。</w:t>
      </w:r>
      <w:r>
        <w:rPr>
          <w:rFonts w:hint="eastAsia" w:ascii="仿宋_GB2312" w:hAnsi="仿宋_GB2312" w:eastAsia="仿宋_GB2312" w:cs="仿宋_GB2312"/>
          <w:color w:val="000000"/>
          <w:sz w:val="32"/>
          <w:szCs w:val="32"/>
        </w:rPr>
        <w:t>优化城市路网结构，全力保障黄岗路穿黄隧道、轨道交通等重大工程建设</w:t>
      </w:r>
      <w:r>
        <w:rPr>
          <w:rFonts w:hint="eastAsia"/>
          <w:color w:val="000000" w:themeColor="text1"/>
          <w:szCs w:val="32"/>
          <w:u w:val="none"/>
          <w14:textFill>
            <w14:solidFill>
              <w14:schemeClr w14:val="tx1"/>
            </w14:solidFill>
          </w14:textFill>
        </w:rPr>
        <w:t>，</w:t>
      </w:r>
      <w:r>
        <w:rPr>
          <w:rFonts w:hint="eastAsia" w:ascii="仿宋_GB2312" w:hAnsi="仿宋_GB2312" w:eastAsia="仿宋_GB2312" w:cs="仿宋_GB2312"/>
          <w:color w:val="000000"/>
          <w:sz w:val="32"/>
          <w:szCs w:val="32"/>
        </w:rPr>
        <w:t>完成纬二路跨铁路天桥大修改造，</w:t>
      </w:r>
      <w:r>
        <w:rPr>
          <w:rFonts w:hint="eastAsia" w:ascii="仿宋_GB2312" w:hAnsi="仿宋_GB2312" w:eastAsia="仿宋_GB2312" w:cs="仿宋_GB2312"/>
          <w:sz w:val="32"/>
          <w:szCs w:val="32"/>
          <w:lang w:val="en-US" w:eastAsia="zh-CN"/>
        </w:rPr>
        <w:t>打通一批瓶颈路、断头路，</w:t>
      </w:r>
      <w:r>
        <w:rPr>
          <w:rFonts w:hint="eastAsia" w:ascii="仿宋_GB2312" w:hAnsi="仿宋_GB2312" w:eastAsia="仿宋_GB2312" w:cs="仿宋_GB2312"/>
          <w:color w:val="000000"/>
          <w:sz w:val="32"/>
          <w:szCs w:val="32"/>
        </w:rPr>
        <w:t>提高区域综合交通承载力和外联水平。</w:t>
      </w:r>
      <w:r>
        <w:rPr>
          <w:rFonts w:hint="eastAsia"/>
          <w:color w:val="000000" w:themeColor="text1"/>
          <w:szCs w:val="32"/>
          <w:u w:val="none"/>
          <w14:textFill>
            <w14:solidFill>
              <w14:schemeClr w14:val="tx1"/>
            </w14:solidFill>
          </w14:textFill>
        </w:rPr>
        <w:t>优化农村交通网络，</w:t>
      </w:r>
      <w:r>
        <w:rPr>
          <w:rFonts w:hint="eastAsia"/>
          <w:color w:val="000000" w:themeColor="text1"/>
          <w:szCs w:val="32"/>
          <w:u w:val="none"/>
          <w:lang w:eastAsia="zh-CN"/>
          <w14:textFill>
            <w14:solidFill>
              <w14:schemeClr w14:val="tx1"/>
            </w14:solidFill>
          </w14:textFill>
        </w:rPr>
        <w:t>做好</w:t>
      </w:r>
      <w:r>
        <w:rPr>
          <w:rFonts w:hint="eastAsia"/>
          <w:color w:val="000000" w:themeColor="text1"/>
          <w:szCs w:val="32"/>
          <w:u w:val="none"/>
          <w14:textFill>
            <w14:solidFill>
              <w14:schemeClr w14:val="tx1"/>
            </w14:solidFill>
          </w14:textFill>
        </w:rPr>
        <w:t>“四好农村路”提质增效，实施农村公路养护、危桥改造和安全防护工程等项目，积极推动物流支点、郊区大仓、配送网络等新型基础设施建设</w:t>
      </w:r>
      <w:r>
        <w:rPr>
          <w:rFonts w:hint="eastAsia"/>
          <w:color w:val="000000" w:themeColor="text1"/>
          <w:szCs w:val="32"/>
          <w:u w:val="none"/>
          <w:lang w:eastAsia="zh-CN"/>
          <w14:textFill>
            <w14:solidFill>
              <w14:schemeClr w14:val="tx1"/>
            </w14:solidFill>
          </w14:textFill>
        </w:rPr>
        <w:t>，</w:t>
      </w:r>
      <w:r>
        <w:rPr>
          <w:rFonts w:hint="eastAsia"/>
          <w:color w:val="000000" w:themeColor="text1"/>
          <w:szCs w:val="32"/>
          <w:u w:val="none"/>
          <w14:textFill>
            <w14:solidFill>
              <w14:schemeClr w14:val="tx1"/>
            </w14:solidFill>
          </w14:textFill>
        </w:rPr>
        <w:t>构建以轨道交通、跨河桥隧、骨干路网为支撑的综合交通体系。</w:t>
      </w:r>
    </w:p>
    <w:p w14:paraId="55A01653">
      <w:pPr>
        <w:keepLines w:val="0"/>
        <w:pageBreakBefore w:val="0"/>
        <w:widowControl w:val="0"/>
        <w:kinsoku/>
        <w:wordWrap/>
        <w:topLinePunct w:val="0"/>
        <w:autoSpaceDE/>
        <w:autoSpaceDN/>
        <w:bidi w:val="0"/>
        <w:adjustRightInd/>
        <w:snapToGrid/>
        <w:spacing w:line="580" w:lineRule="exact"/>
        <w:ind w:firstLine="643"/>
        <w:textAlignment w:val="auto"/>
        <w:rPr>
          <w:rFonts w:hint="eastAsia"/>
          <w:b w:val="0"/>
          <w:bCs w:val="0"/>
          <w:color w:val="000000" w:themeColor="text1"/>
          <w:szCs w:val="32"/>
          <w:u w:val="none"/>
          <w14:textFill>
            <w14:solidFill>
              <w14:schemeClr w14:val="tx1"/>
            </w14:solidFill>
          </w14:textFill>
        </w:rPr>
      </w:pPr>
      <w:r>
        <w:rPr>
          <w:rFonts w:hint="eastAsia"/>
          <w:b/>
          <w:bCs/>
          <w:color w:val="000000" w:themeColor="text1"/>
          <w:szCs w:val="32"/>
          <w:u w:val="none"/>
          <w14:textFill>
            <w14:solidFill>
              <w14:schemeClr w14:val="tx1"/>
            </w14:solidFill>
          </w14:textFill>
        </w:rPr>
        <w:t>完善公共服务配套设施。</w:t>
      </w:r>
      <w:r>
        <w:rPr>
          <w:rFonts w:hint="eastAsia"/>
          <w:color w:val="000000" w:themeColor="text1"/>
          <w:szCs w:val="32"/>
          <w:u w:val="none"/>
          <w14:textFill>
            <w14:solidFill>
              <w14:schemeClr w14:val="tx1"/>
            </w14:solidFill>
          </w14:textFill>
        </w:rPr>
        <w:t>大力加强充电桩、充电站、公共停车场等配套服务设施建设，加强城市供水、污水、雨水、燃气、供热、通信等各类地下管网建设，提升地下管网综合承载能力</w:t>
      </w:r>
      <w:r>
        <w:rPr>
          <w:rFonts w:hint="eastAsia"/>
          <w:color w:val="000000" w:themeColor="text1"/>
          <w:szCs w:val="32"/>
          <w:u w:val="none"/>
          <w:lang w:eastAsia="zh-CN"/>
          <w14:textFill>
            <w14:solidFill>
              <w14:schemeClr w14:val="tx1"/>
            </w14:solidFill>
          </w14:textFill>
        </w:rPr>
        <w:t>，</w:t>
      </w:r>
      <w:r>
        <w:rPr>
          <w:rFonts w:hint="eastAsia"/>
          <w:color w:val="000000" w:themeColor="text1"/>
          <w:szCs w:val="32"/>
          <w:u w:val="none"/>
          <w14:textFill>
            <w14:solidFill>
              <w14:schemeClr w14:val="tx1"/>
            </w14:solidFill>
          </w14:textFill>
        </w:rPr>
        <w:t>加强平急两用公共基础设施建设</w:t>
      </w:r>
      <w:r>
        <w:rPr>
          <w:rFonts w:hint="eastAsia"/>
          <w:color w:val="000000" w:themeColor="text1"/>
          <w:szCs w:val="32"/>
          <w:u w:val="none"/>
          <w:lang w:eastAsia="zh-CN"/>
          <w14:textFill>
            <w14:solidFill>
              <w14:schemeClr w14:val="tx1"/>
            </w14:solidFill>
          </w14:textFill>
        </w:rPr>
        <w:t>，</w:t>
      </w:r>
      <w:r>
        <w:rPr>
          <w:rFonts w:hint="eastAsia"/>
          <w:b w:val="0"/>
          <w:bCs w:val="0"/>
          <w:color w:val="000000" w:themeColor="text1"/>
          <w:szCs w:val="32"/>
          <w:u w:val="none"/>
          <w14:textFill>
            <w14:solidFill>
              <w14:schemeClr w14:val="tx1"/>
            </w14:solidFill>
          </w14:textFill>
        </w:rPr>
        <w:t>公共服务配套设施</w:t>
      </w:r>
      <w:r>
        <w:rPr>
          <w:rFonts w:hint="eastAsia"/>
          <w:b w:val="0"/>
          <w:bCs w:val="0"/>
          <w:color w:val="000000" w:themeColor="text1"/>
          <w:szCs w:val="32"/>
          <w:u w:val="none"/>
          <w:lang w:eastAsia="zh-CN"/>
          <w14:textFill>
            <w14:solidFill>
              <w14:schemeClr w14:val="tx1"/>
            </w14:solidFill>
          </w14:textFill>
        </w:rPr>
        <w:t>不断完善</w:t>
      </w:r>
      <w:r>
        <w:rPr>
          <w:rFonts w:hint="eastAsia"/>
          <w:b w:val="0"/>
          <w:bCs w:val="0"/>
          <w:color w:val="000000" w:themeColor="text1"/>
          <w:szCs w:val="32"/>
          <w:u w:val="none"/>
          <w14:textFill>
            <w14:solidFill>
              <w14:schemeClr w14:val="tx1"/>
            </w14:solidFill>
          </w14:textFill>
        </w:rPr>
        <w:t>。</w:t>
      </w:r>
    </w:p>
    <w:p w14:paraId="0F0F40EF">
      <w:pPr>
        <w:keepNext/>
        <w:keepLines w:val="0"/>
        <w:pageBreakBefore w:val="0"/>
        <w:widowControl w:val="0"/>
        <w:kinsoku/>
        <w:wordWrap/>
        <w:overflowPunct w:val="0"/>
        <w:topLinePunct w:val="0"/>
        <w:autoSpaceDE/>
        <w:autoSpaceDN/>
        <w:bidi w:val="0"/>
        <w:adjustRightInd/>
        <w:snapToGrid/>
        <w:spacing w:line="590" w:lineRule="exact"/>
        <w:ind w:left="0" w:leftChars="0" w:firstLine="0" w:firstLineChars="0"/>
        <w:jc w:val="both"/>
        <w:textAlignment w:val="auto"/>
        <w:rPr>
          <w:rFonts w:hint="eastAsia" w:ascii="仿宋_GB2312" w:hAnsi="仿宋_GB2312" w:eastAsia="仿宋_GB2312" w:cs="仿宋_GB2312"/>
          <w:sz w:val="32"/>
          <w:szCs w:val="32"/>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p>
    <w:bookmarkEnd w:id="35"/>
    <w:p w14:paraId="474BB6EE">
      <w:pPr>
        <w:pStyle w:val="2"/>
        <w:keepNext/>
        <w:keepLines w:val="0"/>
        <w:pageBreakBefore w:val="0"/>
        <w:widowControl w:val="0"/>
        <w:kinsoku/>
        <w:wordWrap/>
        <w:overflowPunct w:val="0"/>
        <w:topLinePunct w:val="0"/>
        <w:autoSpaceDE/>
        <w:autoSpaceDN/>
        <w:bidi w:val="0"/>
        <w:adjustRightInd w:val="0"/>
        <w:snapToGrid w:val="0"/>
        <w:spacing w:before="313" w:beforeLines="100" w:after="313" w:afterLines="100" w:line="580" w:lineRule="exact"/>
        <w:ind w:left="0" w:leftChars="0" w:firstLine="0" w:firstLineChars="0"/>
        <w:jc w:val="center"/>
        <w:textAlignment w:val="auto"/>
        <w:rPr>
          <w:rFonts w:hint="eastAsia" w:ascii="方正小标宋简体" w:hAnsi="方正小标宋简体" w:eastAsia="方正小标宋简体" w:cs="方正小标宋简体"/>
          <w:b w:val="0"/>
          <w:bCs w:val="0"/>
          <w:spacing w:val="-6"/>
          <w:kern w:val="2"/>
          <w:sz w:val="32"/>
          <w:szCs w:val="32"/>
          <w:u w:val="none"/>
          <w:lang w:val="en-US" w:eastAsia="zh-CN"/>
        </w:rPr>
      </w:pPr>
      <w:bookmarkStart w:id="39" w:name="_Toc1686845060"/>
      <w:r>
        <w:rPr>
          <w:rFonts w:hint="eastAsia" w:ascii="方正小标宋简体" w:hAnsi="方正小标宋简体" w:eastAsia="方正小标宋简体" w:cs="方正小标宋简体"/>
          <w:b w:val="0"/>
          <w:bCs w:val="0"/>
          <w:spacing w:val="-6"/>
          <w:kern w:val="2"/>
          <w:sz w:val="32"/>
          <w:szCs w:val="32"/>
          <w:u w:val="none"/>
          <w:lang w:val="en-US" w:eastAsia="zh-CN"/>
        </w:rPr>
        <w:t>第五章  服务融入区域重大战略</w:t>
      </w:r>
      <w:bookmarkEnd w:id="39"/>
    </w:p>
    <w:p w14:paraId="4231FEE9">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抢抓</w:t>
      </w:r>
      <w:r>
        <w:rPr>
          <w:rFonts w:hint="eastAsia" w:cs="仿宋_GB2312"/>
          <w:sz w:val="32"/>
          <w:szCs w:val="32"/>
          <w:lang w:val="en-US" w:eastAsia="zh-CN"/>
        </w:rPr>
        <w:t>黄河流域生态保护和高质量发展</w:t>
      </w:r>
      <w:r>
        <w:rPr>
          <w:rFonts w:hint="eastAsia" w:ascii="仿宋_GB2312" w:hAnsi="仿宋_GB2312" w:eastAsia="仿宋_GB2312" w:cs="仿宋_GB2312"/>
          <w:sz w:val="32"/>
          <w:szCs w:val="32"/>
          <w:lang w:val="en-US" w:eastAsia="zh-CN"/>
        </w:rPr>
        <w:t>、绿色低碳高质量发展先行区建设、济南都市圈建设等重大战略机遇，</w:t>
      </w:r>
      <w:r>
        <w:rPr>
          <w:rFonts w:hint="eastAsia" w:ascii="仿宋_GB2312" w:hAnsi="仿宋_GB2312" w:eastAsia="仿宋_GB2312" w:cs="仿宋_GB2312"/>
          <w:b w:val="0"/>
          <w:bCs w:val="0"/>
          <w:spacing w:val="0"/>
          <w:sz w:val="32"/>
          <w:szCs w:val="32"/>
          <w:u w:val="none"/>
          <w:lang w:val="en-US" w:eastAsia="zh-CN"/>
        </w:rPr>
        <w:t>放大区域协同发展能级，</w:t>
      </w:r>
      <w:r>
        <w:rPr>
          <w:rFonts w:hint="eastAsia" w:ascii="仿宋_GB2312" w:hAnsi="仿宋_GB2312" w:eastAsia="仿宋_GB2312" w:cs="仿宋_GB2312"/>
          <w:sz w:val="32"/>
          <w:szCs w:val="32"/>
          <w:lang w:val="en-US" w:eastAsia="zh-CN"/>
        </w:rPr>
        <w:t>加快构建城市发展新格局。</w:t>
      </w:r>
    </w:p>
    <w:p w14:paraId="780DB501">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40" w:name="_Toc1693524647"/>
      <w:r>
        <w:rPr>
          <w:rFonts w:hint="eastAsia"/>
          <w:b w:val="0"/>
          <w:bCs w:val="0"/>
          <w:sz w:val="32"/>
          <w:szCs w:val="32"/>
          <w:u w:val="none"/>
          <w:lang w:val="en-US" w:eastAsia="zh-CN"/>
        </w:rPr>
        <w:t>第一节  深入落实</w:t>
      </w:r>
      <w:bookmarkEnd w:id="40"/>
      <w:r>
        <w:rPr>
          <w:rFonts w:hint="eastAsia"/>
          <w:b w:val="0"/>
          <w:bCs w:val="0"/>
          <w:sz w:val="32"/>
          <w:szCs w:val="32"/>
          <w:u w:val="none"/>
          <w:lang w:val="en-US" w:eastAsia="zh-CN"/>
        </w:rPr>
        <w:t>黄河流域生态保护和高质量发展战略</w:t>
      </w:r>
    </w:p>
    <w:p w14:paraId="7221378D">
      <w:pPr>
        <w:keepNext w:val="0"/>
        <w:keepLines w:val="0"/>
        <w:pageBreakBefore w:val="0"/>
        <w:widowControl w:val="0"/>
        <w:kinsoku/>
        <w:wordWrap/>
        <w:overflowPunct w:val="0"/>
        <w:topLinePunct w:val="0"/>
        <w:autoSpaceDE/>
        <w:autoSpaceDN/>
        <w:bidi w:val="0"/>
        <w:adjustRightInd/>
        <w:snapToGrid/>
        <w:spacing w:line="580" w:lineRule="exact"/>
        <w:ind w:left="0" w:leftChars="0" w:firstLine="640" w:firstLineChars="200"/>
        <w:textAlignment w:val="auto"/>
        <w:outlineLvl w:val="9"/>
        <w:rPr>
          <w:rFonts w:hint="eastAsia" w:ascii="仿宋_GB2312" w:hAnsi="仿宋_GB2312" w:eastAsia="仿宋_GB2312" w:cs="仿宋_GB2312"/>
          <w:b w:val="0"/>
          <w:bCs w:val="0"/>
          <w:spacing w:val="0"/>
          <w:sz w:val="32"/>
          <w:szCs w:val="32"/>
          <w:u w:val="none"/>
          <w:lang w:val="en-US" w:eastAsia="zh-CN"/>
        </w:rPr>
      </w:pPr>
      <w:bookmarkStart w:id="41" w:name="OLE_LINK10"/>
      <w:r>
        <w:rPr>
          <w:rFonts w:hint="eastAsia" w:ascii="仿宋_GB2312" w:hAnsi="仿宋_GB2312" w:eastAsia="仿宋_GB2312" w:cs="仿宋_GB2312"/>
          <w:b w:val="0"/>
          <w:bCs w:val="0"/>
          <w:spacing w:val="0"/>
          <w:sz w:val="32"/>
          <w:szCs w:val="32"/>
          <w:u w:val="none"/>
          <w:lang w:val="en-US" w:eastAsia="zh-CN"/>
        </w:rPr>
        <w:t>准确把握重在保护、要在治理的战略要求，着力保障黄河长治久安</w:t>
      </w:r>
      <w:r>
        <w:rPr>
          <w:rFonts w:hint="eastAsia" w:cs="仿宋_GB2312"/>
          <w:b w:val="0"/>
          <w:bCs w:val="0"/>
          <w:spacing w:val="0"/>
          <w:sz w:val="32"/>
          <w:szCs w:val="32"/>
          <w:u w:val="none"/>
          <w:lang w:val="en-US" w:eastAsia="zh-CN"/>
        </w:rPr>
        <w:t>，</w:t>
      </w:r>
      <w:r>
        <w:rPr>
          <w:rFonts w:hint="eastAsia" w:ascii="仿宋_GB2312" w:hAnsi="仿宋_GB2312" w:eastAsia="仿宋_GB2312" w:cs="仿宋_GB2312"/>
          <w:b w:val="0"/>
          <w:bCs w:val="0"/>
          <w:spacing w:val="0"/>
          <w:sz w:val="32"/>
          <w:szCs w:val="32"/>
          <w:u w:val="none"/>
          <w:lang w:val="en-US" w:eastAsia="zh-CN"/>
        </w:rPr>
        <w:t>坚持“四水四定”原则</w:t>
      </w:r>
      <w:r>
        <w:rPr>
          <w:rFonts w:hint="eastAsia" w:cs="仿宋_GB2312"/>
          <w:b w:val="0"/>
          <w:bCs w:val="0"/>
          <w:spacing w:val="0"/>
          <w:sz w:val="32"/>
          <w:szCs w:val="32"/>
          <w:u w:val="none"/>
          <w:lang w:val="en-US" w:eastAsia="zh-CN"/>
        </w:rPr>
        <w:t>，</w:t>
      </w:r>
      <w:r>
        <w:rPr>
          <w:rFonts w:hint="eastAsia" w:ascii="仿宋_GB2312" w:hAnsi="仿宋_GB2312" w:eastAsia="仿宋_GB2312" w:cs="仿宋_GB2312"/>
          <w:b w:val="0"/>
          <w:bCs w:val="0"/>
          <w:spacing w:val="0"/>
          <w:sz w:val="32"/>
          <w:szCs w:val="32"/>
          <w:u w:val="none"/>
          <w:lang w:val="en-US" w:eastAsia="zh-CN"/>
        </w:rPr>
        <w:t>保护传承弘扬黄河文化，</w:t>
      </w:r>
      <w:r>
        <w:rPr>
          <w:rFonts w:hint="eastAsia" w:cs="仿宋_GB2312"/>
          <w:b w:val="0"/>
          <w:bCs w:val="0"/>
          <w:spacing w:val="0"/>
          <w:sz w:val="32"/>
          <w:szCs w:val="32"/>
          <w:u w:val="none"/>
          <w:lang w:val="en-US" w:eastAsia="zh-CN"/>
        </w:rPr>
        <w:t>全方位</w:t>
      </w:r>
      <w:r>
        <w:rPr>
          <w:rFonts w:hint="eastAsia" w:ascii="仿宋_GB2312" w:hAnsi="仿宋_GB2312" w:eastAsia="仿宋_GB2312" w:cs="仿宋_GB2312"/>
          <w:b w:val="0"/>
          <w:bCs w:val="0"/>
          <w:spacing w:val="0"/>
          <w:sz w:val="32"/>
          <w:szCs w:val="32"/>
          <w:u w:val="none"/>
          <w:lang w:val="en-US" w:eastAsia="zh-CN"/>
        </w:rPr>
        <w:t>服务融入</w:t>
      </w:r>
      <w:r>
        <w:rPr>
          <w:rFonts w:hint="eastAsia" w:cs="仿宋_GB2312"/>
          <w:b w:val="0"/>
          <w:bCs w:val="0"/>
          <w:spacing w:val="0"/>
          <w:sz w:val="32"/>
          <w:szCs w:val="32"/>
          <w:u w:val="none"/>
          <w:lang w:val="en-US" w:eastAsia="zh-CN"/>
        </w:rPr>
        <w:t>黄河流域生态保护和高质量发展战略</w:t>
      </w:r>
      <w:r>
        <w:rPr>
          <w:rFonts w:hint="eastAsia" w:ascii="仿宋_GB2312" w:hAnsi="仿宋_GB2312" w:eastAsia="仿宋_GB2312" w:cs="仿宋_GB2312"/>
          <w:b w:val="0"/>
          <w:bCs w:val="0"/>
          <w:spacing w:val="0"/>
          <w:sz w:val="32"/>
          <w:szCs w:val="32"/>
          <w:u w:val="none"/>
          <w:lang w:val="en-US" w:eastAsia="zh-CN"/>
        </w:rPr>
        <w:t>。</w:t>
      </w:r>
    </w:p>
    <w:p w14:paraId="54CA3290">
      <w:pPr>
        <w:keepNext w:val="0"/>
        <w:keepLines w:val="0"/>
        <w:pageBreakBefore w:val="0"/>
        <w:widowControl w:val="0"/>
        <w:kinsoku/>
        <w:wordWrap/>
        <w:overflowPunct w:val="0"/>
        <w:topLinePunct w:val="0"/>
        <w:autoSpaceDE/>
        <w:autoSpaceDN/>
        <w:bidi w:val="0"/>
        <w:adjustRightInd/>
        <w:snapToGrid/>
        <w:spacing w:line="580" w:lineRule="exact"/>
        <w:ind w:left="0" w:leftChars="0" w:firstLine="643" w:firstLineChars="200"/>
        <w:textAlignment w:val="auto"/>
        <w:outlineLvl w:val="9"/>
        <w:rPr>
          <w:rFonts w:hint="eastAsia" w:ascii="仿宋_GB2312" w:hAnsi="Calibri" w:eastAsia="仿宋_GB2312" w:cs="宋体"/>
          <w:kern w:val="2"/>
          <w:sz w:val="32"/>
          <w:szCs w:val="32"/>
          <w:lang w:val="en-US" w:eastAsia="zh-CN" w:bidi="ar-SA"/>
        </w:rPr>
      </w:pPr>
      <w:r>
        <w:rPr>
          <w:rFonts w:hint="eastAsia" w:ascii="仿宋_GB2312" w:hAnsi="Calibri" w:eastAsia="仿宋_GB2312" w:cs="宋体"/>
          <w:b/>
          <w:bCs/>
          <w:kern w:val="2"/>
          <w:sz w:val="32"/>
          <w:szCs w:val="32"/>
          <w:lang w:val="en-US" w:eastAsia="zh-CN" w:bidi="ar-SA"/>
        </w:rPr>
        <w:t>全力保障黄河长久安澜</w:t>
      </w:r>
      <w:r>
        <w:rPr>
          <w:rFonts w:hint="eastAsia" w:ascii="仿宋_GB2312" w:hAnsi="Calibri" w:eastAsia="仿宋_GB2312" w:cs="宋体"/>
          <w:kern w:val="2"/>
          <w:sz w:val="32"/>
          <w:szCs w:val="32"/>
          <w:lang w:val="en-US" w:eastAsia="zh-CN" w:bidi="ar-SA"/>
        </w:rPr>
        <w:t>。</w:t>
      </w:r>
      <w:r>
        <w:rPr>
          <w:rFonts w:hint="eastAsia" w:ascii="仿宋_GB2312" w:hAnsi="仿宋_GB2312" w:eastAsia="仿宋_GB2312" w:cs="仿宋_GB2312"/>
          <w:color w:val="000000"/>
          <w:sz w:val="32"/>
          <w:szCs w:val="32"/>
        </w:rPr>
        <w:t>聚焦黄河防洪安全，强化综合性防洪减灾体系建设，扎实推进险工险段和控导工程改建续建，高标准建设黄河下游河道治理提升工程（济南段），保障黄河长治久安。</w:t>
      </w:r>
      <w:r>
        <w:rPr>
          <w:rFonts w:hint="eastAsia" w:ascii="仿宋_GB2312" w:hAnsi="Calibri" w:eastAsia="仿宋_GB2312" w:cs="宋体"/>
          <w:kern w:val="2"/>
          <w:sz w:val="32"/>
          <w:szCs w:val="32"/>
          <w:lang w:val="en-US" w:eastAsia="zh-CN" w:bidi="ar-SA"/>
        </w:rPr>
        <w:t>实施中小河道系统综合治理，全面提升城乡防洪排涝精细化治理水平。</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依托河长制平台清理侵占河道、破坏岸线等违法行为</w:t>
      </w:r>
      <w:r>
        <w:rPr>
          <w:rFonts w:hint="eastAsia" w:ascii="仿宋_GB2312" w:hAnsi="Calibri" w:eastAsia="仿宋_GB2312" w:cs="宋体"/>
          <w:kern w:val="2"/>
          <w:sz w:val="32"/>
          <w:szCs w:val="32"/>
          <w:lang w:val="en-US" w:eastAsia="zh-CN" w:bidi="ar-SA"/>
        </w:rPr>
        <w:t>，畅通主槽行洪通道，切实增强黄河干流行洪能力。</w:t>
      </w:r>
      <w:bookmarkEnd w:id="41"/>
    </w:p>
    <w:p w14:paraId="2A19E9DE">
      <w:pPr>
        <w:keepNext w:val="0"/>
        <w:keepLines w:val="0"/>
        <w:pageBreakBefore w:val="0"/>
        <w:widowControl w:val="0"/>
        <w:kinsoku/>
        <w:wordWrap/>
        <w:overflowPunct w:val="0"/>
        <w:topLinePunct w:val="0"/>
        <w:autoSpaceDE/>
        <w:autoSpaceDN/>
        <w:bidi w:val="0"/>
        <w:adjustRightInd/>
        <w:snapToGrid/>
        <w:spacing w:line="580" w:lineRule="exact"/>
        <w:ind w:left="0" w:leftChars="0" w:firstLine="643" w:firstLineChars="200"/>
        <w:textAlignment w:val="auto"/>
        <w:outlineLvl w:val="9"/>
        <w:rPr>
          <w:rFonts w:hint="eastAsia" w:ascii="仿宋_GB2312" w:hAnsi="仿宋_GB2312" w:eastAsia="仿宋_GB2312" w:cs="仿宋_GB2312"/>
          <w:color w:val="000000"/>
          <w:sz w:val="32"/>
          <w:szCs w:val="32"/>
        </w:rPr>
      </w:pPr>
      <w:r>
        <w:rPr>
          <w:rFonts w:hint="eastAsia" w:ascii="仿宋_GB2312" w:hAnsi="Calibri" w:eastAsia="仿宋_GB2312" w:cs="宋体"/>
          <w:b/>
          <w:bCs/>
          <w:kern w:val="2"/>
          <w:sz w:val="32"/>
          <w:szCs w:val="32"/>
          <w:lang w:val="en-US" w:eastAsia="zh-CN" w:bidi="ar-SA"/>
        </w:rPr>
        <w:t>全方位贯彻“四水四定”。</w:t>
      </w:r>
      <w:r>
        <w:rPr>
          <w:rFonts w:hint="eastAsia" w:ascii="仿宋_GB2312" w:hAnsi="仿宋_GB2312" w:eastAsia="仿宋_GB2312" w:cs="仿宋_GB2312"/>
          <w:b w:val="0"/>
          <w:bCs w:val="0"/>
          <w:spacing w:val="0"/>
          <w:sz w:val="32"/>
          <w:szCs w:val="32"/>
          <w:u w:val="none"/>
          <w:lang w:val="en-US" w:eastAsia="zh-CN"/>
        </w:rPr>
        <w:t>优化水资源配置格局，加强非常规水源开发利用，逐年提高非常规水利用比例，生态用水优先使用非常规水。强化水资源刚性约束，精打细算用好水资源，从严从细管好水资源，促进水资源节约集约利用。</w:t>
      </w:r>
      <w:r>
        <w:rPr>
          <w:rFonts w:hint="eastAsia" w:ascii="仿宋_GB2312" w:hAnsi="仿宋_GB2312" w:eastAsia="仿宋_GB2312" w:cs="仿宋_GB2312"/>
          <w:color w:val="000000"/>
          <w:sz w:val="32"/>
          <w:szCs w:val="32"/>
        </w:rPr>
        <w:t>全面实施深度节水控水行动，持续推进农业节水增效、工业节水减排、城镇节水</w:t>
      </w:r>
      <w:r>
        <w:rPr>
          <w:rFonts w:hint="eastAsia" w:cs="仿宋_GB2312"/>
          <w:color w:val="000000"/>
          <w:sz w:val="32"/>
          <w:szCs w:val="32"/>
          <w:lang w:eastAsia="zh-CN"/>
        </w:rPr>
        <w:t>降</w:t>
      </w:r>
      <w:r>
        <w:rPr>
          <w:rFonts w:hint="eastAsia" w:ascii="仿宋_GB2312" w:hAnsi="仿宋_GB2312" w:eastAsia="仿宋_GB2312" w:cs="仿宋_GB2312"/>
          <w:color w:val="000000"/>
          <w:sz w:val="32"/>
          <w:szCs w:val="32"/>
        </w:rPr>
        <w:t>损。</w:t>
      </w:r>
    </w:p>
    <w:p w14:paraId="762AE5BD">
      <w:pPr>
        <w:keepNext w:val="0"/>
        <w:keepLines w:val="0"/>
        <w:pageBreakBefore w:val="0"/>
        <w:widowControl w:val="0"/>
        <w:kinsoku/>
        <w:wordWrap/>
        <w:overflowPunct w:val="0"/>
        <w:topLinePunct w:val="0"/>
        <w:autoSpaceDE/>
        <w:autoSpaceDN/>
        <w:bidi w:val="0"/>
        <w:adjustRightInd/>
        <w:snapToGrid/>
        <w:spacing w:line="580" w:lineRule="exact"/>
        <w:ind w:left="0" w:leftChars="0" w:firstLine="643" w:firstLineChars="200"/>
        <w:textAlignment w:val="auto"/>
        <w:outlineLvl w:val="9"/>
        <w:rPr>
          <w:rFonts w:hint="eastAsia" w:ascii="仿宋_GB2312" w:hAnsi="Calibri" w:eastAsia="仿宋_GB2312" w:cs="宋体"/>
          <w:kern w:val="2"/>
          <w:sz w:val="32"/>
          <w:szCs w:val="32"/>
          <w:lang w:val="en-US" w:eastAsia="zh-CN" w:bidi="ar-SA"/>
        </w:rPr>
      </w:pPr>
      <w:r>
        <w:rPr>
          <w:rFonts w:hint="eastAsia" w:ascii="仿宋_GB2312" w:hAnsi="Calibri" w:eastAsia="仿宋_GB2312" w:cs="宋体"/>
          <w:b/>
          <w:bCs/>
          <w:kern w:val="2"/>
          <w:sz w:val="32"/>
          <w:szCs w:val="32"/>
          <w:lang w:val="en-US" w:eastAsia="zh-CN" w:bidi="ar-SA"/>
        </w:rPr>
        <w:t>加强黄河沿岸生态廊道保护建设</w:t>
      </w:r>
      <w:r>
        <w:rPr>
          <w:rFonts w:hint="eastAsia" w:ascii="仿宋_GB2312" w:hAnsi="Calibri" w:eastAsia="仿宋_GB2312" w:cs="宋体"/>
          <w:kern w:val="2"/>
          <w:sz w:val="32"/>
          <w:szCs w:val="32"/>
          <w:lang w:val="en-US" w:eastAsia="zh-CN" w:bidi="ar-SA"/>
        </w:rPr>
        <w:t>。强化沿黄廊道绿化提质，持续推进堤防、淤背区生态林建设。持续开展滩区土地综合整治，提高滩区生态系统稳定性。串联黄河沿岸、小清河两岸及公园绿地，推进绿道网建设，打造黄河—小清河生态景观轴，</w:t>
      </w:r>
      <w:r>
        <w:rPr>
          <w:rFonts w:hint="eastAsia" w:hAnsi="Calibri" w:cs="宋体"/>
          <w:kern w:val="2"/>
          <w:sz w:val="32"/>
          <w:szCs w:val="32"/>
          <w:lang w:val="en-US" w:eastAsia="zh-CN" w:bidi="ar-SA"/>
        </w:rPr>
        <w:t>构建</w:t>
      </w:r>
      <w:r>
        <w:rPr>
          <w:rFonts w:hint="eastAsia" w:ascii="仿宋_GB2312" w:hAnsi="Calibri" w:eastAsia="仿宋_GB2312" w:cs="宋体"/>
          <w:kern w:val="2"/>
          <w:sz w:val="32"/>
          <w:szCs w:val="32"/>
          <w:lang w:val="en-US" w:eastAsia="zh-CN" w:bidi="ar-SA"/>
        </w:rPr>
        <w:t>集防洪护岸、水源涵养、生物栖息于一体的黄河下游绿色生态走廊。</w:t>
      </w:r>
    </w:p>
    <w:p w14:paraId="04E62F03">
      <w:pPr>
        <w:keepNext w:val="0"/>
        <w:keepLines w:val="0"/>
        <w:pageBreakBefore w:val="0"/>
        <w:widowControl w:val="0"/>
        <w:kinsoku/>
        <w:wordWrap/>
        <w:overflowPunct w:val="0"/>
        <w:topLinePunct w:val="0"/>
        <w:autoSpaceDE/>
        <w:autoSpaceDN/>
        <w:bidi w:val="0"/>
        <w:adjustRightInd/>
        <w:snapToGrid/>
        <w:spacing w:line="580" w:lineRule="exact"/>
        <w:ind w:left="0" w:leftChars="0" w:firstLine="643" w:firstLineChars="200"/>
        <w:textAlignment w:val="auto"/>
        <w:outlineLvl w:val="9"/>
        <w:rPr>
          <w:rFonts w:hint="eastAsia" w:ascii="仿宋_GB2312" w:hAnsi="Calibri" w:eastAsia="仿宋_GB2312" w:cs="宋体"/>
          <w:kern w:val="2"/>
          <w:sz w:val="32"/>
          <w:szCs w:val="32"/>
          <w:lang w:val="en-US" w:eastAsia="zh-CN" w:bidi="ar-SA"/>
        </w:rPr>
      </w:pPr>
      <w:r>
        <w:rPr>
          <w:rFonts w:hint="eastAsia" w:ascii="仿宋_GB2312" w:hAnsi="Calibri" w:eastAsia="仿宋_GB2312" w:cs="宋体"/>
          <w:b/>
          <w:bCs/>
          <w:kern w:val="2"/>
          <w:sz w:val="32"/>
          <w:szCs w:val="32"/>
          <w:lang w:val="en-US" w:eastAsia="zh-CN" w:bidi="ar-SA"/>
        </w:rPr>
        <w:t>保护传承弘扬黄河文化</w:t>
      </w:r>
      <w:r>
        <w:rPr>
          <w:rFonts w:hint="eastAsia" w:ascii="仿宋_GB2312" w:hAnsi="Calibri" w:eastAsia="仿宋_GB2312" w:cs="宋体"/>
          <w:kern w:val="2"/>
          <w:sz w:val="32"/>
          <w:szCs w:val="32"/>
          <w:lang w:val="en-US" w:eastAsia="zh-CN" w:bidi="ar-SA"/>
        </w:rPr>
        <w:t>。深入推进黄河文化保护传承弘扬，提高文化遗产资源管理能力</w:t>
      </w:r>
      <w:r>
        <w:rPr>
          <w:rFonts w:hint="eastAsia" w:hAnsi="Calibri" w:cs="宋体"/>
          <w:kern w:val="2"/>
          <w:sz w:val="32"/>
          <w:szCs w:val="32"/>
          <w:lang w:val="en-US" w:eastAsia="zh-CN" w:bidi="ar-SA"/>
        </w:rPr>
        <w:t>，</w:t>
      </w:r>
      <w:r>
        <w:rPr>
          <w:rFonts w:hint="eastAsia" w:ascii="仿宋_GB2312" w:hAnsi="Calibri" w:eastAsia="仿宋_GB2312" w:cs="宋体"/>
          <w:kern w:val="2"/>
          <w:sz w:val="32"/>
          <w:szCs w:val="32"/>
          <w:lang w:val="en-US" w:eastAsia="zh-CN" w:bidi="ar-SA"/>
        </w:rPr>
        <w:t>系统做好黄河流域非物质文化遗产保护、传承、活化与利用，推动非遗资源创造性转化、创新性发展。打造文化景观廊道，沿黄河堤防构建“十里黄河文化长廊”</w:t>
      </w:r>
      <w:r>
        <w:rPr>
          <w:rFonts w:hint="eastAsia" w:hAnsi="Calibri" w:cs="宋体"/>
          <w:kern w:val="2"/>
          <w:sz w:val="32"/>
          <w:szCs w:val="32"/>
          <w:lang w:val="en-US" w:eastAsia="zh-CN" w:bidi="ar-SA"/>
        </w:rPr>
        <w:t>，</w:t>
      </w:r>
      <w:r>
        <w:rPr>
          <w:rFonts w:hint="eastAsia" w:ascii="仿宋_GB2312" w:hAnsi="Calibri" w:eastAsia="仿宋_GB2312" w:cs="宋体"/>
          <w:kern w:val="2"/>
          <w:sz w:val="32"/>
          <w:szCs w:val="32"/>
          <w:lang w:val="en-US" w:eastAsia="zh-CN" w:bidi="ar-SA"/>
        </w:rPr>
        <w:t>打造“一步一景、一景一文化”的沉浸式体验带。创新传播方式，组织“行走黄河·发现天桥”系列活动，</w:t>
      </w:r>
      <w:bookmarkStart w:id="42" w:name="OLE_LINK11"/>
      <w:r>
        <w:rPr>
          <w:rFonts w:hint="eastAsia" w:ascii="仿宋_GB2312" w:hAnsi="仿宋_GB2312" w:eastAsia="仿宋_GB2312" w:cs="仿宋_GB2312"/>
          <w:sz w:val="32"/>
          <w:szCs w:val="32"/>
          <w:lang w:val="en-US" w:eastAsia="zh-CN"/>
        </w:rPr>
        <w:t>推动</w:t>
      </w:r>
      <w:r>
        <w:rPr>
          <w:rFonts w:hint="eastAsia" w:cs="仿宋_GB2312"/>
          <w:sz w:val="32"/>
          <w:szCs w:val="32"/>
          <w:lang w:val="en-US" w:eastAsia="zh-CN"/>
        </w:rPr>
        <w:t>非遗</w:t>
      </w:r>
      <w:r>
        <w:rPr>
          <w:rFonts w:hint="eastAsia" w:ascii="仿宋_GB2312" w:hAnsi="仿宋_GB2312" w:eastAsia="仿宋_GB2312" w:cs="仿宋_GB2312"/>
          <w:sz w:val="32"/>
          <w:szCs w:val="32"/>
          <w:lang w:val="en-US" w:eastAsia="zh-CN"/>
        </w:rPr>
        <w:t>IP品牌实现价值转化与产业赋能</w:t>
      </w:r>
      <w:r>
        <w:rPr>
          <w:rFonts w:hint="eastAsia" w:ascii="仿宋_GB2312" w:hAnsi="仿宋_GB2312" w:eastAsia="仿宋_GB2312" w:cs="仿宋_GB2312"/>
          <w:b w:val="0"/>
          <w:bCs w:val="0"/>
          <w:spacing w:val="0"/>
          <w:sz w:val="32"/>
          <w:szCs w:val="32"/>
          <w:u w:val="none"/>
          <w:lang w:val="en-US" w:eastAsia="zh-CN"/>
        </w:rPr>
        <w:t>，不断提升黄河文化的吸引力、辐射力和带动力。</w:t>
      </w:r>
    </w:p>
    <w:bookmarkEnd w:id="42"/>
    <w:p w14:paraId="59DF54FF">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43" w:name="_Toc160062651"/>
      <w:r>
        <w:rPr>
          <w:rFonts w:hint="eastAsia"/>
          <w:b w:val="0"/>
          <w:bCs w:val="0"/>
          <w:sz w:val="32"/>
          <w:szCs w:val="32"/>
          <w:u w:val="none"/>
          <w:lang w:val="en-US" w:eastAsia="zh-CN"/>
        </w:rPr>
        <w:t>第二节  推动多层次区域合作</w:t>
      </w:r>
      <w:bookmarkEnd w:id="43"/>
    </w:p>
    <w:p w14:paraId="09F2C843">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outlineLvl w:val="9"/>
        <w:rPr>
          <w:rFonts w:hint="eastAsia" w:ascii="仿宋_GB2312" w:hAnsi="Calibri" w:eastAsia="仿宋_GB2312" w:cs="宋体"/>
          <w:kern w:val="2"/>
          <w:sz w:val="32"/>
          <w:szCs w:val="32"/>
          <w:highlight w:val="none"/>
          <w:lang w:val="en-US" w:eastAsia="zh-CN" w:bidi="ar-SA"/>
        </w:rPr>
      </w:pPr>
      <w:r>
        <w:rPr>
          <w:rFonts w:hint="eastAsia" w:ascii="仿宋_GB2312" w:hAnsi="Calibri" w:eastAsia="仿宋_GB2312" w:cs="宋体"/>
          <w:kern w:val="2"/>
          <w:sz w:val="32"/>
          <w:szCs w:val="32"/>
          <w:highlight w:val="none"/>
          <w:lang w:val="en-US" w:eastAsia="zh-CN" w:bidi="ar-SA"/>
        </w:rPr>
        <w:t>以服务和融入国家重大区域发展战略为主题，以推动区域协同联动为主线，不断探索区域合作的新路径、新模式，推动构建优势互补、分工合理的区域发展格局。</w:t>
      </w:r>
    </w:p>
    <w:p w14:paraId="54090909">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Calibri" w:eastAsia="仿宋_GB2312" w:cs="宋体"/>
          <w:color w:val="000000" w:themeColor="text1"/>
          <w:kern w:val="2"/>
          <w:sz w:val="32"/>
          <w:szCs w:val="32"/>
          <w:highlight w:val="none"/>
          <w:u w:val="none"/>
          <w:lang w:val="en-US" w:eastAsia="zh-CN" w:bidi="ar-SA"/>
          <w14:textFill>
            <w14:solidFill>
              <w14:schemeClr w14:val="tx1"/>
            </w14:solidFill>
          </w14:textFill>
        </w:rPr>
      </w:pPr>
      <w:r>
        <w:rPr>
          <w:rFonts w:hint="eastAsia" w:ascii="仿宋_GB2312" w:hAnsi="Calibri" w:eastAsia="仿宋_GB2312" w:cs="宋体"/>
          <w:b/>
          <w:bCs/>
          <w:kern w:val="2"/>
          <w:sz w:val="32"/>
          <w:szCs w:val="32"/>
          <w:highlight w:val="none"/>
          <w:lang w:val="en-US" w:eastAsia="zh-CN" w:bidi="ar-SA"/>
        </w:rPr>
        <w:t>强化区域外部多层次合作。</w:t>
      </w:r>
      <w:r>
        <w:rPr>
          <w:rFonts w:hint="eastAsia" w:ascii="仿宋_GB2312" w:hAnsi="仿宋_GB2312" w:eastAsia="仿宋_GB2312" w:cs="仿宋_GB2312"/>
          <w:color w:val="000000"/>
          <w:sz w:val="32"/>
          <w:szCs w:val="32"/>
        </w:rPr>
        <w:t>加强与沿黄城市在产业发展、科技创新、生态保护等方面的交流协作，</w:t>
      </w:r>
      <w:r>
        <w:rPr>
          <w:rFonts w:hint="eastAsia" w:ascii="仿宋_GB2312" w:hAnsi="Calibri" w:eastAsia="仿宋_GB2312" w:cs="宋体"/>
          <w:kern w:val="2"/>
          <w:sz w:val="32"/>
          <w:szCs w:val="32"/>
          <w:highlight w:val="none"/>
          <w:lang w:val="en-US" w:eastAsia="zh-CN" w:bidi="ar-SA"/>
        </w:rPr>
        <w:t>深度融入京津冀、长三角、粤港澳大湾区重大区域战略，主动承接高端要素外溢，构建跨区域协作新格局</w:t>
      </w:r>
      <w:r>
        <w:rPr>
          <w:rFonts w:hint="eastAsia" w:ascii="仿宋_GB2312" w:hAnsi="Calibri" w:eastAsia="仿宋_GB2312" w:cs="宋体"/>
          <w:color w:val="000000" w:themeColor="text1"/>
          <w:kern w:val="2"/>
          <w:sz w:val="32"/>
          <w:szCs w:val="32"/>
          <w:highlight w:val="none"/>
          <w:u w:val="none"/>
          <w:lang w:val="en-US" w:eastAsia="zh-CN" w:bidi="ar-SA"/>
          <w14:textFill>
            <w14:solidFill>
              <w14:schemeClr w14:val="tx1"/>
            </w14:solidFill>
          </w14:textFill>
        </w:rPr>
        <w:t>。积极</w:t>
      </w:r>
      <w:r>
        <w:rPr>
          <w:rFonts w:hint="eastAsia" w:hAnsi="Calibri" w:cs="宋体"/>
          <w:color w:val="000000" w:themeColor="text1"/>
          <w:kern w:val="2"/>
          <w:sz w:val="32"/>
          <w:szCs w:val="32"/>
          <w:highlight w:val="none"/>
          <w:u w:val="none"/>
          <w:lang w:val="en-US" w:eastAsia="zh-CN" w:bidi="ar-SA"/>
          <w14:textFill>
            <w14:solidFill>
              <w14:schemeClr w14:val="tx1"/>
            </w14:solidFill>
          </w14:textFill>
        </w:rPr>
        <w:t>融入</w:t>
      </w:r>
      <w:r>
        <w:rPr>
          <w:rFonts w:hint="eastAsia" w:ascii="仿宋_GB2312" w:hAnsi="Calibri" w:eastAsia="仿宋_GB2312" w:cs="宋体"/>
          <w:color w:val="000000" w:themeColor="text1"/>
          <w:kern w:val="2"/>
          <w:sz w:val="32"/>
          <w:szCs w:val="32"/>
          <w:highlight w:val="none"/>
          <w:u w:val="none"/>
          <w:lang w:val="en-US" w:eastAsia="zh-CN" w:bidi="ar-SA"/>
          <w14:textFill>
            <w14:solidFill>
              <w14:schemeClr w14:val="tx1"/>
            </w14:solidFill>
          </w14:textFill>
        </w:rPr>
        <w:t>济南都市圈、青岛都市圈、郑州都市圈联动发展</w:t>
      </w:r>
      <w:r>
        <w:rPr>
          <w:rFonts w:hint="eastAsia" w:hAnsi="Calibri" w:cs="宋体"/>
          <w:color w:val="000000" w:themeColor="text1"/>
          <w:kern w:val="2"/>
          <w:sz w:val="32"/>
          <w:szCs w:val="32"/>
          <w:highlight w:val="none"/>
          <w:u w:val="none"/>
          <w:lang w:val="en-US" w:eastAsia="zh-CN" w:bidi="ar-SA"/>
          <w14:textFill>
            <w14:solidFill>
              <w14:schemeClr w14:val="tx1"/>
            </w14:solidFill>
          </w14:textFill>
        </w:rPr>
        <w:t>，</w:t>
      </w:r>
      <w:r>
        <w:rPr>
          <w:rFonts w:hint="eastAsia" w:ascii="仿宋_GB2312" w:hAnsi="仿宋_GB2312" w:eastAsia="仿宋_GB2312" w:cs="仿宋_GB2312"/>
          <w:color w:val="000000" w:themeColor="text1"/>
          <w:sz w:val="32"/>
          <w:szCs w:val="32"/>
          <w:u w:val="none"/>
          <w14:textFill>
            <w14:solidFill>
              <w14:schemeClr w14:val="tx1"/>
            </w14:solidFill>
          </w14:textFill>
        </w:rPr>
        <w:t>推动</w:t>
      </w:r>
      <w:r>
        <w:rPr>
          <w:rFonts w:hint="eastAsia" w:cs="仿宋_GB2312"/>
          <w:color w:val="000000" w:themeColor="text1"/>
          <w:sz w:val="32"/>
          <w:szCs w:val="32"/>
          <w:u w:val="none"/>
          <w:lang w:eastAsia="zh-CN"/>
          <w14:textFill>
            <w14:solidFill>
              <w14:schemeClr w14:val="tx1"/>
            </w14:solidFill>
          </w14:textFill>
        </w:rPr>
        <w:t>与</w:t>
      </w:r>
      <w:r>
        <w:rPr>
          <w:rFonts w:hint="eastAsia" w:ascii="仿宋_GB2312" w:hAnsi="仿宋_GB2312" w:eastAsia="仿宋_GB2312" w:cs="仿宋_GB2312"/>
          <w:color w:val="000000" w:themeColor="text1"/>
          <w:sz w:val="32"/>
          <w:szCs w:val="32"/>
          <w:u w:val="none"/>
          <w14:textFill>
            <w14:solidFill>
              <w14:schemeClr w14:val="tx1"/>
            </w14:solidFill>
          </w14:textFill>
        </w:rPr>
        <w:t>济南都市圈内部城市优势领域互助互促</w:t>
      </w:r>
      <w:r>
        <w:rPr>
          <w:rFonts w:hint="eastAsia" w:cs="仿宋_GB2312"/>
          <w:color w:val="000000" w:themeColor="text1"/>
          <w:sz w:val="32"/>
          <w:szCs w:val="32"/>
          <w:u w:val="none"/>
          <w:lang w:eastAsia="zh-CN"/>
          <w14:textFill>
            <w14:solidFill>
              <w14:schemeClr w14:val="tx1"/>
            </w14:solidFill>
          </w14:textFill>
        </w:rPr>
        <w:t>，</w:t>
      </w:r>
      <w:r>
        <w:rPr>
          <w:rFonts w:hint="eastAsia" w:hAnsi="Calibri" w:cs="宋体"/>
          <w:color w:val="000000" w:themeColor="text1"/>
          <w:kern w:val="2"/>
          <w:sz w:val="32"/>
          <w:szCs w:val="32"/>
          <w:highlight w:val="none"/>
          <w:u w:val="none"/>
          <w:lang w:val="en-US" w:eastAsia="zh-CN" w:bidi="ar-SA"/>
          <w14:textFill>
            <w14:solidFill>
              <w14:schemeClr w14:val="tx1"/>
            </w14:solidFill>
          </w14:textFill>
        </w:rPr>
        <w:t>加大</w:t>
      </w:r>
      <w:r>
        <w:rPr>
          <w:rFonts w:hint="eastAsia" w:ascii="仿宋_GB2312" w:hAnsi="Calibri" w:eastAsia="仿宋_GB2312" w:cs="宋体"/>
          <w:color w:val="000000" w:themeColor="text1"/>
          <w:kern w:val="2"/>
          <w:sz w:val="32"/>
          <w:szCs w:val="32"/>
          <w:highlight w:val="none"/>
          <w:u w:val="none"/>
          <w:lang w:val="en-US" w:eastAsia="zh-CN" w:bidi="ar-SA"/>
          <w14:textFill>
            <w14:solidFill>
              <w14:schemeClr w14:val="tx1"/>
            </w14:solidFill>
          </w14:textFill>
        </w:rPr>
        <w:t>双心联动打造山东半岛城市群济青发展轴带参与力度，促进区域合作共赢。</w:t>
      </w:r>
    </w:p>
    <w:p w14:paraId="76C1F538">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eastAsia" w:hAnsi="Calibri" w:cs="宋体"/>
          <w:kern w:val="2"/>
          <w:sz w:val="32"/>
          <w:szCs w:val="32"/>
          <w:highlight w:val="none"/>
          <w:lang w:val="en-US" w:eastAsia="zh-CN" w:bidi="ar-SA"/>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仿宋_GB2312" w:hAnsi="Calibri" w:eastAsia="仿宋_GB2312" w:cs="宋体"/>
          <w:b/>
          <w:bCs/>
          <w:kern w:val="2"/>
          <w:sz w:val="32"/>
          <w:szCs w:val="32"/>
          <w:highlight w:val="none"/>
          <w:lang w:val="en-US" w:eastAsia="zh-CN" w:bidi="ar-SA"/>
        </w:rPr>
        <w:t>推动区域内部联动发展。</w:t>
      </w:r>
      <w:r>
        <w:rPr>
          <w:rFonts w:hint="eastAsia" w:hAnsi="Calibri" w:cs="宋体"/>
          <w:kern w:val="2"/>
          <w:sz w:val="32"/>
          <w:szCs w:val="32"/>
          <w:highlight w:val="none"/>
          <w:lang w:val="en-US" w:eastAsia="zh-CN" w:bidi="ar-SA"/>
        </w:rPr>
        <w:t>积极</w:t>
      </w:r>
      <w:r>
        <w:rPr>
          <w:rFonts w:hint="eastAsia" w:ascii="仿宋_GB2312" w:hAnsi="Calibri" w:eastAsia="仿宋_GB2312" w:cs="宋体"/>
          <w:kern w:val="2"/>
          <w:sz w:val="32"/>
          <w:szCs w:val="32"/>
          <w:highlight w:val="none"/>
          <w:lang w:val="en-US" w:eastAsia="zh-CN" w:bidi="ar-SA"/>
        </w:rPr>
        <w:t>融入</w:t>
      </w:r>
      <w:r>
        <w:rPr>
          <w:rFonts w:hint="eastAsia" w:hAnsi="Calibri" w:cs="宋体"/>
          <w:kern w:val="2"/>
          <w:sz w:val="32"/>
          <w:szCs w:val="32"/>
          <w:highlight w:val="none"/>
          <w:lang w:val="en-US" w:eastAsia="zh-CN" w:bidi="ar-SA"/>
        </w:rPr>
        <w:t>济南</w:t>
      </w:r>
      <w:r>
        <w:rPr>
          <w:rFonts w:hint="eastAsia" w:ascii="仿宋_GB2312" w:hAnsi="Calibri" w:eastAsia="仿宋_GB2312" w:cs="宋体"/>
          <w:kern w:val="2"/>
          <w:sz w:val="32"/>
          <w:szCs w:val="32"/>
          <w:highlight w:val="none"/>
          <w:lang w:val="en-US" w:eastAsia="zh-CN" w:bidi="ar-SA"/>
        </w:rPr>
        <w:t>新旧动能转换起步区</w:t>
      </w:r>
      <w:r>
        <w:rPr>
          <w:rFonts w:hint="eastAsia" w:hAnsi="Calibri" w:cs="宋体"/>
          <w:kern w:val="2"/>
          <w:sz w:val="32"/>
          <w:szCs w:val="32"/>
          <w:highlight w:val="none"/>
          <w:lang w:val="en-US" w:eastAsia="zh-CN" w:bidi="ar-SA"/>
        </w:rPr>
        <w:t>建设</w:t>
      </w:r>
      <w:r>
        <w:rPr>
          <w:rFonts w:hint="eastAsia" w:ascii="仿宋_GB2312" w:hAnsi="Calibri" w:eastAsia="仿宋_GB2312" w:cs="宋体"/>
          <w:kern w:val="2"/>
          <w:sz w:val="32"/>
          <w:szCs w:val="32"/>
          <w:highlight w:val="none"/>
          <w:lang w:val="en-US" w:eastAsia="zh-CN" w:bidi="ar-SA"/>
        </w:rPr>
        <w:t>，树牢区域协调、产城融合发展理念，在城市规划、产业布局、基础设施等方面加快对接起步区</w:t>
      </w:r>
      <w:r>
        <w:rPr>
          <w:rFonts w:hint="eastAsia" w:hAnsi="Calibri" w:cs="宋体"/>
          <w:kern w:val="2"/>
          <w:sz w:val="32"/>
          <w:szCs w:val="32"/>
          <w:highlight w:val="none"/>
          <w:lang w:val="en-US" w:eastAsia="zh-CN" w:bidi="ar-SA"/>
        </w:rPr>
        <w:t>，推动</w:t>
      </w:r>
      <w:r>
        <w:rPr>
          <w:rFonts w:hint="eastAsia" w:ascii="仿宋_GB2312" w:hAnsi="Calibri" w:eastAsia="仿宋_GB2312" w:cs="宋体"/>
          <w:kern w:val="2"/>
          <w:sz w:val="32"/>
          <w:szCs w:val="32"/>
          <w:highlight w:val="none"/>
          <w:lang w:val="en-US" w:eastAsia="zh-CN" w:bidi="ar-SA"/>
        </w:rPr>
        <w:t>形成深度融合、特色凸显、优势互补的一体化发展格局。深度对接自贸试验区，积极复制推广投资贸易便利化、自由化改革试点经验，促进产业业态有机衔接、功能互补、联动增效。</w:t>
      </w:r>
      <w:r>
        <w:rPr>
          <w:rFonts w:hint="eastAsia" w:ascii="仿宋_GB2312" w:hAnsi="仿宋_GB2312" w:eastAsia="仿宋_GB2312" w:cs="仿宋_GB2312"/>
          <w:color w:val="000000" w:themeColor="text1"/>
          <w:sz w:val="32"/>
          <w:szCs w:val="32"/>
          <w:u w:val="none"/>
          <w14:textFill>
            <w14:solidFill>
              <w14:schemeClr w14:val="tx1"/>
            </w14:solidFill>
          </w14:textFill>
        </w:rPr>
        <w:t>扎实推动区县结对共促发展</w:t>
      </w:r>
      <w:r>
        <w:rPr>
          <w:rFonts w:hint="eastAsia" w:ascii="仿宋_GB2312" w:hAnsi="仿宋_GB2312" w:eastAsia="仿宋_GB2312" w:cs="仿宋_GB2312"/>
          <w:color w:val="000000" w:themeColor="text1"/>
          <w:sz w:val="32"/>
          <w:szCs w:val="32"/>
          <w:u w:val="none"/>
          <w:lang w:eastAsia="zh-CN"/>
          <w14:textFill>
            <w14:solidFill>
              <w14:schemeClr w14:val="tx1"/>
            </w14:solidFill>
          </w14:textFill>
        </w:rPr>
        <w:t>，</w:t>
      </w:r>
      <w:r>
        <w:rPr>
          <w:rFonts w:hint="eastAsia" w:hAnsi="Calibri" w:cs="宋体"/>
          <w:kern w:val="2"/>
          <w:sz w:val="32"/>
          <w:szCs w:val="32"/>
          <w:highlight w:val="none"/>
          <w:lang w:val="en-US" w:eastAsia="zh-CN" w:bidi="ar-SA"/>
        </w:rPr>
        <w:t>强化与市内其他区县的交流合作</w:t>
      </w:r>
      <w:r>
        <w:rPr>
          <w:rFonts w:hint="eastAsia" w:ascii="仿宋_GB2312" w:hAnsi="Calibri" w:eastAsia="仿宋_GB2312" w:cs="宋体"/>
          <w:kern w:val="2"/>
          <w:sz w:val="32"/>
          <w:szCs w:val="32"/>
          <w:highlight w:val="none"/>
          <w:lang w:val="en-US" w:eastAsia="zh-CN" w:bidi="ar-SA"/>
        </w:rPr>
        <w:t>、</w:t>
      </w:r>
      <w:r>
        <w:rPr>
          <w:rFonts w:hint="eastAsia" w:hAnsi="Calibri" w:cs="宋体"/>
          <w:kern w:val="2"/>
          <w:sz w:val="32"/>
          <w:szCs w:val="32"/>
          <w:highlight w:val="none"/>
          <w:lang w:val="en-US" w:eastAsia="zh-CN" w:bidi="ar-SA"/>
        </w:rPr>
        <w:t>推动共促发展。</w:t>
      </w:r>
    </w:p>
    <w:p w14:paraId="0A7612BF">
      <w:pPr>
        <w:pStyle w:val="2"/>
        <w:keepNext/>
        <w:keepLines w:val="0"/>
        <w:pageBreakBefore w:val="0"/>
        <w:widowControl w:val="0"/>
        <w:kinsoku/>
        <w:wordWrap/>
        <w:overflowPunct w:val="0"/>
        <w:topLinePunct w:val="0"/>
        <w:autoSpaceDE/>
        <w:autoSpaceDN/>
        <w:bidi w:val="0"/>
        <w:adjustRightInd w:val="0"/>
        <w:snapToGrid w:val="0"/>
        <w:spacing w:before="313" w:beforeLines="100" w:after="313" w:afterLines="100" w:line="590" w:lineRule="exact"/>
        <w:ind w:left="0" w:leftChars="0" w:firstLine="0" w:firstLineChars="0"/>
        <w:jc w:val="center"/>
        <w:textAlignment w:val="auto"/>
        <w:rPr>
          <w:rFonts w:hint="eastAsia" w:ascii="方正小标宋简体" w:hAnsi="方正小标宋简体" w:eastAsia="方正小标宋简体" w:cs="方正小标宋简体"/>
          <w:b w:val="0"/>
          <w:bCs w:val="0"/>
          <w:spacing w:val="-6"/>
          <w:kern w:val="2"/>
          <w:sz w:val="32"/>
          <w:szCs w:val="32"/>
          <w:u w:val="none"/>
          <w:lang w:val="en-US" w:eastAsia="zh-CN"/>
        </w:rPr>
      </w:pPr>
      <w:bookmarkStart w:id="44" w:name="_Toc696098145"/>
      <w:r>
        <w:rPr>
          <w:rFonts w:hint="eastAsia" w:ascii="方正小标宋简体" w:hAnsi="方正小标宋简体" w:eastAsia="方正小标宋简体" w:cs="方正小标宋简体"/>
          <w:b w:val="0"/>
          <w:bCs w:val="0"/>
          <w:spacing w:val="-6"/>
          <w:kern w:val="2"/>
          <w:sz w:val="32"/>
          <w:szCs w:val="32"/>
          <w:u w:val="none"/>
          <w:lang w:val="en-US" w:eastAsia="zh-CN"/>
        </w:rPr>
        <w:t>第六章 提升城市功能品质</w:t>
      </w:r>
      <w:bookmarkEnd w:id="44"/>
    </w:p>
    <w:p w14:paraId="66C9632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深刻把握习近平总书记关于城市发展“两个转向”的重大判断，深入践行人民城市理念，更加注重城市内涵式发展，以城市更新为抓手，深化产城融合，建设创新、宜居、美丽、韧性、文明、智慧的现代化人民城市。</w:t>
      </w:r>
    </w:p>
    <w:p w14:paraId="7216969D">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b w:val="0"/>
          <w:bCs w:val="0"/>
          <w:sz w:val="32"/>
          <w:szCs w:val="32"/>
          <w:u w:val="none"/>
          <w:lang w:val="en-US" w:eastAsia="zh-CN"/>
        </w:rPr>
      </w:pPr>
      <w:bookmarkStart w:id="45" w:name="_Toc816663403"/>
      <w:r>
        <w:rPr>
          <w:rFonts w:hint="eastAsia"/>
          <w:b w:val="0"/>
          <w:bCs w:val="0"/>
          <w:sz w:val="32"/>
          <w:szCs w:val="32"/>
          <w:u w:val="none"/>
          <w:lang w:val="en-US" w:eastAsia="zh-CN"/>
        </w:rPr>
        <w:t>第一节  有序推进城市更新</w:t>
      </w:r>
      <w:bookmarkEnd w:id="45"/>
    </w:p>
    <w:p w14:paraId="258D4093">
      <w:pPr>
        <w:keepNext w:val="0"/>
        <w:keepLines w:val="0"/>
        <w:pageBreakBefore w:val="0"/>
        <w:widowControl w:val="0"/>
        <w:kinsoku/>
        <w:wordWrap/>
        <w:topLinePunct w:val="0"/>
        <w:autoSpaceDE/>
        <w:autoSpaceDN/>
        <w:bidi w:val="0"/>
        <w:adjustRightInd/>
        <w:snapToGrid/>
        <w:spacing w:line="590" w:lineRule="exact"/>
        <w:ind w:firstLine="643"/>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坚持“政府主导、片区更新、产城融合、整体平衡”策略，做好城市更新与特色园区、商贸转型、活化利用、品质提升“四个结合”，</w:t>
      </w:r>
      <w:r>
        <w:rPr>
          <w:rFonts w:hint="eastAsia" w:ascii="仿宋_GB2312" w:hAnsi="仿宋_GB2312" w:eastAsia="仿宋_GB2312" w:cs="仿宋_GB2312"/>
          <w:color w:val="000000"/>
          <w:sz w:val="32"/>
          <w:szCs w:val="32"/>
        </w:rPr>
        <w:t>提升居住空间、改造产业空间、做优公共空间、打造文化空间</w:t>
      </w:r>
      <w:r>
        <w:rPr>
          <w:rFonts w:hint="eastAsia" w:cs="仿宋_GB2312"/>
          <w:color w:val="000000"/>
          <w:sz w:val="32"/>
          <w:szCs w:val="32"/>
          <w:lang w:eastAsia="zh-CN"/>
        </w:rPr>
        <w:t>，</w:t>
      </w:r>
      <w:r>
        <w:rPr>
          <w:rFonts w:hint="eastAsia" w:ascii="仿宋_GB2312" w:hAnsi="仿宋_GB2312" w:eastAsia="仿宋_GB2312" w:cs="仿宋_GB2312"/>
          <w:sz w:val="32"/>
          <w:szCs w:val="32"/>
          <w:highlight w:val="none"/>
          <w:lang w:val="en-US" w:eastAsia="zh-CN"/>
        </w:rPr>
        <w:t>为区域高质量发展释放战略承载空间。</w:t>
      </w:r>
    </w:p>
    <w:p w14:paraId="57E33037">
      <w:pPr>
        <w:keepNext w:val="0"/>
        <w:keepLines w:val="0"/>
        <w:pageBreakBefore w:val="0"/>
        <w:widowControl w:val="0"/>
        <w:numPr>
          <w:ilvl w:val="-1"/>
          <w:numId w:val="0"/>
        </w:numPr>
        <w:kinsoku/>
        <w:wordWrap/>
        <w:overflowPunct/>
        <w:topLinePunct w:val="0"/>
        <w:autoSpaceDE/>
        <w:autoSpaceDN/>
        <w:bidi w:val="0"/>
        <w:adjustRightInd/>
        <w:snapToGrid/>
        <w:spacing w:line="590" w:lineRule="exact"/>
        <w:ind w:firstLine="643" w:firstLineChars="0"/>
        <w:textAlignment w:val="auto"/>
        <w:outlineLvl w:val="9"/>
        <w:rPr>
          <w:rFonts w:hint="eastAsia" w:ascii="仿宋_GB2312" w:hAnsi="仿宋_GB2312" w:eastAsia="仿宋_GB2312" w:cs="仿宋_GB2312"/>
          <w:b/>
          <w:bCs/>
          <w:color w:val="000000" w:themeColor="text1"/>
          <w:kern w:val="2"/>
          <w:sz w:val="32"/>
          <w:szCs w:val="24"/>
          <w:lang w:val="en-US" w:eastAsia="zh-CN"/>
          <w14:textFill>
            <w14:solidFill>
              <w14:schemeClr w14:val="tx1"/>
            </w14:solidFill>
          </w14:textFill>
        </w:rPr>
      </w:pPr>
      <w:r>
        <w:rPr>
          <w:rFonts w:hint="eastAsia" w:ascii="仿宋_GB2312" w:hAnsi="仿宋_GB2312" w:eastAsia="仿宋_GB2312" w:cs="仿宋_GB2312"/>
          <w:b/>
          <w:bCs/>
          <w:color w:val="auto"/>
          <w:kern w:val="2"/>
          <w:sz w:val="32"/>
          <w:szCs w:val="24"/>
          <w:highlight w:val="none"/>
          <w:lang w:val="en-US" w:eastAsia="zh-CN"/>
        </w:rPr>
        <w:t>优化提升居住空间。</w:t>
      </w:r>
      <w:r>
        <w:rPr>
          <w:rFonts w:hint="eastAsia" w:ascii="仿宋_GB2312" w:hAnsi="仿宋_GB2312" w:eastAsia="仿宋_GB2312" w:cs="仿宋_GB2312"/>
          <w:b w:val="0"/>
          <w:bCs w:val="0"/>
          <w:sz w:val="32"/>
          <w:szCs w:val="32"/>
          <w:lang w:val="en-US" w:eastAsia="zh-CN"/>
        </w:rPr>
        <w:t>科学制定城市更新行动计划</w:t>
      </w:r>
      <w:r>
        <w:rPr>
          <w:rFonts w:hint="eastAsia" w:ascii="仿宋_GB2312" w:hAnsi="仿宋_GB2312" w:eastAsia="仿宋_GB2312" w:cs="仿宋_GB2312"/>
          <w:b w:val="0"/>
          <w:bCs w:val="0"/>
          <w:color w:val="000000"/>
          <w:sz w:val="32"/>
          <w:szCs w:val="32"/>
        </w:rPr>
        <w:t>，</w:t>
      </w:r>
      <w:r>
        <w:rPr>
          <w:rFonts w:hint="eastAsia" w:ascii="仿宋_GB2312" w:hAnsi="仿宋_GB2312" w:eastAsia="仿宋_GB2312" w:cs="仿宋_GB2312"/>
          <w:color w:val="000000"/>
          <w:sz w:val="32"/>
          <w:szCs w:val="32"/>
        </w:rPr>
        <w:t>建立区级项目库，加大中央财政支持城市更新行动政策争取力度。</w:t>
      </w:r>
      <w:r>
        <w:rPr>
          <w:rFonts w:hint="eastAsia" w:ascii="仿宋_GB2312" w:hAnsi="仿宋_GB2312" w:eastAsia="仿宋_GB2312" w:cs="仿宋_GB2312"/>
          <w:color w:val="000000"/>
          <w:sz w:val="32"/>
          <w:szCs w:val="32"/>
          <w:lang w:val="en-US" w:eastAsia="zh-CN"/>
        </w:rPr>
        <w:t>高质量推进城市更新</w:t>
      </w:r>
      <w:r>
        <w:rPr>
          <w:rFonts w:hint="eastAsia" w:ascii="仿宋_GB2312" w:hAnsi="仿宋_GB2312" w:eastAsia="仿宋_GB2312" w:cs="仿宋_GB2312"/>
          <w:color w:val="000000"/>
          <w:sz w:val="32"/>
          <w:szCs w:val="32"/>
        </w:rPr>
        <w:t>，保障王炉北辛、丁太鲁新徐、桑梓店</w:t>
      </w:r>
      <w:r>
        <w:rPr>
          <w:rFonts w:hint="eastAsia" w:cs="仿宋_GB2312"/>
          <w:color w:val="000000"/>
          <w:sz w:val="32"/>
          <w:szCs w:val="32"/>
          <w:lang w:eastAsia="zh-CN"/>
        </w:rPr>
        <w:t>、</w:t>
      </w:r>
      <w:r>
        <w:rPr>
          <w:rFonts w:hint="eastAsia" w:cs="仿宋_GB2312"/>
          <w:color w:val="000000"/>
          <w:sz w:val="32"/>
          <w:szCs w:val="32"/>
          <w:lang w:val="en-US" w:eastAsia="zh-CN"/>
        </w:rPr>
        <w:t>标山</w:t>
      </w:r>
      <w:r>
        <w:rPr>
          <w:rFonts w:hint="eastAsia" w:ascii="仿宋_GB2312" w:hAnsi="仿宋_GB2312" w:eastAsia="仿宋_GB2312" w:cs="仿宋_GB2312"/>
          <w:color w:val="000000"/>
          <w:sz w:val="32"/>
          <w:szCs w:val="32"/>
        </w:rPr>
        <w:t>等片区建设进度。始终把群众安置置于首要位置，优先保障高品质安置房规划建设。</w:t>
      </w:r>
      <w:r>
        <w:rPr>
          <w:rFonts w:hint="eastAsia" w:ascii="仿宋_GB2312" w:hAnsi="仿宋_GB2312" w:eastAsia="仿宋_GB2312" w:cs="仿宋_GB2312"/>
          <w:color w:val="000000"/>
          <w:sz w:val="32"/>
          <w:szCs w:val="32"/>
          <w:lang w:val="en-US" w:eastAsia="zh-CN"/>
        </w:rPr>
        <w:t>有序推进老旧片区改造提升</w:t>
      </w:r>
      <w:r>
        <w:rPr>
          <w:rFonts w:hint="eastAsia" w:cs="仿宋_GB2312"/>
          <w:color w:val="000000"/>
          <w:sz w:val="32"/>
          <w:szCs w:val="32"/>
          <w:lang w:val="en-US" w:eastAsia="zh-CN"/>
        </w:rPr>
        <w:t>，</w:t>
      </w:r>
      <w:r>
        <w:rPr>
          <w:rFonts w:hint="eastAsia" w:ascii="仿宋_GB2312" w:hAnsi="仿宋_GB2312" w:eastAsia="仿宋_GB2312" w:cs="仿宋_GB2312"/>
          <w:color w:val="000000"/>
          <w:sz w:val="32"/>
          <w:szCs w:val="32"/>
        </w:rPr>
        <w:t>坚持“留改拆”并举，推进零散棚户区微更新改造。探索老旧住房自主更新与原拆原建模式。</w:t>
      </w:r>
    </w:p>
    <w:p w14:paraId="4FF130BC">
      <w:pPr>
        <w:keepNext w:val="0"/>
        <w:keepLines w:val="0"/>
        <w:pageBreakBefore w:val="0"/>
        <w:widowControl w:val="0"/>
        <w:kinsoku/>
        <w:wordWrap/>
        <w:overflowPunct/>
        <w:topLinePunct w:val="0"/>
        <w:autoSpaceDE/>
        <w:autoSpaceDN/>
        <w:bidi w:val="0"/>
        <w:adjustRightInd/>
        <w:snapToGrid/>
        <w:spacing w:line="590" w:lineRule="exact"/>
        <w:ind w:firstLine="643" w:firstLineChars="200"/>
        <w:jc w:val="both"/>
        <w:textAlignment w:val="auto"/>
        <w:rPr>
          <w:rFonts w:hint="eastAsia" w:ascii="仿宋_GB2312" w:hAnsi="仿宋_GB2312" w:eastAsia="仿宋_GB2312" w:cs="仿宋_GB2312"/>
          <w:b w:val="0"/>
          <w:bCs/>
          <w:kern w:val="0"/>
          <w:sz w:val="32"/>
          <w:szCs w:val="32"/>
          <w:highlight w:val="none"/>
          <w:lang w:val="en-US" w:eastAsia="zh-CN" w:bidi="ar-SA"/>
        </w:rPr>
      </w:pPr>
      <w:r>
        <w:rPr>
          <w:rFonts w:hint="eastAsia" w:ascii="仿宋_GB2312" w:hAnsi="仿宋_GB2312" w:eastAsia="仿宋_GB2312" w:cs="仿宋_GB2312"/>
          <w:b/>
          <w:bCs/>
          <w:color w:val="auto"/>
          <w:kern w:val="2"/>
          <w:sz w:val="32"/>
          <w:szCs w:val="24"/>
          <w:lang w:val="en-US" w:eastAsia="zh-CN"/>
        </w:rPr>
        <w:t>改造提质产业空间</w:t>
      </w:r>
      <w:r>
        <w:rPr>
          <w:rFonts w:hint="eastAsia" w:ascii="仿宋_GB2312" w:hAnsi="仿宋_GB2312" w:eastAsia="仿宋_GB2312" w:cs="仿宋_GB2312"/>
          <w:b/>
          <w:bCs/>
          <w:color w:val="auto"/>
          <w:kern w:val="2"/>
          <w:sz w:val="32"/>
          <w:szCs w:val="24"/>
          <w:highlight w:val="none"/>
          <w:lang w:val="en-US" w:eastAsia="zh-CN"/>
        </w:rPr>
        <w:t>。</w:t>
      </w:r>
      <w:r>
        <w:rPr>
          <w:rFonts w:hint="eastAsia" w:ascii="仿宋_GB2312" w:hAnsi="仿宋_GB2312" w:eastAsia="仿宋_GB2312" w:cs="仿宋_GB2312"/>
          <w:sz w:val="32"/>
          <w:szCs w:val="32"/>
          <w:highlight w:val="none"/>
          <w:lang w:val="en-US" w:eastAsia="zh-CN"/>
        </w:rPr>
        <w:t>重塑升级老旧街区</w:t>
      </w:r>
      <w:r>
        <w:rPr>
          <w:rFonts w:hint="eastAsia" w:cs="仿宋_GB2312"/>
          <w:sz w:val="32"/>
          <w:szCs w:val="32"/>
          <w:highlight w:val="none"/>
          <w:lang w:val="en-US" w:eastAsia="zh-CN"/>
        </w:rPr>
        <w:t>、</w:t>
      </w:r>
      <w:r>
        <w:rPr>
          <w:rFonts w:hint="eastAsia" w:ascii="仿宋_GB2312" w:hAnsi="仿宋_GB2312" w:eastAsia="仿宋_GB2312" w:cs="仿宋_GB2312"/>
          <w:color w:val="000000"/>
          <w:sz w:val="32"/>
          <w:szCs w:val="32"/>
        </w:rPr>
        <w:t>老旧厂区</w:t>
      </w:r>
      <w:r>
        <w:rPr>
          <w:rFonts w:hint="eastAsia" w:ascii="仿宋_GB2312" w:hAnsi="仿宋_GB2312" w:eastAsia="仿宋_GB2312" w:cs="仿宋_GB2312"/>
          <w:sz w:val="32"/>
          <w:szCs w:val="32"/>
          <w:highlight w:val="none"/>
          <w:lang w:val="en-US" w:eastAsia="zh-CN"/>
        </w:rPr>
        <w:t>空间形态、产业业态，</w:t>
      </w:r>
      <w:r>
        <w:rPr>
          <w:rFonts w:hint="eastAsia" w:ascii="仿宋_GB2312" w:hAnsi="仿宋_GB2312" w:eastAsia="仿宋_GB2312" w:cs="仿宋_GB2312"/>
          <w:color w:val="000000"/>
          <w:sz w:val="32"/>
          <w:szCs w:val="32"/>
        </w:rPr>
        <w:t>全力推动济南站南广场等片区有机更新</w:t>
      </w:r>
      <w:r>
        <w:rPr>
          <w:rFonts w:hint="eastAsia" w:cs="仿宋_GB2312"/>
          <w:color w:val="000000"/>
          <w:sz w:val="32"/>
          <w:szCs w:val="32"/>
          <w:lang w:eastAsia="zh-CN"/>
        </w:rPr>
        <w:t>，</w:t>
      </w:r>
      <w:r>
        <w:rPr>
          <w:rFonts w:hint="eastAsia" w:ascii="仿宋_GB2312" w:hAnsi="仿宋_GB2312" w:eastAsia="仿宋_GB2312" w:cs="仿宋_GB2312"/>
          <w:color w:val="000000"/>
          <w:sz w:val="32"/>
          <w:szCs w:val="32"/>
          <w:lang w:eastAsia="zh-CN"/>
        </w:rPr>
        <w:t>加快</w:t>
      </w:r>
      <w:r>
        <w:rPr>
          <w:rFonts w:hint="eastAsia" w:ascii="仿宋_GB2312" w:hAnsi="仿宋_GB2312" w:eastAsia="仿宋_GB2312" w:cs="仿宋_GB2312"/>
          <w:color w:val="000000"/>
          <w:sz w:val="32"/>
          <w:szCs w:val="32"/>
          <w:lang w:val="en-US" w:eastAsia="zh-CN"/>
        </w:rPr>
        <w:t>山东建筑产业总部基地等项目建设。充</w:t>
      </w:r>
      <w:r>
        <w:rPr>
          <w:rFonts w:hint="eastAsia" w:ascii="仿宋_GB2312" w:hAnsi="仿宋_GB2312" w:eastAsia="仿宋_GB2312" w:cs="仿宋_GB2312"/>
          <w:b w:val="0"/>
          <w:bCs/>
          <w:kern w:val="0"/>
          <w:sz w:val="32"/>
          <w:szCs w:val="32"/>
          <w:highlight w:val="none"/>
          <w:lang w:val="en-US" w:eastAsia="zh-CN" w:bidi="ar-SA"/>
        </w:rPr>
        <w:t>分开发运用好鲁丰创意1908园区</w:t>
      </w:r>
      <w:r>
        <w:rPr>
          <w:rFonts w:hint="eastAsia" w:cs="仿宋_GB2312"/>
          <w:b w:val="0"/>
          <w:bCs/>
          <w:kern w:val="0"/>
          <w:sz w:val="32"/>
          <w:szCs w:val="32"/>
          <w:highlight w:val="none"/>
          <w:lang w:val="en-US" w:eastAsia="zh-CN" w:bidi="ar-SA"/>
        </w:rPr>
        <w:t>、</w:t>
      </w:r>
      <w:r>
        <w:rPr>
          <w:rFonts w:hint="eastAsia" w:ascii="仿宋_GB2312" w:hAnsi="仿宋_GB2312" w:eastAsia="仿宋_GB2312" w:cs="仿宋_GB2312"/>
          <w:color w:val="000000" w:themeColor="text1"/>
          <w:sz w:val="32"/>
          <w:szCs w:val="32"/>
          <w:u w:val="none"/>
          <w14:textFill>
            <w14:solidFill>
              <w14:schemeClr w14:val="tx1"/>
            </w14:solidFill>
          </w14:textFill>
        </w:rPr>
        <w:t>1922电竞新媒体产业园</w:t>
      </w:r>
      <w:r>
        <w:rPr>
          <w:rFonts w:hint="eastAsia" w:ascii="仿宋_GB2312" w:hAnsi="仿宋_GB2312" w:eastAsia="仿宋_GB2312" w:cs="仿宋_GB2312"/>
          <w:b w:val="0"/>
          <w:bCs/>
          <w:kern w:val="0"/>
          <w:sz w:val="32"/>
          <w:szCs w:val="32"/>
          <w:highlight w:val="none"/>
          <w:lang w:val="en-US" w:eastAsia="zh-CN" w:bidi="ar-SA"/>
        </w:rPr>
        <w:t>等资源，将文化展示展览、工业遗产保护等多元文旅业态有机融合</w:t>
      </w:r>
      <w:r>
        <w:rPr>
          <w:rFonts w:hint="eastAsia" w:ascii="仿宋_GB2312" w:hAnsi="仿宋_GB2312" w:eastAsia="仿宋_GB2312" w:cs="仿宋_GB2312"/>
          <w:sz w:val="32"/>
          <w:szCs w:val="32"/>
          <w:highlight w:val="none"/>
          <w:lang w:val="en-US" w:eastAsia="zh-CN"/>
        </w:rPr>
        <w:t>。促进老旧厂区空间再生，积极探索旧厂区更新改造</w:t>
      </w:r>
      <w:r>
        <w:rPr>
          <w:rFonts w:hint="eastAsia" w:cs="仿宋_GB2312"/>
          <w:sz w:val="32"/>
          <w:szCs w:val="32"/>
          <w:highlight w:val="none"/>
          <w:lang w:val="en-US" w:eastAsia="zh-CN"/>
        </w:rPr>
        <w:t>、</w:t>
      </w:r>
      <w:r>
        <w:rPr>
          <w:rFonts w:hint="eastAsia" w:ascii="仿宋_GB2312" w:hAnsi="仿宋_GB2312" w:eastAsia="仿宋_GB2312" w:cs="仿宋_GB2312"/>
          <w:b w:val="0"/>
          <w:bCs/>
          <w:kern w:val="0"/>
          <w:sz w:val="32"/>
          <w:szCs w:val="32"/>
          <w:highlight w:val="none"/>
          <w:lang w:val="en-US" w:eastAsia="zh-CN" w:bidi="ar-SA"/>
        </w:rPr>
        <w:t>“腾笼换鸟”，优先保障新兴产业、科创孵化等用地需求。</w:t>
      </w:r>
      <w:r>
        <w:rPr>
          <w:rFonts w:hint="eastAsia"/>
          <w:highlight w:val="none"/>
        </w:rPr>
        <w:t>腾退老旧厂区地块内低效用地，</w:t>
      </w:r>
      <w:r>
        <w:rPr>
          <w:rFonts w:hint="eastAsia" w:ascii="仿宋_GB2312" w:hAnsi="仿宋_GB2312" w:eastAsia="仿宋_GB2312" w:cs="仿宋_GB2312"/>
          <w:color w:val="000000"/>
          <w:sz w:val="32"/>
          <w:szCs w:val="32"/>
        </w:rPr>
        <w:t>大力推动城市基础设施建设改造，</w:t>
      </w:r>
      <w:r>
        <w:rPr>
          <w:rFonts w:hint="eastAsia"/>
          <w:highlight w:val="none"/>
        </w:rPr>
        <w:t>提升综合承载力，优先植入新兴业态，助力传统产业转型升级</w:t>
      </w:r>
      <w:r>
        <w:rPr>
          <w:rFonts w:hint="eastAsia"/>
          <w:highlight w:val="none"/>
          <w:lang w:eastAsia="zh-CN"/>
        </w:rPr>
        <w:t>，</w:t>
      </w:r>
      <w:r>
        <w:rPr>
          <w:rFonts w:hint="eastAsia" w:ascii="仿宋_GB2312" w:hAnsi="仿宋_GB2312" w:eastAsia="仿宋_GB2312" w:cs="仿宋_GB2312"/>
          <w:color w:val="000000"/>
          <w:sz w:val="32"/>
          <w:szCs w:val="32"/>
        </w:rPr>
        <w:t>持续抓好历史建筑活化利用</w:t>
      </w:r>
      <w:r>
        <w:rPr>
          <w:rFonts w:hint="eastAsia"/>
          <w:highlight w:val="none"/>
        </w:rPr>
        <w:t>。</w:t>
      </w:r>
    </w:p>
    <w:p w14:paraId="70598A8C">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b w:val="0"/>
          <w:bCs w:val="0"/>
          <w:sz w:val="32"/>
          <w:szCs w:val="32"/>
          <w:u w:val="none"/>
          <w:lang w:val="en-US" w:eastAsia="zh-CN"/>
        </w:rPr>
      </w:pPr>
      <w:bookmarkStart w:id="46" w:name="_Toc445636309"/>
      <w:r>
        <w:rPr>
          <w:rFonts w:hint="eastAsia"/>
          <w:b w:val="0"/>
          <w:bCs w:val="0"/>
          <w:sz w:val="32"/>
          <w:szCs w:val="32"/>
          <w:u w:val="none"/>
          <w:lang w:val="en-US" w:eastAsia="zh-CN"/>
        </w:rPr>
        <w:t>第二节  提升城市治理精细化水平</w:t>
      </w:r>
      <w:bookmarkEnd w:id="46"/>
    </w:p>
    <w:p w14:paraId="3E3B0FAA">
      <w:pPr>
        <w:keepNext w:val="0"/>
        <w:keepLines w:val="0"/>
        <w:pageBreakBefore w:val="0"/>
        <w:widowControl w:val="0"/>
        <w:numPr>
          <w:ilvl w:val="0"/>
          <w:numId w:val="0"/>
        </w:numPr>
        <w:kinsoku/>
        <w:wordWrap/>
        <w:topLinePunct w:val="0"/>
        <w:autoSpaceDE/>
        <w:autoSpaceDN/>
        <w:bidi w:val="0"/>
        <w:spacing w:beforeLines="0" w:after="0" w:afterLines="0" w:line="590" w:lineRule="exact"/>
        <w:ind w:left="0" w:leftChars="0" w:firstLine="640" w:firstLineChars="200"/>
        <w:jc w:val="both"/>
        <w:textAlignment w:val="auto"/>
        <w:rPr>
          <w:rFonts w:hint="eastAsia" w:ascii="仿宋_GB2312" w:hAnsi="仿宋_GB2312" w:eastAsia="仿宋_GB2312" w:cs="仿宋_GB2312"/>
          <w:b w:val="0"/>
          <w:bCs w:val="0"/>
          <w:spacing w:val="0"/>
          <w:sz w:val="32"/>
          <w:szCs w:val="32"/>
          <w:highlight w:val="none"/>
          <w:u w:val="none"/>
          <w:lang w:val="en-US" w:eastAsia="zh-CN"/>
        </w:rPr>
      </w:pPr>
      <w:r>
        <w:rPr>
          <w:rFonts w:ascii="Times New Roman" w:hAnsi="Times New Roman" w:cs="Times New Roman"/>
          <w:szCs w:val="32"/>
        </w:rPr>
        <w:t>持续提升城市管理科学性和精准度，优化城市生活环境、</w:t>
      </w:r>
      <w:r>
        <w:rPr>
          <w:rFonts w:hint="eastAsia" w:ascii="Times New Roman" w:hAnsi="Times New Roman" w:cs="Times New Roman"/>
          <w:szCs w:val="32"/>
          <w:lang w:val="en-US" w:eastAsia="zh-CN"/>
        </w:rPr>
        <w:t>美化城市视觉空间</w:t>
      </w:r>
      <w:r>
        <w:rPr>
          <w:rFonts w:hint="eastAsia" w:ascii="仿宋_GB2312" w:hAnsi="仿宋_GB2312" w:eastAsia="仿宋_GB2312" w:cs="仿宋_GB2312"/>
          <w:b w:val="0"/>
          <w:bCs w:val="0"/>
          <w:spacing w:val="0"/>
          <w:sz w:val="32"/>
          <w:szCs w:val="32"/>
          <w:highlight w:val="none"/>
          <w:u w:val="none"/>
          <w:lang w:val="en-US" w:eastAsia="zh-CN"/>
        </w:rPr>
        <w:t>。</w:t>
      </w:r>
    </w:p>
    <w:p w14:paraId="7387C057">
      <w:pPr>
        <w:keepNext w:val="0"/>
        <w:keepLines w:val="0"/>
        <w:pageBreakBefore w:val="0"/>
        <w:widowControl w:val="0"/>
        <w:kinsoku/>
        <w:wordWrap/>
        <w:overflowPunct/>
        <w:topLinePunct w:val="0"/>
        <w:autoSpaceDE/>
        <w:autoSpaceDN/>
        <w:bidi w:val="0"/>
        <w:adjustRightInd/>
        <w:snapToGrid/>
        <w:spacing w:line="590" w:lineRule="exact"/>
        <w:ind w:firstLine="643"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sz w:val="32"/>
          <w:szCs w:val="32"/>
          <w:highlight w:val="none"/>
          <w:lang w:val="en-US" w:eastAsia="zh-CN"/>
        </w:rPr>
        <w:t>提升市容环境</w:t>
      </w:r>
      <w:r>
        <w:rPr>
          <w:rFonts w:hint="eastAsia" w:cs="仿宋_GB2312"/>
          <w:b/>
          <w:bCs/>
          <w:sz w:val="32"/>
          <w:szCs w:val="32"/>
          <w:highlight w:val="none"/>
          <w:lang w:val="en-US" w:eastAsia="zh-CN"/>
        </w:rPr>
        <w:t>管理。</w:t>
      </w:r>
      <w:r>
        <w:rPr>
          <w:rFonts w:hint="eastAsia" w:ascii="仿宋_GB2312" w:hAnsi="仿宋_GB2312" w:eastAsia="仿宋_GB2312" w:cs="仿宋_GB2312"/>
          <w:color w:val="000000"/>
          <w:sz w:val="32"/>
          <w:szCs w:val="32"/>
        </w:rPr>
        <w:t>加大主次道路环卫保洁力度，打造“日清日新、洁净有序”的城市环境。加强背街小巷精细化治理，着力打造精品宜居街巷。系统补齐环卫设施短板，构建全域覆盖、服务便捷的公共设施网络。持续巩固生活垃圾分类实效，倡导绿色低碳新风尚。坚持系统治理、依法治理、综合治理、源头治理，推进城市杆线、违建临建、占道经营、建筑垃圾等综合整治。强化城市自然灾害防治，统筹城市防洪体系和内涝治理。</w:t>
      </w:r>
    </w:p>
    <w:p w14:paraId="737F61A3">
      <w:pPr>
        <w:keepNext w:val="0"/>
        <w:keepLines w:val="0"/>
        <w:pageBreakBefore w:val="0"/>
        <w:widowControl w:val="0"/>
        <w:numPr>
          <w:ilvl w:val="0"/>
          <w:numId w:val="0"/>
        </w:numPr>
        <w:kinsoku/>
        <w:wordWrap/>
        <w:topLinePunct w:val="0"/>
        <w:autoSpaceDE/>
        <w:autoSpaceDN/>
        <w:bidi w:val="0"/>
        <w:spacing w:beforeLines="0" w:after="0" w:afterLines="0" w:line="590" w:lineRule="exact"/>
        <w:ind w:firstLine="643" w:firstLineChars="200"/>
        <w:jc w:val="both"/>
        <w:textAlignment w:val="auto"/>
        <w:rPr>
          <w:rFonts w:hint="eastAsia"/>
          <w:highlight w:val="none"/>
          <w:lang w:eastAsia="zh-CN"/>
        </w:rPr>
      </w:pPr>
      <w:r>
        <w:rPr>
          <w:rFonts w:hint="eastAsia" w:ascii="仿宋_GB2312" w:hAnsi="仿宋_GB2312" w:eastAsia="仿宋_GB2312" w:cs="仿宋_GB2312"/>
          <w:b/>
          <w:bCs/>
          <w:spacing w:val="0"/>
          <w:sz w:val="32"/>
          <w:szCs w:val="32"/>
          <w:highlight w:val="none"/>
          <w:u w:val="none"/>
          <w:lang w:val="en-US" w:eastAsia="zh-CN"/>
        </w:rPr>
        <w:t>美化城市视觉空间。</w:t>
      </w:r>
      <w:r>
        <w:rPr>
          <w:rFonts w:hint="eastAsia" w:ascii="仿宋_GB2312" w:hAnsi="仿宋_GB2312" w:eastAsia="仿宋_GB2312" w:cs="仿宋_GB2312"/>
          <w:color w:val="000000"/>
          <w:sz w:val="32"/>
          <w:szCs w:val="32"/>
        </w:rPr>
        <w:t>系统推进全域绿化、美化、亮化工程，加强口袋公园、城市绿道、公共休闲绿地等区域规划设计、建设和管护水平，强化路灯设施运行维护管理，做好城市家具、户外广告、牌匾标识设计与统筹布局。</w:t>
      </w:r>
      <w:r>
        <w:rPr>
          <w:rFonts w:hint="eastAsia" w:ascii="仿宋_GB2312" w:hAnsi="仿宋_GB2312" w:eastAsia="仿宋_GB2312" w:cs="仿宋_GB2312"/>
          <w:b w:val="0"/>
          <w:bCs w:val="0"/>
          <w:sz w:val="32"/>
          <w:szCs w:val="32"/>
          <w:highlight w:val="none"/>
          <w:lang w:val="en-US" w:eastAsia="zh-CN"/>
        </w:rPr>
        <w:t>深化智慧场景应用</w:t>
      </w:r>
      <w:r>
        <w:rPr>
          <w:rFonts w:hint="eastAsia" w:cs="仿宋_GB2312"/>
          <w:b w:val="0"/>
          <w:bCs w:val="0"/>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bidi="ar-SA"/>
        </w:rPr>
        <w:t>推动城市治理向数据驱动转型</w:t>
      </w:r>
      <w:r>
        <w:rPr>
          <w:rFonts w:hint="eastAsia" w:ascii="仿宋_GB2312" w:hAnsi="仿宋_GB2312" w:eastAsia="仿宋_GB2312" w:cs="仿宋_GB2312"/>
          <w:b w:val="0"/>
          <w:bCs w:val="0"/>
          <w:sz w:val="32"/>
          <w:szCs w:val="32"/>
          <w:highlight w:val="none"/>
          <w:lang w:val="en-US" w:eastAsia="zh-CN"/>
        </w:rPr>
        <w:t>。</w:t>
      </w:r>
    </w:p>
    <w:p w14:paraId="6471DBEC">
      <w:pPr>
        <w:keepNext w:val="0"/>
        <w:keepLines w:val="0"/>
        <w:pageBreakBefore w:val="0"/>
        <w:widowControl w:val="0"/>
        <w:kinsoku/>
        <w:wordWrap/>
        <w:overflowPunct w:val="0"/>
        <w:topLinePunct w:val="0"/>
        <w:autoSpaceDE/>
        <w:autoSpaceDN/>
        <w:bidi w:val="0"/>
        <w:adjustRightInd w:val="0"/>
        <w:snapToGrid w:val="0"/>
        <w:spacing w:before="313" w:beforeLines="100" w:beforeAutospacing="0" w:after="313" w:afterLines="100" w:line="600" w:lineRule="exact"/>
        <w:ind w:left="0" w:leftChars="0" w:firstLine="0" w:firstLineChars="0"/>
        <w:jc w:val="center"/>
        <w:textAlignment w:val="auto"/>
        <w:outlineLvl w:val="0"/>
        <w:rPr>
          <w:rFonts w:hint="eastAsia" w:ascii="方正小标宋简体" w:hAnsi="方正小标宋简体" w:eastAsia="方正小标宋简体" w:cs="方正小标宋简体"/>
          <w:b w:val="0"/>
          <w:bCs w:val="0"/>
          <w:color w:val="auto"/>
          <w:kern w:val="2"/>
          <w:sz w:val="32"/>
          <w:szCs w:val="40"/>
          <w:lang w:val="en-US" w:eastAsia="zh-CN"/>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2E909EF">
      <w:pPr>
        <w:pStyle w:val="2"/>
        <w:keepNext/>
        <w:keepLines w:val="0"/>
        <w:pageBreakBefore w:val="0"/>
        <w:widowControl w:val="0"/>
        <w:kinsoku/>
        <w:wordWrap/>
        <w:overflowPunct w:val="0"/>
        <w:topLinePunct w:val="0"/>
        <w:autoSpaceDE/>
        <w:autoSpaceDN/>
        <w:bidi w:val="0"/>
        <w:adjustRightInd w:val="0"/>
        <w:snapToGrid w:val="0"/>
        <w:spacing w:before="312" w:beforeLines="100" w:after="312" w:afterLines="100" w:line="580" w:lineRule="exact"/>
        <w:ind w:firstLine="0" w:firstLineChars="0"/>
        <w:jc w:val="center"/>
        <w:textAlignment w:val="auto"/>
        <w:rPr>
          <w:rFonts w:hint="eastAsia" w:ascii="方正小标宋简体" w:hAnsi="方正小标宋简体" w:eastAsia="方正小标宋简体" w:cs="方正小标宋简体"/>
          <w:spacing w:val="-6"/>
          <w:kern w:val="2"/>
          <w:szCs w:val="32"/>
        </w:rPr>
      </w:pPr>
      <w:bookmarkStart w:id="47" w:name="_Toc1820038570"/>
      <w:r>
        <w:rPr>
          <w:rFonts w:hint="eastAsia" w:ascii="方正小标宋简体" w:hAnsi="方正小标宋简体" w:eastAsia="方正小标宋简体" w:cs="方正小标宋简体"/>
          <w:spacing w:val="-6"/>
          <w:kern w:val="2"/>
          <w:szCs w:val="32"/>
        </w:rPr>
        <w:t>第</w:t>
      </w:r>
      <w:r>
        <w:rPr>
          <w:rFonts w:hint="eastAsia" w:ascii="方正小标宋简体" w:hAnsi="方正小标宋简体" w:eastAsia="方正小标宋简体" w:cs="方正小标宋简体"/>
          <w:spacing w:val="-6"/>
          <w:kern w:val="2"/>
          <w:szCs w:val="32"/>
          <w:lang w:val="en-US" w:eastAsia="zh-CN"/>
        </w:rPr>
        <w:t>七</w:t>
      </w:r>
      <w:r>
        <w:rPr>
          <w:rFonts w:hint="eastAsia" w:ascii="方正小标宋简体" w:hAnsi="方正小标宋简体" w:eastAsia="方正小标宋简体" w:cs="方正小标宋简体"/>
          <w:spacing w:val="-6"/>
          <w:kern w:val="2"/>
          <w:szCs w:val="32"/>
        </w:rPr>
        <w:t xml:space="preserve">章 </w:t>
      </w:r>
      <w:r>
        <w:rPr>
          <w:rFonts w:hint="eastAsia" w:ascii="方正小标宋简体" w:hAnsi="方正小标宋简体" w:eastAsia="方正小标宋简体" w:cs="方正小标宋简体"/>
          <w:spacing w:val="-6"/>
          <w:kern w:val="2"/>
          <w:szCs w:val="32"/>
          <w:lang w:eastAsia="zh-CN"/>
        </w:rPr>
        <w:t>扎实</w:t>
      </w:r>
      <w:r>
        <w:rPr>
          <w:rFonts w:hint="eastAsia" w:ascii="方正小标宋简体" w:hAnsi="方正小标宋简体" w:eastAsia="方正小标宋简体" w:cs="方正小标宋简体"/>
          <w:spacing w:val="-6"/>
          <w:kern w:val="2"/>
          <w:szCs w:val="32"/>
        </w:rPr>
        <w:t>推进乡村全面振兴</w:t>
      </w:r>
      <w:bookmarkEnd w:id="47"/>
    </w:p>
    <w:p w14:paraId="256EA730">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坚持农业农村优先发展，努力实现农业增效益、农村增活力、农民增收入，进一步提升城乡融合发展水平。</w:t>
      </w:r>
    </w:p>
    <w:p w14:paraId="314DD2D5">
      <w:pPr>
        <w:pStyle w:val="3"/>
        <w:keepNext/>
        <w:keepLines w:val="0"/>
        <w:pageBreakBefore w:val="0"/>
        <w:widowControl w:val="0"/>
        <w:kinsoku/>
        <w:wordWrap/>
        <w:overflowPunct w:val="0"/>
        <w:topLinePunct w:val="0"/>
        <w:autoSpaceDE/>
        <w:autoSpaceDN/>
        <w:bidi w:val="0"/>
        <w:adjustRightInd w:val="0"/>
        <w:snapToGrid w:val="0"/>
        <w:spacing w:before="156" w:beforeLines="50" w:after="156" w:afterLines="50" w:line="580" w:lineRule="exact"/>
        <w:ind w:firstLine="0" w:firstLineChars="0"/>
        <w:jc w:val="center"/>
        <w:textAlignment w:val="auto"/>
        <w:rPr>
          <w:rFonts w:hint="eastAsia"/>
          <w:szCs w:val="32"/>
        </w:rPr>
      </w:pPr>
      <w:bookmarkStart w:id="48" w:name="_Toc2088424444"/>
      <w:r>
        <w:rPr>
          <w:rFonts w:hint="eastAsia"/>
          <w:szCs w:val="32"/>
        </w:rPr>
        <w:t>第一节  提升农业综合生产能力和质量效益</w:t>
      </w:r>
      <w:bookmarkEnd w:id="48"/>
    </w:p>
    <w:p w14:paraId="41DA9383">
      <w:pPr>
        <w:keepLines w:val="0"/>
        <w:pageBreakBefore w:val="0"/>
        <w:widowControl w:val="0"/>
        <w:kinsoku/>
        <w:wordWrap/>
        <w:overflowPunct/>
        <w:topLinePunct w:val="0"/>
        <w:autoSpaceDE/>
        <w:autoSpaceDN/>
        <w:bidi w:val="0"/>
        <w:adjustRightInd/>
        <w:snapToGrid/>
        <w:spacing w:line="580" w:lineRule="exact"/>
        <w:ind w:firstLine="640"/>
        <w:textAlignment w:val="auto"/>
        <w:rPr>
          <w:rFonts w:hint="eastAsia"/>
          <w:szCs w:val="32"/>
          <w:lang w:bidi="ar"/>
        </w:rPr>
      </w:pPr>
      <w:r>
        <w:rPr>
          <w:rFonts w:hint="eastAsia"/>
          <w:szCs w:val="32"/>
          <w:lang w:bidi="ar"/>
        </w:rPr>
        <w:t>全力确保粮食和重要农产品稳定安全供给，加快推进种业振兴，拓展都市农业多元化业态，全面推动农业高质量发展。</w:t>
      </w:r>
    </w:p>
    <w:p w14:paraId="05CBDD46">
      <w:pPr>
        <w:keepLines w:val="0"/>
        <w:pageBreakBefore w:val="0"/>
        <w:widowControl w:val="0"/>
        <w:kinsoku/>
        <w:wordWrap/>
        <w:overflowPunct/>
        <w:topLinePunct w:val="0"/>
        <w:autoSpaceDE/>
        <w:autoSpaceDN/>
        <w:bidi w:val="0"/>
        <w:adjustRightInd/>
        <w:snapToGrid/>
        <w:spacing w:line="580" w:lineRule="exact"/>
        <w:ind w:firstLine="643"/>
        <w:textAlignment w:val="auto"/>
        <w:rPr>
          <w:rFonts w:hint="eastAsia"/>
          <w:color w:val="000000" w:themeColor="text1"/>
          <w:szCs w:val="32"/>
          <w:lang w:bidi="ar"/>
          <w14:textFill>
            <w14:solidFill>
              <w14:schemeClr w14:val="tx1"/>
            </w14:solidFill>
          </w14:textFill>
        </w:rPr>
      </w:pPr>
      <w:r>
        <w:rPr>
          <w:rFonts w:hint="eastAsia" w:hAnsi="Calibri" w:cs="宋体"/>
          <w:b/>
          <w:bCs/>
          <w:kern w:val="2"/>
          <w:szCs w:val="32"/>
          <w:lang w:eastAsia="zh-CN"/>
        </w:rPr>
        <w:t>持续增强重要农产品稳产保供能力</w:t>
      </w:r>
      <w:r>
        <w:rPr>
          <w:rFonts w:hint="eastAsia" w:hAnsi="Calibri" w:cs="宋体"/>
          <w:b/>
          <w:bCs/>
          <w:kern w:val="2"/>
          <w:szCs w:val="32"/>
        </w:rPr>
        <w:t>。</w:t>
      </w:r>
      <w:r>
        <w:rPr>
          <w:rFonts w:hint="eastAsia" w:ascii="仿宋_GB2312" w:hAnsi="仿宋_GB2312" w:eastAsia="仿宋_GB2312" w:cs="仿宋_GB2312"/>
          <w:color w:val="000000"/>
          <w:sz w:val="32"/>
          <w:szCs w:val="32"/>
        </w:rPr>
        <w:t>严守耕地红线，严格占补平衡管理，统筹农用地布局优化，高质量推进高标准农田建设。实施主要粮油作物大面积单产提升行动，增强粮食等重要农产品供给保障能力。健全完善农业防灾减灾长效机制，提升全链条节粮减损水平。实施种业振兴行动，推动良种繁育基地提质增效，持续强化番茄、辣椒等作物的良种培育、品种培优、品牌打造。</w:t>
      </w:r>
      <w:r>
        <w:rPr>
          <w:rFonts w:hint="eastAsia"/>
          <w:color w:val="000000" w:themeColor="text1"/>
          <w:kern w:val="2"/>
          <w:szCs w:val="32"/>
          <w:u w:val="none"/>
          <w14:textFill>
            <w14:solidFill>
              <w14:schemeClr w14:val="tx1"/>
            </w14:solidFill>
          </w14:textFill>
        </w:rPr>
        <w:t>发</w:t>
      </w:r>
      <w:r>
        <w:rPr>
          <w:rFonts w:hint="eastAsia"/>
          <w:kern w:val="2"/>
          <w:szCs w:val="32"/>
        </w:rPr>
        <w:t>展生态循环农业，推进化肥农药减量增效，健全农业废弃物回收处理体系，推进秸秆综合利用、畜禽粪污资源化利用和水产养殖尾水循环利用。</w:t>
      </w:r>
    </w:p>
    <w:p w14:paraId="72D30742">
      <w:pPr>
        <w:keepLines w:val="0"/>
        <w:pageBreakBefore w:val="0"/>
        <w:widowControl w:val="0"/>
        <w:kinsoku/>
        <w:wordWrap/>
        <w:overflowPunct/>
        <w:topLinePunct w:val="0"/>
        <w:autoSpaceDE/>
        <w:autoSpaceDN/>
        <w:bidi w:val="0"/>
        <w:adjustRightInd/>
        <w:snapToGrid/>
        <w:spacing w:line="580" w:lineRule="exact"/>
        <w:ind w:firstLine="643"/>
        <w:textAlignment w:val="auto"/>
        <w:rPr>
          <w:rFonts w:hint="eastAsia"/>
          <w:color w:val="000000" w:themeColor="text1"/>
          <w:szCs w:val="32"/>
          <w:u w:val="none"/>
          <w14:textFill>
            <w14:solidFill>
              <w14:schemeClr w14:val="tx1"/>
            </w14:solidFill>
          </w14:textFill>
        </w:rPr>
      </w:pPr>
      <w:r>
        <w:rPr>
          <w:rFonts w:hint="eastAsia"/>
          <w:b/>
          <w:bCs/>
          <w:kern w:val="2"/>
          <w:szCs w:val="32"/>
        </w:rPr>
        <w:t>推动都市特色农业发展</w:t>
      </w:r>
      <w:r>
        <w:rPr>
          <w:rFonts w:hint="eastAsia"/>
          <w:kern w:val="2"/>
          <w:szCs w:val="32"/>
        </w:rPr>
        <w:t>。推进“一村一业、一村一策”，依托黄河沿线资源优势，发展农产品加工、冷链物流、淡水渔业、特色种植等产业，打造区域农业产业集群。</w:t>
      </w:r>
      <w:r>
        <w:rPr>
          <w:rFonts w:hint="eastAsia" w:ascii="仿宋_GB2312" w:hAnsi="仿宋_GB2312" w:eastAsia="仿宋_GB2312" w:cs="仿宋_GB2312"/>
          <w:color w:val="000000"/>
          <w:sz w:val="32"/>
          <w:szCs w:val="32"/>
        </w:rPr>
        <w:t>大力推广现代设施农业、种养循环农业，鼓励发展立体化种植、无土化栽培、工厂化养殖等新模式，推动畜禽产业结构调新调优。发展都市农业，办好农民丰收节、“沃小番”番茄文化艺术节、“黄河大集”，推动“河畔渔家”观光农业等项目建设，打造泉城市民休闲旅游后花园。稳定和完善农村土地承包关系。扶持一批农业产业化联合体，引导龙头企业走“专精特新”、数字化发展道路，加快推进农业生产“三品一标”。</w:t>
      </w:r>
    </w:p>
    <w:p w14:paraId="1468AFB2">
      <w:pPr>
        <w:pStyle w:val="3"/>
        <w:keepNext/>
        <w:keepLines w:val="0"/>
        <w:pageBreakBefore w:val="0"/>
        <w:widowControl w:val="0"/>
        <w:kinsoku/>
        <w:wordWrap/>
        <w:overflowPunct w:val="0"/>
        <w:topLinePunct w:val="0"/>
        <w:autoSpaceDE/>
        <w:autoSpaceDN/>
        <w:bidi w:val="0"/>
        <w:adjustRightInd w:val="0"/>
        <w:snapToGrid w:val="0"/>
        <w:spacing w:before="156" w:beforeLines="50" w:after="156" w:afterLines="50" w:line="580" w:lineRule="exact"/>
        <w:ind w:firstLine="0" w:firstLineChars="0"/>
        <w:jc w:val="center"/>
        <w:textAlignment w:val="auto"/>
        <w:rPr>
          <w:rFonts w:hint="eastAsia"/>
          <w:szCs w:val="32"/>
        </w:rPr>
      </w:pPr>
      <w:bookmarkStart w:id="49" w:name="_Toc657202654"/>
      <w:r>
        <w:rPr>
          <w:rFonts w:hint="eastAsia"/>
          <w:szCs w:val="32"/>
        </w:rPr>
        <w:t>第二节  推进宜居宜业和美乡村建设</w:t>
      </w:r>
      <w:bookmarkEnd w:id="49"/>
    </w:p>
    <w:p w14:paraId="3574CDF2">
      <w:pPr>
        <w:keepLines w:val="0"/>
        <w:pageBreakBefore w:val="0"/>
        <w:widowControl w:val="0"/>
        <w:kinsoku/>
        <w:wordWrap/>
        <w:topLinePunct w:val="0"/>
        <w:autoSpaceDE/>
        <w:autoSpaceDN/>
        <w:bidi w:val="0"/>
        <w:spacing w:line="580" w:lineRule="exact"/>
        <w:ind w:firstLine="640"/>
        <w:textAlignment w:val="auto"/>
      </w:pPr>
      <w:r>
        <w:rPr>
          <w:rFonts w:hint="eastAsia"/>
        </w:rPr>
        <w:t>扎实推动农村高质量发展，强化</w:t>
      </w:r>
      <w:r>
        <w:rPr>
          <w:rFonts w:hint="eastAsia"/>
          <w:lang w:eastAsia="zh-CN"/>
        </w:rPr>
        <w:t>乡</w:t>
      </w:r>
      <w:r>
        <w:rPr>
          <w:rFonts w:hint="eastAsia"/>
        </w:rPr>
        <w:t>村振兴片区建设，优化农村公共服务供给，推进农村人居环境整治</w:t>
      </w:r>
      <w:r>
        <w:rPr>
          <w:rFonts w:hint="eastAsia"/>
          <w:lang w:eastAsia="zh-CN"/>
        </w:rPr>
        <w:t>提升</w:t>
      </w:r>
      <w:r>
        <w:rPr>
          <w:rFonts w:hint="eastAsia"/>
        </w:rPr>
        <w:t>，高标准建设宜居宜业和美乡村。</w:t>
      </w:r>
    </w:p>
    <w:p w14:paraId="006CAE39">
      <w:pPr>
        <w:keepLines w:val="0"/>
        <w:pageBreakBefore w:val="0"/>
        <w:widowControl w:val="0"/>
        <w:kinsoku/>
        <w:wordWrap/>
        <w:overflowPunct/>
        <w:topLinePunct w:val="0"/>
        <w:autoSpaceDE/>
        <w:autoSpaceDN/>
        <w:bidi w:val="0"/>
        <w:adjustRightInd/>
        <w:snapToGrid/>
        <w:spacing w:line="580" w:lineRule="exact"/>
        <w:ind w:firstLine="643"/>
        <w:textAlignment w:val="auto"/>
        <w:rPr>
          <w:rFonts w:hint="eastAsia" w:eastAsia="仿宋_GB2312"/>
          <w:color w:val="000000" w:themeColor="text1"/>
          <w:szCs w:val="32"/>
          <w:u w:val="none"/>
          <w:lang w:eastAsia="zh-CN"/>
          <w14:textFill>
            <w14:solidFill>
              <w14:schemeClr w14:val="tx1"/>
            </w14:solidFill>
          </w14:textFill>
        </w:rPr>
      </w:pPr>
      <w:r>
        <w:rPr>
          <w:rFonts w:hint="eastAsia" w:hAnsi="Calibri" w:cs="宋体"/>
          <w:b/>
          <w:bCs/>
          <w:kern w:val="2"/>
          <w:szCs w:val="32"/>
        </w:rPr>
        <w:t>强化乡村振兴片区建设。</w:t>
      </w:r>
      <w:r>
        <w:rPr>
          <w:rFonts w:hint="eastAsia" w:ascii="仿宋_GB2312" w:hAnsi="仿宋_GB2312" w:eastAsia="仿宋_GB2312" w:cs="仿宋_GB2312"/>
          <w:color w:val="000000"/>
          <w:sz w:val="32"/>
          <w:szCs w:val="32"/>
        </w:rPr>
        <w:t>推动桑梓店街道</w:t>
      </w:r>
      <w:r>
        <w:rPr>
          <w:rFonts w:hint="eastAsia" w:hAnsi="仿宋_GB2312" w:eastAsia="仿宋_GB2312" w:cs="仿宋_GB2312"/>
          <w:color w:val="000000"/>
          <w:kern w:val="0"/>
          <w:sz w:val="32"/>
          <w:szCs w:val="32"/>
          <w:lang w:val="en-US" w:eastAsia="zh-CN"/>
        </w:rPr>
        <w:t>和美乡村建设</w:t>
      </w:r>
      <w:r>
        <w:rPr>
          <w:rFonts w:hint="eastAsia" w:cs="仿宋_GB2312"/>
          <w:color w:val="000000"/>
          <w:sz w:val="32"/>
          <w:szCs w:val="32"/>
          <w:lang w:eastAsia="zh-CN"/>
        </w:rPr>
        <w:t>，</w:t>
      </w:r>
      <w:r>
        <w:rPr>
          <w:rFonts w:hint="eastAsia" w:ascii="仿宋_GB2312" w:hAnsi="仿宋_GB2312" w:eastAsia="仿宋_GB2312" w:cs="仿宋_GB2312"/>
          <w:color w:val="000000"/>
          <w:sz w:val="32"/>
          <w:szCs w:val="32"/>
        </w:rPr>
        <w:t>精准推进村庄规划编制，有序开展村庄有机更新。稳步提升农村公路路况、“双千兆”网络、电动汽车充电站等基础设施服务水平，健全农村供水区域统管机制，加快数字乡村建设步伐，保障农村低收入群体住房安全。</w:t>
      </w:r>
    </w:p>
    <w:p w14:paraId="50C723E0">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eastAsia" w:hAnsi="仿宋_GB2312" w:cs="仿宋_GB2312"/>
          <w:b w:val="0"/>
          <w:bCs w:val="0"/>
          <w:color w:val="000000" w:themeColor="text1"/>
          <w:kern w:val="0"/>
          <w:szCs w:val="32"/>
          <w:u w:val="none"/>
          <w:lang w:bidi="ar"/>
          <w14:textFill>
            <w14:solidFill>
              <w14:schemeClr w14:val="tx1"/>
            </w14:solidFill>
          </w14:textFill>
        </w:rPr>
      </w:pPr>
      <w:r>
        <w:rPr>
          <w:rFonts w:hint="eastAsia" w:hAnsi="Calibri" w:cs="宋体"/>
          <w:b/>
          <w:bCs/>
          <w:kern w:val="2"/>
          <w:szCs w:val="32"/>
        </w:rPr>
        <w:t>提升乡村基本公共服务能力。</w:t>
      </w:r>
      <w:r>
        <w:rPr>
          <w:rFonts w:hint="eastAsia" w:ascii="仿宋_GB2312" w:hAnsi="仿宋_GB2312" w:eastAsia="仿宋_GB2312" w:cs="仿宋_GB2312"/>
          <w:color w:val="000000"/>
          <w:sz w:val="32"/>
          <w:szCs w:val="32"/>
        </w:rPr>
        <w:t>加强桑梓片区教育、医疗、养老等基本公共服务能力建设，优化农村老年人、留守妇女儿童和残疾人等群体的服务供给。推进农村人居环境整治提升，持续开展村庄清洁行动，提升生活垃圾、生活污水、黑臭水体治理成效，抓好农村厕所问题排查和新改建，打造更优质乡村生活空间。深化“出彩人家”</w:t>
      </w:r>
      <w:r>
        <w:rPr>
          <w:rFonts w:hint="eastAsia" w:cs="仿宋_GB2312"/>
          <w:color w:val="000000"/>
          <w:sz w:val="32"/>
          <w:szCs w:val="32"/>
          <w:lang w:eastAsia="zh-CN"/>
        </w:rPr>
        <w:t>、</w:t>
      </w:r>
      <w:r>
        <w:rPr>
          <w:rFonts w:hint="eastAsia" w:ascii="仿宋_GB2312" w:hAnsi="仿宋_GB2312" w:eastAsia="仿宋_GB2312" w:cs="仿宋_GB2312"/>
          <w:color w:val="000000"/>
          <w:sz w:val="32"/>
          <w:szCs w:val="32"/>
        </w:rPr>
        <w:t>“文明家庭”创建，引导培育文明乡风、良好家风、淳朴民风。</w:t>
      </w:r>
    </w:p>
    <w:p w14:paraId="6A54BEDB">
      <w:pPr>
        <w:pStyle w:val="3"/>
        <w:keepNext/>
        <w:keepLines w:val="0"/>
        <w:pageBreakBefore w:val="0"/>
        <w:widowControl w:val="0"/>
        <w:kinsoku/>
        <w:wordWrap/>
        <w:overflowPunct w:val="0"/>
        <w:topLinePunct w:val="0"/>
        <w:autoSpaceDE/>
        <w:autoSpaceDN/>
        <w:bidi w:val="0"/>
        <w:adjustRightInd w:val="0"/>
        <w:snapToGrid w:val="0"/>
        <w:spacing w:before="156" w:beforeLines="50" w:after="156" w:afterLines="50" w:line="580" w:lineRule="exact"/>
        <w:ind w:firstLine="0" w:firstLineChars="0"/>
        <w:jc w:val="center"/>
        <w:textAlignment w:val="auto"/>
        <w:rPr>
          <w:szCs w:val="32"/>
        </w:rPr>
      </w:pPr>
      <w:bookmarkStart w:id="50" w:name="_Toc1221033326"/>
      <w:r>
        <w:rPr>
          <w:rFonts w:hint="eastAsia"/>
          <w:szCs w:val="32"/>
        </w:rPr>
        <w:t>第三节  提高强农惠农富农政策效能</w:t>
      </w:r>
      <w:bookmarkEnd w:id="50"/>
    </w:p>
    <w:p w14:paraId="7BF2CECB">
      <w:pPr>
        <w:keepLines w:val="0"/>
        <w:pageBreakBefore w:val="0"/>
        <w:widowControl w:val="0"/>
        <w:kinsoku/>
        <w:wordWrap/>
        <w:topLinePunct w:val="0"/>
        <w:autoSpaceDE/>
        <w:autoSpaceDN/>
        <w:bidi w:val="0"/>
        <w:spacing w:line="580" w:lineRule="exact"/>
        <w:ind w:firstLine="640"/>
        <w:textAlignment w:val="auto"/>
        <w:rPr>
          <w:rFonts w:hint="eastAsia"/>
        </w:rPr>
      </w:pPr>
      <w:r>
        <w:rPr>
          <w:rFonts w:hint="eastAsia"/>
        </w:rPr>
        <w:t>衔接推进乡村全面振兴，拓宽新渠道，挖掘新潜力，培育新动能，推动农民就业增收，持续提高农民生活水平。</w:t>
      </w:r>
    </w:p>
    <w:p w14:paraId="4722F30B">
      <w:pPr>
        <w:keepLines w:val="0"/>
        <w:pageBreakBefore w:val="0"/>
        <w:widowControl w:val="0"/>
        <w:kinsoku/>
        <w:wordWrap/>
        <w:overflowPunct/>
        <w:topLinePunct w:val="0"/>
        <w:autoSpaceDE/>
        <w:autoSpaceDN/>
        <w:bidi w:val="0"/>
        <w:adjustRightInd/>
        <w:snapToGrid/>
        <w:spacing w:line="580" w:lineRule="exact"/>
        <w:ind w:firstLine="643"/>
        <w:textAlignment w:val="auto"/>
        <w:rPr>
          <w:rFonts w:hint="eastAsia" w:ascii="仿宋_GB2312" w:hAnsi="仿宋_GB2312" w:eastAsia="仿宋_GB2312" w:cs="仿宋_GB2312"/>
          <w:color w:val="000000"/>
          <w:sz w:val="32"/>
          <w:szCs w:val="32"/>
          <w:lang w:eastAsia="zh-CN"/>
        </w:rPr>
      </w:pPr>
      <w:r>
        <w:rPr>
          <w:rFonts w:hint="eastAsia" w:hAnsi="Calibri" w:cs="宋体"/>
          <w:b/>
          <w:bCs/>
          <w:kern w:val="2"/>
          <w:szCs w:val="32"/>
        </w:rPr>
        <w:t>推动乡村产业增收富民。</w:t>
      </w:r>
      <w:r>
        <w:rPr>
          <w:rFonts w:hint="eastAsia" w:ascii="仿宋_GB2312" w:hAnsi="仿宋_GB2312" w:eastAsia="仿宋_GB2312" w:cs="仿宋_GB2312"/>
          <w:color w:val="000000"/>
          <w:sz w:val="32"/>
          <w:szCs w:val="32"/>
        </w:rPr>
        <w:t>创新乡村振兴投融资机制，加强财政金融联动，吸引优质资本汇聚，构建多元投入保障机制。加强涉农资金项目全过程监管。深化提升“万人下乡、千村提升”工程，形成多层次多形式帮扶协作体系。加快构建集体收入、农民收入“双增长”长效机制。育好用好乡村本土人才，推动农村劳动力转移就业</w:t>
      </w:r>
      <w:r>
        <w:rPr>
          <w:rFonts w:hint="eastAsia" w:cs="仿宋_GB2312"/>
          <w:color w:val="000000"/>
          <w:sz w:val="32"/>
          <w:szCs w:val="32"/>
          <w:lang w:eastAsia="zh-CN"/>
        </w:rPr>
        <w:t>、</w:t>
      </w:r>
      <w:r>
        <w:rPr>
          <w:rFonts w:hint="eastAsia" w:ascii="仿宋_GB2312" w:hAnsi="仿宋_GB2312" w:eastAsia="仿宋_GB2312" w:cs="仿宋_GB2312"/>
          <w:color w:val="000000"/>
          <w:sz w:val="32"/>
          <w:szCs w:val="32"/>
        </w:rPr>
        <w:t>就近就地就业。拓展完善常态化防止返贫致贫机制，守牢不发生规模性返贫致贫底线</w:t>
      </w:r>
      <w:r>
        <w:rPr>
          <w:rFonts w:hint="eastAsia" w:cs="仿宋_GB2312"/>
          <w:color w:val="000000"/>
          <w:sz w:val="32"/>
          <w:szCs w:val="32"/>
          <w:lang w:eastAsia="zh-CN"/>
        </w:rPr>
        <w:t>。</w:t>
      </w:r>
    </w:p>
    <w:p w14:paraId="378BBF82">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eastAsia"/>
          <w:color w:val="000000" w:themeColor="text1"/>
          <w:szCs w:val="32"/>
          <w:lang w:bidi="ar"/>
          <w14:textFill>
            <w14:solidFill>
              <w14:schemeClr w14:val="tx1"/>
            </w14:solidFill>
          </w14:textFill>
        </w:rPr>
      </w:pPr>
      <w:r>
        <w:rPr>
          <w:rFonts w:hint="eastAsia" w:hAnsi="Calibri" w:cs="宋体"/>
          <w:b/>
          <w:bCs/>
          <w:kern w:val="2"/>
          <w:szCs w:val="32"/>
        </w:rPr>
        <w:t>提高农村资源配置效率。</w:t>
      </w:r>
      <w:r>
        <w:rPr>
          <w:rFonts w:hint="eastAsia" w:ascii="仿宋_GB2312" w:hAnsi="仿宋_GB2312" w:eastAsia="仿宋_GB2312" w:cs="仿宋_GB2312"/>
          <w:color w:val="000000"/>
          <w:sz w:val="32"/>
          <w:szCs w:val="32"/>
        </w:rPr>
        <w:t>稳步推进全域土地综合整治，健全农村发展用地保障机制，新增建设用地指标优先保障省级现代设施农业、现代种业等优势产业项目。建立房地一体宅基地确权登记颁证工作机制。深化农村“三变”改革，强化农村集体“三资”管理，推进农村产权交易，提高农村资源配置效率。</w:t>
      </w:r>
    </w:p>
    <w:p w14:paraId="2D040BEA">
      <w:pPr>
        <w:pStyle w:val="2"/>
        <w:keepNext w:val="0"/>
        <w:keepLines w:val="0"/>
        <w:pageBreakBefore w:val="0"/>
        <w:widowControl w:val="0"/>
        <w:kinsoku/>
        <w:wordWrap/>
        <w:overflowPunct w:val="0"/>
        <w:topLinePunct w:val="0"/>
        <w:autoSpaceDE/>
        <w:autoSpaceDN/>
        <w:bidi w:val="0"/>
        <w:adjustRightInd w:val="0"/>
        <w:snapToGrid w:val="0"/>
        <w:spacing w:before="313" w:beforeLines="100" w:after="313" w:afterLines="100" w:line="600" w:lineRule="exact"/>
        <w:ind w:left="0" w:leftChars="0" w:firstLine="0" w:firstLineChars="0"/>
        <w:jc w:val="center"/>
        <w:textAlignment w:val="auto"/>
        <w:rPr>
          <w:rFonts w:hint="eastAsia" w:ascii="方正小标宋简体" w:hAnsi="方正小标宋简体" w:eastAsia="方正小标宋简体" w:cs="方正小标宋简体"/>
          <w:b w:val="0"/>
          <w:bCs w:val="0"/>
          <w:spacing w:val="-6"/>
          <w:kern w:val="2"/>
          <w:sz w:val="32"/>
          <w:szCs w:val="32"/>
          <w:u w:val="none"/>
          <w:lang w:val="en-US" w:eastAsia="zh-CN"/>
        </w:rPr>
        <w:sectPr>
          <w:footerReference r:id="rId9" w:type="default"/>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AF90964">
      <w:pPr>
        <w:pStyle w:val="2"/>
        <w:keepNext/>
        <w:keepLines w:val="0"/>
        <w:pageBreakBefore w:val="0"/>
        <w:widowControl w:val="0"/>
        <w:kinsoku/>
        <w:wordWrap/>
        <w:overflowPunct w:val="0"/>
        <w:topLinePunct w:val="0"/>
        <w:autoSpaceDE/>
        <w:autoSpaceDN/>
        <w:bidi w:val="0"/>
        <w:adjustRightInd w:val="0"/>
        <w:snapToGrid w:val="0"/>
        <w:spacing w:before="312" w:beforeLines="100" w:after="312" w:afterLines="100" w:line="580" w:lineRule="exact"/>
        <w:ind w:firstLine="0" w:firstLineChars="0"/>
        <w:jc w:val="center"/>
        <w:textAlignment w:val="auto"/>
        <w:rPr>
          <w:rFonts w:hint="eastAsia" w:ascii="方正小标宋简体" w:hAnsi="方正小标宋简体" w:eastAsia="方正小标宋简体" w:cs="方正小标宋简体"/>
          <w:spacing w:val="-6"/>
          <w:kern w:val="2"/>
          <w:szCs w:val="32"/>
        </w:rPr>
      </w:pPr>
      <w:bookmarkStart w:id="51" w:name="_Toc378016171"/>
      <w:r>
        <w:rPr>
          <w:rFonts w:hint="eastAsia" w:ascii="方正小标宋简体" w:hAnsi="方正小标宋简体" w:eastAsia="方正小标宋简体" w:cs="方正小标宋简体"/>
          <w:spacing w:val="-6"/>
          <w:kern w:val="2"/>
          <w:szCs w:val="32"/>
        </w:rPr>
        <w:t>第</w:t>
      </w:r>
      <w:r>
        <w:rPr>
          <w:rFonts w:hint="eastAsia" w:ascii="方正小标宋简体" w:hAnsi="方正小标宋简体" w:eastAsia="方正小标宋简体" w:cs="方正小标宋简体"/>
          <w:spacing w:val="-6"/>
          <w:kern w:val="2"/>
          <w:szCs w:val="32"/>
          <w:lang w:val="en-US" w:eastAsia="zh-CN"/>
        </w:rPr>
        <w:t>八</w:t>
      </w:r>
      <w:r>
        <w:rPr>
          <w:rFonts w:hint="eastAsia" w:ascii="方正小标宋简体" w:hAnsi="方正小标宋简体" w:eastAsia="方正小标宋简体" w:cs="方正小标宋简体"/>
          <w:spacing w:val="-6"/>
          <w:kern w:val="2"/>
          <w:szCs w:val="32"/>
        </w:rPr>
        <w:t>章 进一步全面深化改革扩大开放</w:t>
      </w:r>
      <w:bookmarkEnd w:id="51"/>
    </w:p>
    <w:p w14:paraId="4977BB3B">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更好发挥经济体制改革牵引作用，进一步深化重点领域改革，统筹推进深层次改革和高水平开放，以改革促开放、以开放促发展，增强高质量发展动力活力。</w:t>
      </w:r>
    </w:p>
    <w:p w14:paraId="14751894">
      <w:pPr>
        <w:pStyle w:val="3"/>
        <w:keepNext/>
        <w:keepLines w:val="0"/>
        <w:pageBreakBefore w:val="0"/>
        <w:widowControl w:val="0"/>
        <w:kinsoku/>
        <w:wordWrap/>
        <w:overflowPunct w:val="0"/>
        <w:topLinePunct w:val="0"/>
        <w:autoSpaceDE/>
        <w:autoSpaceDN/>
        <w:bidi w:val="0"/>
        <w:adjustRightInd w:val="0"/>
        <w:snapToGrid w:val="0"/>
        <w:spacing w:before="156" w:beforeLines="50" w:after="156" w:afterLines="50" w:line="580" w:lineRule="exact"/>
        <w:ind w:firstLine="0" w:firstLineChars="0"/>
        <w:jc w:val="center"/>
        <w:textAlignment w:val="auto"/>
        <w:rPr>
          <w:rFonts w:hint="eastAsia"/>
          <w:szCs w:val="32"/>
        </w:rPr>
      </w:pPr>
      <w:bookmarkStart w:id="52" w:name="_Toc630482277"/>
      <w:r>
        <w:rPr>
          <w:rFonts w:hint="eastAsia"/>
          <w:szCs w:val="32"/>
        </w:rPr>
        <w:t>第一节  深化重点领域改革</w:t>
      </w:r>
      <w:bookmarkEnd w:id="52"/>
    </w:p>
    <w:p w14:paraId="7738B3EF">
      <w:pPr>
        <w:keepLines w:val="0"/>
        <w:pageBreakBefore w:val="0"/>
        <w:widowControl w:val="0"/>
        <w:kinsoku/>
        <w:wordWrap/>
        <w:overflowPunct/>
        <w:topLinePunct w:val="0"/>
        <w:autoSpaceDE/>
        <w:autoSpaceDN/>
        <w:bidi w:val="0"/>
        <w:adjustRightInd/>
        <w:snapToGrid/>
        <w:spacing w:line="580" w:lineRule="exact"/>
        <w:ind w:firstLine="640"/>
        <w:textAlignment w:val="auto"/>
        <w:rPr>
          <w:rFonts w:hAnsi="Calibri" w:cs="宋体"/>
          <w:kern w:val="2"/>
          <w:szCs w:val="32"/>
        </w:rPr>
      </w:pPr>
      <w:r>
        <w:rPr>
          <w:rFonts w:hint="eastAsia" w:ascii="仿宋_GB2312" w:hAnsi="仿宋_GB2312" w:eastAsia="仿宋_GB2312" w:cs="仿宋_GB2312"/>
          <w:color w:val="000000"/>
          <w:sz w:val="32"/>
          <w:szCs w:val="32"/>
        </w:rPr>
        <w:t>坚持全面承接上级部署与实施自主改革相结合，聚焦重点领域和关键环节，健全完善相关体制机制，</w:t>
      </w:r>
      <w:r>
        <w:rPr>
          <w:rFonts w:hint="eastAsia" w:ascii="仿宋_GB2312" w:hAnsi="仿宋_GB2312" w:eastAsia="仿宋_GB2312" w:cs="仿宋_GB2312"/>
          <w:color w:val="000000"/>
          <w:sz w:val="32"/>
          <w:szCs w:val="32"/>
          <w:lang w:val="zh-TW"/>
        </w:rPr>
        <w:t>形成一批</w:t>
      </w:r>
      <w:r>
        <w:rPr>
          <w:rFonts w:hint="eastAsia" w:ascii="仿宋_GB2312" w:hAnsi="仿宋_GB2312" w:eastAsia="仿宋_GB2312" w:cs="仿宋_GB2312"/>
          <w:color w:val="000000"/>
          <w:sz w:val="32"/>
          <w:szCs w:val="32"/>
        </w:rPr>
        <w:t>走在全市、全省前列的</w:t>
      </w:r>
      <w:r>
        <w:rPr>
          <w:rFonts w:hint="eastAsia" w:ascii="仿宋_GB2312" w:hAnsi="仿宋_GB2312" w:eastAsia="仿宋_GB2312" w:cs="仿宋_GB2312"/>
          <w:color w:val="000000"/>
          <w:sz w:val="32"/>
          <w:szCs w:val="32"/>
          <w:lang w:val="zh-TW"/>
        </w:rPr>
        <w:t>制度创新成果</w:t>
      </w:r>
      <w:r>
        <w:rPr>
          <w:rFonts w:hint="eastAsia" w:ascii="仿宋_GB2312" w:hAnsi="仿宋_GB2312" w:eastAsia="仿宋_GB2312" w:cs="仿宋_GB2312"/>
          <w:color w:val="000000"/>
          <w:sz w:val="32"/>
          <w:szCs w:val="32"/>
        </w:rPr>
        <w:t>。</w:t>
      </w:r>
    </w:p>
    <w:p w14:paraId="7DCB1507">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Ansi="Calibri" w:cs="宋体"/>
          <w:kern w:val="2"/>
          <w:szCs w:val="32"/>
        </w:rPr>
      </w:pPr>
      <w:r>
        <w:rPr>
          <w:rFonts w:hint="eastAsia" w:hAnsi="Calibri" w:cs="宋体"/>
          <w:b/>
          <w:bCs/>
          <w:kern w:val="2"/>
          <w:szCs w:val="32"/>
        </w:rPr>
        <w:t>激发市场主体活力。</w:t>
      </w:r>
      <w:r>
        <w:rPr>
          <w:rFonts w:hint="eastAsia" w:ascii="仿宋_GB2312" w:hAnsi="仿宋_GB2312" w:eastAsia="仿宋_GB2312" w:cs="仿宋_GB2312"/>
          <w:color w:val="000000"/>
          <w:sz w:val="32"/>
          <w:szCs w:val="32"/>
        </w:rPr>
        <w:t>深化国资国企改革，稳步扩大国有企业和国有资本</w:t>
      </w:r>
      <w:r>
        <w:rPr>
          <w:rFonts w:hint="eastAsia" w:cs="仿宋_GB2312"/>
          <w:color w:val="000000"/>
          <w:sz w:val="32"/>
          <w:szCs w:val="32"/>
          <w:lang w:eastAsia="zh-CN"/>
        </w:rPr>
        <w:t>规模</w:t>
      </w:r>
      <w:r>
        <w:rPr>
          <w:rFonts w:hint="eastAsia" w:ascii="仿宋_GB2312" w:hAnsi="仿宋_GB2312" w:eastAsia="仿宋_GB2312" w:cs="仿宋_GB2312"/>
          <w:color w:val="000000"/>
          <w:sz w:val="32"/>
          <w:szCs w:val="32"/>
        </w:rPr>
        <w:t>，健全国资监管体制，完善国有企业考核评价体系，创新穿透式监管方式，防范化解债务风险。深化开发区改革创新，突出经济发展主责主业，完善联合招商和共建共享机制，推动开发区争先进位。</w:t>
      </w:r>
      <w:r>
        <w:rPr>
          <w:rFonts w:hint="eastAsia"/>
          <w:color w:val="000000" w:themeColor="text1"/>
          <w:szCs w:val="32"/>
          <w:u w:val="none"/>
          <w14:textFill>
            <w14:solidFill>
              <w14:schemeClr w14:val="tx1"/>
            </w14:solidFill>
          </w14:textFill>
        </w:rPr>
        <w:t>大力发展民营经济</w:t>
      </w:r>
      <w:r>
        <w:rPr>
          <w:rFonts w:hint="eastAsia"/>
          <w:color w:val="000000" w:themeColor="text1"/>
          <w:szCs w:val="32"/>
          <w:u w:val="none"/>
          <w:lang w:eastAsia="zh-CN"/>
          <w14:textFill>
            <w14:solidFill>
              <w14:schemeClr w14:val="tx1"/>
            </w14:solidFill>
          </w14:textFill>
        </w:rPr>
        <w:t>，</w:t>
      </w:r>
      <w:r>
        <w:rPr>
          <w:rFonts w:hint="eastAsia"/>
          <w:color w:val="000000" w:themeColor="text1"/>
          <w:szCs w:val="32"/>
          <w:u w:val="none"/>
          <w14:textFill>
            <w14:solidFill>
              <w14:schemeClr w14:val="tx1"/>
            </w14:solidFill>
          </w14:textFill>
        </w:rPr>
        <w:t>健全支持中小企业发展服务体系，完善中小微企业纾困机制，</w:t>
      </w:r>
      <w:r>
        <w:rPr>
          <w:rFonts w:hint="eastAsia" w:ascii="仿宋_GB2312" w:eastAsia="仿宋_GB2312"/>
          <w:sz w:val="32"/>
          <w:szCs w:val="32"/>
          <w:lang w:val="en-US" w:eastAsia="zh-CN"/>
        </w:rPr>
        <w:t>充分运用政策集成平台</w:t>
      </w:r>
      <w:r>
        <w:rPr>
          <w:rFonts w:hint="eastAsia"/>
          <w:color w:val="000000" w:themeColor="text1"/>
          <w:szCs w:val="32"/>
          <w:u w:val="none"/>
          <w14:textFill>
            <w14:solidFill>
              <w14:schemeClr w14:val="tx1"/>
            </w14:solidFill>
          </w14:textFill>
        </w:rPr>
        <w:t>，整合各级惠企措施，实现免申即享、快速兑现。</w:t>
      </w:r>
      <w:r>
        <w:rPr>
          <w:rFonts w:hint="eastAsia" w:hAnsi="Calibri" w:cs="宋体"/>
          <w:kern w:val="2"/>
          <w:szCs w:val="32"/>
        </w:rPr>
        <w:t>推动国企与民企在科技创新、融资、政策指导等方面合作，实现优势互补、互利共赢。</w:t>
      </w:r>
    </w:p>
    <w:p w14:paraId="7D28B8F6">
      <w:pPr>
        <w:keepLines w:val="0"/>
        <w:pageBreakBefore w:val="0"/>
        <w:widowControl w:val="0"/>
        <w:kinsoku/>
        <w:wordWrap/>
        <w:overflowPunct/>
        <w:topLinePunct w:val="0"/>
        <w:autoSpaceDE/>
        <w:autoSpaceDN/>
        <w:bidi w:val="0"/>
        <w:adjustRightInd/>
        <w:snapToGrid/>
        <w:spacing w:line="580" w:lineRule="exact"/>
        <w:ind w:firstLine="643"/>
        <w:textAlignment w:val="auto"/>
        <w:rPr>
          <w:rFonts w:hint="eastAsia" w:ascii="仿宋_GB2312" w:hAnsi="仿宋_GB2312" w:eastAsia="仿宋_GB2312" w:cs="仿宋_GB2312"/>
          <w:color w:val="000000"/>
          <w:sz w:val="32"/>
          <w:szCs w:val="32"/>
        </w:rPr>
      </w:pPr>
      <w:r>
        <w:rPr>
          <w:rFonts w:hint="eastAsia"/>
          <w:b/>
          <w:bCs/>
          <w:szCs w:val="32"/>
        </w:rPr>
        <w:t>深化土地制度改革。</w:t>
      </w:r>
      <w:r>
        <w:rPr>
          <w:rFonts w:hint="eastAsia"/>
          <w:kern w:val="2"/>
          <w:szCs w:val="32"/>
        </w:rPr>
        <w:t>严格管控城镇开发边界，推动城镇空间内涵式集约化绿色发展。</w:t>
      </w:r>
      <w:r>
        <w:rPr>
          <w:rFonts w:hint="eastAsia" w:ascii="仿宋_GB2312" w:hAnsi="仿宋_GB2312" w:eastAsia="仿宋_GB2312" w:cs="仿宋_GB2312"/>
          <w:color w:val="000000"/>
          <w:sz w:val="32"/>
          <w:szCs w:val="32"/>
        </w:rPr>
        <w:t>深化“亩产效益”综合评价改革，</w:t>
      </w:r>
      <w:r>
        <w:rPr>
          <w:rFonts w:hint="eastAsia"/>
          <w:szCs w:val="32"/>
        </w:rPr>
        <w:t>加强对违法占地行为的监管</w:t>
      </w:r>
      <w:r>
        <w:rPr>
          <w:rFonts w:hint="eastAsia"/>
          <w:szCs w:val="32"/>
          <w:lang w:eastAsia="zh-CN"/>
        </w:rPr>
        <w:t>，</w:t>
      </w:r>
      <w:r>
        <w:rPr>
          <w:rFonts w:hint="eastAsia"/>
          <w:kern w:val="2"/>
          <w:szCs w:val="32"/>
        </w:rPr>
        <w:t>严控闲置土地增量</w:t>
      </w:r>
      <w:r>
        <w:rPr>
          <w:rFonts w:hint="eastAsia"/>
          <w:kern w:val="2"/>
          <w:szCs w:val="32"/>
          <w:lang w:eastAsia="zh-CN"/>
        </w:rPr>
        <w:t>，</w:t>
      </w:r>
      <w:r>
        <w:rPr>
          <w:rFonts w:hint="eastAsia"/>
          <w:kern w:val="2"/>
          <w:szCs w:val="32"/>
        </w:rPr>
        <w:t>鼓励社会资本参与低效用地再开发，</w:t>
      </w:r>
      <w:r>
        <w:rPr>
          <w:rFonts w:hint="eastAsia" w:ascii="仿宋_GB2312" w:hAnsi="仿宋_GB2312" w:eastAsia="仿宋_GB2312" w:cs="仿宋_GB2312"/>
          <w:color w:val="000000"/>
          <w:sz w:val="32"/>
          <w:szCs w:val="32"/>
        </w:rPr>
        <w:t>提升土地资源节约集约利用水平。</w:t>
      </w:r>
    </w:p>
    <w:p w14:paraId="7DC1F0FF">
      <w:pPr>
        <w:keepLines w:val="0"/>
        <w:pageBreakBefore w:val="0"/>
        <w:widowControl w:val="0"/>
        <w:kinsoku/>
        <w:wordWrap/>
        <w:overflowPunct/>
        <w:topLinePunct w:val="0"/>
        <w:autoSpaceDE/>
        <w:autoSpaceDN/>
        <w:bidi w:val="0"/>
        <w:adjustRightInd/>
        <w:snapToGrid/>
        <w:spacing w:line="570" w:lineRule="exact"/>
        <w:ind w:firstLine="643"/>
        <w:textAlignment w:val="auto"/>
        <w:rPr>
          <w:rFonts w:hAnsi="Calibri" w:cs="宋体"/>
          <w:color w:val="000000" w:themeColor="text1"/>
          <w:kern w:val="2"/>
          <w:szCs w:val="32"/>
          <w:u w:val="none"/>
          <w14:textFill>
            <w14:solidFill>
              <w14:schemeClr w14:val="tx1"/>
            </w14:solidFill>
          </w14:textFill>
        </w:rPr>
      </w:pPr>
      <w:r>
        <w:rPr>
          <w:rFonts w:hint="eastAsia" w:hAnsi="Calibri" w:cs="宋体"/>
          <w:b/>
          <w:bCs/>
          <w:kern w:val="2"/>
          <w:szCs w:val="32"/>
        </w:rPr>
        <w:t>推进财税体制改革</w:t>
      </w:r>
      <w:r>
        <w:rPr>
          <w:rFonts w:hint="eastAsia" w:hAnsi="Calibri" w:cs="宋体"/>
          <w:kern w:val="2"/>
          <w:szCs w:val="32"/>
        </w:rPr>
        <w:t>。</w:t>
      </w:r>
      <w:r>
        <w:rPr>
          <w:rFonts w:hint="eastAsia" w:ascii="仿宋_GB2312" w:hAnsi="仿宋_GB2312" w:eastAsia="仿宋_GB2312" w:cs="仿宋_GB2312"/>
          <w:color w:val="000000"/>
          <w:sz w:val="32"/>
          <w:szCs w:val="32"/>
        </w:rPr>
        <w:t>加强财政科学管理，深化零基预算改革，强化财政资源和预算统筹，构建该保必保、应省尽省、讲求绩效的资金安排机制。</w:t>
      </w:r>
      <w:r>
        <w:rPr>
          <w:rFonts w:hint="eastAsia"/>
          <w:color w:val="000000" w:themeColor="text1"/>
          <w:szCs w:val="32"/>
          <w:u w:val="none"/>
          <w14:textFill>
            <w14:solidFill>
              <w14:schemeClr w14:val="tx1"/>
            </w14:solidFill>
          </w14:textFill>
        </w:rPr>
        <w:t>建立防范化解地方政府债务风险长效机制，有序化解隐性债务存量、坚决遏制增量。</w:t>
      </w:r>
      <w:r>
        <w:rPr>
          <w:rFonts w:hint="eastAsia" w:hAnsi="Calibri" w:cs="宋体"/>
          <w:color w:val="000000" w:themeColor="text1"/>
          <w:kern w:val="2"/>
          <w:szCs w:val="32"/>
          <w:u w:val="none"/>
          <w:lang w:eastAsia="zh-CN"/>
          <w14:textFill>
            <w14:solidFill>
              <w14:schemeClr w14:val="tx1"/>
            </w14:solidFill>
          </w14:textFill>
        </w:rPr>
        <w:t>鼓励</w:t>
      </w:r>
      <w:r>
        <w:rPr>
          <w:rFonts w:hint="eastAsia" w:hAnsi="Calibri" w:cs="宋体"/>
          <w:color w:val="000000" w:themeColor="text1"/>
          <w:kern w:val="2"/>
          <w:szCs w:val="32"/>
          <w:u w:val="none"/>
          <w14:textFill>
            <w14:solidFill>
              <w14:schemeClr w14:val="tx1"/>
            </w14:solidFill>
          </w14:textFill>
        </w:rPr>
        <w:t>金</w:t>
      </w:r>
      <w:r>
        <w:rPr>
          <w:rFonts w:hint="eastAsia" w:hAnsi="Calibri" w:cs="宋体"/>
          <w:kern w:val="2"/>
          <w:szCs w:val="32"/>
        </w:rPr>
        <w:t>融资源向高质量发展战略方向、重点领域、薄弱环节汇聚，推动优质企业多渠道上市融资</w:t>
      </w:r>
      <w:r>
        <w:rPr>
          <w:rFonts w:hint="eastAsia" w:hAnsi="Calibri" w:cs="宋体"/>
          <w:kern w:val="2"/>
          <w:szCs w:val="32"/>
          <w:lang w:eastAsia="zh-CN"/>
        </w:rPr>
        <w:t>。</w:t>
      </w:r>
      <w:r>
        <w:rPr>
          <w:rFonts w:hint="eastAsia" w:hAnsi="Calibri" w:cs="宋体"/>
          <w:kern w:val="2"/>
          <w:szCs w:val="32"/>
        </w:rPr>
        <w:t>抓牢债券</w:t>
      </w:r>
      <w:r>
        <w:rPr>
          <w:rFonts w:hint="eastAsia" w:hAnsi="Calibri" w:cs="宋体"/>
          <w:kern w:val="2"/>
          <w:szCs w:val="32"/>
          <w:lang w:eastAsia="zh-CN"/>
        </w:rPr>
        <w:t>发行</w:t>
      </w:r>
      <w:r>
        <w:rPr>
          <w:rFonts w:hint="eastAsia" w:hAnsi="Calibri" w:cs="宋体"/>
          <w:kern w:val="2"/>
          <w:szCs w:val="32"/>
        </w:rPr>
        <w:t>窗口，积极争取专项债券额度，加强专项债使用管理</w:t>
      </w:r>
      <w:r>
        <w:rPr>
          <w:rFonts w:hint="eastAsia" w:hAnsi="Calibri" w:cs="宋体"/>
          <w:kern w:val="2"/>
          <w:szCs w:val="32"/>
          <w:lang w:eastAsia="zh-CN"/>
        </w:rPr>
        <w:t>。</w:t>
      </w:r>
    </w:p>
    <w:p w14:paraId="0900CCA8">
      <w:pPr>
        <w:pStyle w:val="3"/>
        <w:keepNext/>
        <w:keepLines w:val="0"/>
        <w:pageBreakBefore w:val="0"/>
        <w:widowControl w:val="0"/>
        <w:kinsoku/>
        <w:wordWrap/>
        <w:overflowPunct w:val="0"/>
        <w:topLinePunct w:val="0"/>
        <w:autoSpaceDE/>
        <w:autoSpaceDN/>
        <w:bidi w:val="0"/>
        <w:adjustRightInd w:val="0"/>
        <w:snapToGrid w:val="0"/>
        <w:spacing w:before="156" w:beforeLines="50" w:after="156" w:afterLines="50" w:line="570" w:lineRule="exact"/>
        <w:ind w:firstLine="0" w:firstLineChars="0"/>
        <w:jc w:val="center"/>
        <w:textAlignment w:val="auto"/>
        <w:rPr>
          <w:rFonts w:hint="eastAsia"/>
          <w:szCs w:val="32"/>
        </w:rPr>
      </w:pPr>
      <w:bookmarkStart w:id="53" w:name="_Toc1704111551"/>
      <w:r>
        <w:rPr>
          <w:rFonts w:hint="eastAsia"/>
          <w:szCs w:val="32"/>
        </w:rPr>
        <w:t>第</w:t>
      </w:r>
      <w:r>
        <w:rPr>
          <w:rFonts w:hint="eastAsia"/>
          <w:szCs w:val="32"/>
          <w:lang w:eastAsia="zh-CN"/>
        </w:rPr>
        <w:t>二</w:t>
      </w:r>
      <w:r>
        <w:rPr>
          <w:rFonts w:hint="eastAsia"/>
          <w:szCs w:val="32"/>
        </w:rPr>
        <w:t>节  打造一流营商环境</w:t>
      </w:r>
      <w:bookmarkEnd w:id="53"/>
    </w:p>
    <w:p w14:paraId="132C123C">
      <w:pPr>
        <w:keepLines w:val="0"/>
        <w:pageBreakBefore w:val="0"/>
        <w:widowControl w:val="0"/>
        <w:kinsoku/>
        <w:wordWrap/>
        <w:overflowPunct/>
        <w:topLinePunct w:val="0"/>
        <w:autoSpaceDE/>
        <w:autoSpaceDN/>
        <w:bidi w:val="0"/>
        <w:adjustRightInd/>
        <w:snapToGrid/>
        <w:spacing w:line="570" w:lineRule="exact"/>
        <w:ind w:firstLine="643"/>
        <w:textAlignment w:val="auto"/>
        <w:rPr>
          <w:rFonts w:hint="eastAsia" w:hAnsi="Calibri" w:eastAsia="仿宋_GB2312" w:cs="宋体"/>
          <w:b/>
          <w:bCs/>
          <w:kern w:val="2"/>
          <w:szCs w:val="32"/>
          <w:lang w:eastAsia="zh-CN"/>
        </w:rPr>
      </w:pPr>
      <w:r>
        <w:rPr>
          <w:rFonts w:hint="eastAsia" w:hAnsi="Calibri" w:cs="宋体"/>
          <w:b w:val="0"/>
          <w:bCs w:val="0"/>
          <w:kern w:val="2"/>
          <w:szCs w:val="32"/>
          <w:lang w:eastAsia="zh-CN"/>
        </w:rPr>
        <w:t>坚持市场化、法治化、</w:t>
      </w:r>
      <w:r>
        <w:rPr>
          <w:rFonts w:hint="eastAsia" w:hAnsi="Calibri" w:cs="宋体"/>
          <w:b w:val="0"/>
          <w:bCs w:val="0"/>
          <w:kern w:val="2"/>
          <w:szCs w:val="32"/>
          <w:lang w:val="en-US" w:eastAsia="zh-CN"/>
        </w:rPr>
        <w:t>国际化</w:t>
      </w:r>
      <w:r>
        <w:rPr>
          <w:rFonts w:hint="eastAsia" w:hAnsi="Calibri" w:cs="宋体"/>
          <w:b w:val="0"/>
          <w:bCs w:val="0"/>
          <w:kern w:val="2"/>
          <w:szCs w:val="32"/>
          <w:lang w:eastAsia="zh-CN"/>
        </w:rPr>
        <w:t>方向，聚焦经营主体需求和群众关切，全面推进服务提质、政策提效，营造稳定、公平、透明、可预期的良好环境。</w:t>
      </w:r>
    </w:p>
    <w:p w14:paraId="5EE1FAC2">
      <w:pPr>
        <w:keepLines w:val="0"/>
        <w:pageBreakBefore w:val="0"/>
        <w:widowControl w:val="0"/>
        <w:kinsoku/>
        <w:wordWrap/>
        <w:overflowPunct/>
        <w:topLinePunct w:val="0"/>
        <w:autoSpaceDE/>
        <w:autoSpaceDN/>
        <w:bidi w:val="0"/>
        <w:adjustRightInd/>
        <w:snapToGrid/>
        <w:spacing w:line="570" w:lineRule="exact"/>
        <w:ind w:firstLine="643"/>
        <w:textAlignment w:val="auto"/>
        <w:rPr>
          <w:rFonts w:hint="eastAsia" w:hAnsi="Calibri" w:cs="宋体"/>
          <w:b/>
          <w:bCs/>
          <w:kern w:val="2"/>
          <w:szCs w:val="32"/>
        </w:rPr>
      </w:pPr>
      <w:r>
        <w:rPr>
          <w:rFonts w:hint="eastAsia" w:ascii="仿宋_GB2312" w:hAnsi="仿宋_GB2312" w:eastAsia="仿宋_GB2312" w:cs="仿宋_GB2312"/>
          <w:b/>
          <w:bCs/>
          <w:color w:val="000000"/>
          <w:sz w:val="32"/>
          <w:szCs w:val="32"/>
        </w:rPr>
        <w:t>打造开放有序的市场环境</w:t>
      </w:r>
      <w:r>
        <w:rPr>
          <w:rFonts w:hint="eastAsia" w:hAnsi="Calibri" w:cs="宋体"/>
          <w:b/>
          <w:bCs/>
          <w:kern w:val="2"/>
          <w:szCs w:val="32"/>
        </w:rPr>
        <w:t>。</w:t>
      </w:r>
      <w:r>
        <w:rPr>
          <w:rFonts w:hint="eastAsia" w:ascii="仿宋_GB2312" w:hAnsi="仿宋_GB2312" w:eastAsia="仿宋_GB2312" w:cs="仿宋_GB2312"/>
          <w:color w:val="000000"/>
          <w:sz w:val="32"/>
          <w:szCs w:val="32"/>
        </w:rPr>
        <w:t>畅通企业准入退出制度，</w:t>
      </w:r>
      <w:r>
        <w:rPr>
          <w:rFonts w:hint="eastAsia" w:hAnsi="Calibri" w:cs="宋体"/>
          <w:kern w:val="2"/>
          <w:szCs w:val="32"/>
        </w:rPr>
        <w:t>严格落实市场准入负面清单制度，推动“非禁即入”普遍落实。</w:t>
      </w:r>
      <w:r>
        <w:rPr>
          <w:rFonts w:hint="eastAsia" w:ascii="仿宋_GB2312" w:hAnsi="仿宋_GB2312" w:eastAsia="仿宋_GB2312" w:cs="仿宋_GB2312"/>
          <w:color w:val="000000"/>
          <w:sz w:val="32"/>
          <w:szCs w:val="32"/>
        </w:rPr>
        <w:t>完善招投标市场规范，优化金融服务体系建设，健全创新创业服务机制。</w:t>
      </w:r>
      <w:r>
        <w:rPr>
          <w:rFonts w:hint="eastAsia" w:ascii="仿宋_GB2312" w:hAnsi="仿宋_GB2312" w:eastAsia="仿宋_GB2312" w:cs="仿宋_GB2312"/>
          <w:color w:val="000000"/>
          <w:sz w:val="32"/>
          <w:szCs w:val="32"/>
          <w:highlight w:val="none"/>
        </w:rPr>
        <w:t>完善社会信用体系建设，</w:t>
      </w:r>
      <w:r>
        <w:rPr>
          <w:rFonts w:hint="eastAsia" w:ascii="仿宋_GB2312" w:hAnsi="仿宋_GB2312" w:eastAsia="仿宋_GB2312" w:cs="仿宋_GB2312"/>
          <w:color w:val="000000"/>
          <w:sz w:val="32"/>
          <w:szCs w:val="32"/>
        </w:rPr>
        <w:t>全面规范涉企监管执法</w:t>
      </w:r>
      <w:r>
        <w:rPr>
          <w:rFonts w:hint="eastAsia" w:cs="仿宋_GB2312"/>
          <w:color w:val="000000"/>
          <w:sz w:val="32"/>
          <w:szCs w:val="32"/>
          <w:lang w:eastAsia="zh-CN"/>
        </w:rPr>
        <w:t>，</w:t>
      </w:r>
      <w:r>
        <w:rPr>
          <w:rFonts w:hint="eastAsia" w:hAnsi="Calibri" w:cs="宋体"/>
          <w:kern w:val="2"/>
          <w:szCs w:val="32"/>
        </w:rPr>
        <w:t>全面推行跨部门综合监管</w:t>
      </w:r>
      <w:r>
        <w:rPr>
          <w:rFonts w:hint="eastAsia" w:hAnsi="Calibri" w:cs="宋体"/>
          <w:kern w:val="2"/>
          <w:szCs w:val="32"/>
          <w:lang w:eastAsia="zh-CN"/>
        </w:rPr>
        <w:t>，探索“无感监管”模式，</w:t>
      </w:r>
      <w:r>
        <w:rPr>
          <w:rFonts w:hint="eastAsia" w:ascii="仿宋_GB2312" w:hAnsi="仿宋_GB2312" w:eastAsia="仿宋_GB2312" w:cs="仿宋_GB2312"/>
          <w:color w:val="000000"/>
          <w:sz w:val="32"/>
          <w:szCs w:val="32"/>
        </w:rPr>
        <w:t>构建“审批+监管+执法+信用”四位一体的审管互动体系</w:t>
      </w:r>
      <w:r>
        <w:rPr>
          <w:rFonts w:hint="eastAsia" w:cs="仿宋_GB2312"/>
          <w:color w:val="000000"/>
          <w:sz w:val="32"/>
          <w:szCs w:val="32"/>
          <w:lang w:eastAsia="zh-CN"/>
        </w:rPr>
        <w:t>，</w:t>
      </w:r>
      <w:r>
        <w:rPr>
          <w:rFonts w:hint="eastAsia" w:ascii="仿宋_GB2312" w:hAnsi="仿宋_GB2312" w:eastAsia="仿宋_GB2312" w:cs="仿宋_GB2312"/>
          <w:color w:val="000000"/>
          <w:sz w:val="32"/>
          <w:szCs w:val="32"/>
        </w:rPr>
        <w:t>完善政府诚信履约机制，切实维护企业合法权益。</w:t>
      </w:r>
      <w:r>
        <w:rPr>
          <w:rFonts w:hAnsi="Calibri" w:cs="宋体"/>
          <w:kern w:val="2"/>
          <w:szCs w:val="32"/>
        </w:rPr>
        <w:t>强化食品药品、安全生产、价格违法</w:t>
      </w:r>
      <w:r>
        <w:rPr>
          <w:rFonts w:hint="eastAsia" w:hAnsi="Calibri" w:cs="宋体"/>
          <w:kern w:val="2"/>
          <w:szCs w:val="32"/>
          <w:lang w:eastAsia="zh-CN"/>
        </w:rPr>
        <w:t>等</w:t>
      </w:r>
      <w:r>
        <w:rPr>
          <w:rFonts w:hAnsi="Calibri" w:cs="宋体"/>
          <w:kern w:val="2"/>
          <w:szCs w:val="32"/>
        </w:rPr>
        <w:t>重点领域监管，运用大数据、人工智能等技术构建风险预警模型，实现</w:t>
      </w:r>
      <w:r>
        <w:rPr>
          <w:rFonts w:hint="eastAsia" w:hAnsi="Calibri" w:cs="宋体"/>
          <w:kern w:val="2"/>
          <w:szCs w:val="32"/>
          <w:highlight w:val="none"/>
          <w:lang w:eastAsia="zh-CN"/>
        </w:rPr>
        <w:t>“</w:t>
      </w:r>
      <w:r>
        <w:rPr>
          <w:rFonts w:hAnsi="Calibri" w:cs="宋体"/>
          <w:kern w:val="2"/>
          <w:szCs w:val="32"/>
          <w:highlight w:val="none"/>
        </w:rPr>
        <w:t>早发现、早处置</w:t>
      </w:r>
      <w:r>
        <w:rPr>
          <w:rFonts w:hint="eastAsia" w:hAnsi="Calibri" w:cs="宋体"/>
          <w:kern w:val="2"/>
          <w:szCs w:val="32"/>
          <w:highlight w:val="none"/>
        </w:rPr>
        <w:t>”</w:t>
      </w:r>
      <w:r>
        <w:rPr>
          <w:rFonts w:hAnsi="Calibri" w:cs="宋体"/>
          <w:kern w:val="2"/>
          <w:szCs w:val="32"/>
        </w:rPr>
        <w:t>。</w:t>
      </w:r>
    </w:p>
    <w:p w14:paraId="24BF1A0E">
      <w:pPr>
        <w:keepNext w:val="0"/>
        <w:keepLines w:val="0"/>
        <w:pageBreakBefore w:val="0"/>
        <w:widowControl w:val="0"/>
        <w:kinsoku/>
        <w:wordWrap/>
        <w:overflowPunct/>
        <w:topLinePunct w:val="0"/>
        <w:autoSpaceDE/>
        <w:autoSpaceDN/>
        <w:bidi w:val="0"/>
        <w:adjustRightInd/>
        <w:snapToGrid/>
        <w:spacing w:line="570" w:lineRule="exact"/>
        <w:ind w:firstLine="643"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打造高效便捷的政务环境</w:t>
      </w:r>
      <w:r>
        <w:rPr>
          <w:rFonts w:hint="eastAsia" w:cs="仿宋_GB2312"/>
          <w:b/>
          <w:bCs/>
          <w:color w:val="000000"/>
          <w:sz w:val="32"/>
          <w:szCs w:val="32"/>
          <w:lang w:eastAsia="zh-CN"/>
        </w:rPr>
        <w:t>。</w:t>
      </w:r>
      <w:r>
        <w:rPr>
          <w:rFonts w:hint="eastAsia" w:cs="仿宋_GB2312"/>
          <w:b w:val="0"/>
          <w:bCs w:val="0"/>
          <w:color w:val="000000"/>
          <w:sz w:val="32"/>
          <w:szCs w:val="32"/>
          <w:lang w:eastAsia="zh-CN"/>
        </w:rPr>
        <w:t>加快打造服务型政府，不断增强服务企业的主体性、及时性，切实优化政务服务体验。</w:t>
      </w:r>
      <w:r>
        <w:rPr>
          <w:rFonts w:hint="eastAsia" w:ascii="仿宋_GB2312" w:hAnsi="仿宋_GB2312" w:eastAsia="仿宋_GB2312" w:cs="仿宋_GB2312"/>
          <w:color w:val="000000"/>
          <w:sz w:val="32"/>
          <w:szCs w:val="32"/>
        </w:rPr>
        <w:t>深化“高效办成一件事”改革，实施“全生命周期”集成服务，创新天桥特色“一件事”场景，加快推进惠企政策“直达快享”</w:t>
      </w:r>
      <w:r>
        <w:rPr>
          <w:rFonts w:hint="eastAsia" w:cs="仿宋_GB2312"/>
          <w:color w:val="000000"/>
          <w:sz w:val="32"/>
          <w:szCs w:val="32"/>
          <w:lang w:eastAsia="zh-CN"/>
        </w:rPr>
        <w:t>、</w:t>
      </w:r>
      <w:r>
        <w:rPr>
          <w:rFonts w:hint="eastAsia" w:ascii="仿宋_GB2312" w:hAnsi="仿宋_GB2312" w:eastAsia="仿宋_GB2312" w:cs="仿宋_GB2312"/>
          <w:color w:val="000000"/>
          <w:sz w:val="32"/>
          <w:szCs w:val="32"/>
        </w:rPr>
        <w:t>“免申即享”。</w:t>
      </w:r>
      <w:r>
        <w:rPr>
          <w:rFonts w:hint="eastAsia" w:hAnsi="Calibri" w:cs="宋体"/>
          <w:kern w:val="2"/>
          <w:szCs w:val="32"/>
        </w:rPr>
        <w:t>深化商事制度改革，推行企业市内跨区迁移“一件事”集成服务，降低制度性交易成本，强化公平竞争审查制度刚性约束。</w:t>
      </w:r>
      <w:r>
        <w:rPr>
          <w:rFonts w:hint="eastAsia" w:ascii="仿宋_GB2312" w:hAnsi="仿宋_GB2312" w:eastAsia="仿宋_GB2312" w:cs="仿宋_GB2312"/>
          <w:color w:val="000000"/>
          <w:sz w:val="32"/>
          <w:szCs w:val="32"/>
        </w:rPr>
        <w:t>打造和谐包容的社会环境，完善政企常态化沟通交流机制，构建“亲清有为”新型政商关系，做到“有事即到、无事不扰”。</w:t>
      </w:r>
    </w:p>
    <w:p w14:paraId="7F40F74E">
      <w:pPr>
        <w:pStyle w:val="3"/>
        <w:keepNext/>
        <w:keepLines w:val="0"/>
        <w:pageBreakBefore w:val="0"/>
        <w:widowControl w:val="0"/>
        <w:kinsoku/>
        <w:wordWrap/>
        <w:overflowPunct w:val="0"/>
        <w:topLinePunct w:val="0"/>
        <w:autoSpaceDE/>
        <w:autoSpaceDN/>
        <w:bidi w:val="0"/>
        <w:adjustRightInd w:val="0"/>
        <w:snapToGrid w:val="0"/>
        <w:spacing w:before="156" w:beforeLines="50" w:after="156" w:afterLines="50" w:line="580" w:lineRule="exact"/>
        <w:ind w:firstLine="0" w:firstLineChars="0"/>
        <w:jc w:val="center"/>
        <w:textAlignment w:val="auto"/>
        <w:rPr>
          <w:rFonts w:hint="eastAsia"/>
          <w:szCs w:val="32"/>
        </w:rPr>
      </w:pPr>
      <w:bookmarkStart w:id="54" w:name="_Toc1960161786"/>
      <w:r>
        <w:rPr>
          <w:rFonts w:hint="eastAsia"/>
          <w:szCs w:val="32"/>
        </w:rPr>
        <w:t>第</w:t>
      </w:r>
      <w:r>
        <w:rPr>
          <w:rFonts w:hint="eastAsia"/>
          <w:szCs w:val="32"/>
          <w:lang w:eastAsia="zh-CN"/>
        </w:rPr>
        <w:t>三</w:t>
      </w:r>
      <w:r>
        <w:rPr>
          <w:rFonts w:hint="eastAsia"/>
          <w:szCs w:val="32"/>
        </w:rPr>
        <w:t>节  提升开放合作水平</w:t>
      </w:r>
      <w:bookmarkEnd w:id="54"/>
    </w:p>
    <w:p w14:paraId="648301FC">
      <w:pPr>
        <w:keepLines w:val="0"/>
        <w:pageBreakBefore w:val="0"/>
        <w:widowControl w:val="0"/>
        <w:kinsoku/>
        <w:wordWrap/>
        <w:overflowPunct/>
        <w:topLinePunct w:val="0"/>
        <w:autoSpaceDE/>
        <w:autoSpaceDN/>
        <w:bidi w:val="0"/>
        <w:adjustRightInd/>
        <w:snapToGrid/>
        <w:spacing w:line="580" w:lineRule="exact"/>
        <w:ind w:firstLine="643"/>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主动融入和服务国家开放大局，实施更大范围、更宽领域、更深层次的对外开放，统筹布局建设服务贸易、产业发展等开放合作平台。</w:t>
      </w:r>
    </w:p>
    <w:p w14:paraId="0FFB3271">
      <w:pPr>
        <w:keepLines w:val="0"/>
        <w:pageBreakBefore w:val="0"/>
        <w:widowControl w:val="0"/>
        <w:kinsoku/>
        <w:wordWrap/>
        <w:overflowPunct/>
        <w:topLinePunct w:val="0"/>
        <w:autoSpaceDE/>
        <w:autoSpaceDN/>
        <w:bidi w:val="0"/>
        <w:adjustRightInd/>
        <w:snapToGrid/>
        <w:spacing w:line="580" w:lineRule="exact"/>
        <w:ind w:firstLine="643"/>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b/>
          <w:bCs/>
          <w:color w:val="000000"/>
          <w:sz w:val="32"/>
          <w:szCs w:val="32"/>
        </w:rPr>
        <w:t>促进外贸扩量提质</w:t>
      </w:r>
      <w:r>
        <w:rPr>
          <w:rFonts w:hint="eastAsia" w:cs="仿宋_GB2312"/>
          <w:b/>
          <w:bCs/>
          <w:color w:val="000000"/>
          <w:sz w:val="32"/>
          <w:szCs w:val="32"/>
          <w:lang w:eastAsia="zh-CN"/>
        </w:rPr>
        <w:t>。</w:t>
      </w:r>
      <w:r>
        <w:rPr>
          <w:rFonts w:hint="eastAsia" w:ascii="仿宋_GB2312" w:hAnsi="仿宋_GB2312" w:eastAsia="仿宋_GB2312" w:cs="仿宋_GB2312"/>
          <w:color w:val="000000"/>
          <w:sz w:val="32"/>
          <w:szCs w:val="32"/>
        </w:rPr>
        <w:t>培育壮大外贸主体，</w:t>
      </w:r>
      <w:r>
        <w:rPr>
          <w:rFonts w:hint="eastAsia"/>
          <w:color w:val="000000" w:themeColor="text1"/>
          <w:szCs w:val="32"/>
          <w:u w:val="none"/>
          <w14:textFill>
            <w14:solidFill>
              <w14:schemeClr w14:val="tx1"/>
            </w14:solidFill>
          </w14:textFill>
        </w:rPr>
        <w:t>用好进博会、广交会等高端平台，</w:t>
      </w:r>
      <w:r>
        <w:rPr>
          <w:rFonts w:hint="eastAsia" w:ascii="仿宋_GB2312" w:hAnsi="仿宋_GB2312" w:eastAsia="仿宋_GB2312" w:cs="仿宋_GB2312"/>
          <w:color w:val="000000"/>
          <w:sz w:val="32"/>
          <w:szCs w:val="32"/>
        </w:rPr>
        <w:t>积极开拓“一带一路”共建国家、RCEP成员国等重点市场份额。大力发展数字贸易、跨境电商、海外仓等新业态，扩大汽车配件、机械设备等出口规模。加快内外贸一体化融合发展，支持企业开展品牌建设和国际化经营。</w:t>
      </w:r>
    </w:p>
    <w:p w14:paraId="51871D57">
      <w:pPr>
        <w:keepLines w:val="0"/>
        <w:pageBreakBefore w:val="0"/>
        <w:widowControl w:val="0"/>
        <w:kinsoku/>
        <w:wordWrap/>
        <w:overflowPunct/>
        <w:topLinePunct w:val="0"/>
        <w:autoSpaceDE/>
        <w:autoSpaceDN/>
        <w:bidi w:val="0"/>
        <w:adjustRightInd/>
        <w:snapToGrid/>
        <w:spacing w:line="580" w:lineRule="exact"/>
        <w:ind w:firstLine="643"/>
        <w:textAlignment w:val="auto"/>
        <w:rPr>
          <w:rFonts w:hint="eastAsia"/>
          <w:color w:val="0000FF"/>
          <w:szCs w:val="32"/>
          <w:u w:val="single"/>
        </w:rPr>
      </w:pPr>
      <w:r>
        <w:rPr>
          <w:rFonts w:hint="eastAsia" w:hAnsi="Calibri" w:cs="宋体"/>
          <w:b/>
          <w:bCs/>
          <w:color w:val="000000" w:themeColor="text1"/>
          <w:kern w:val="2"/>
          <w:szCs w:val="32"/>
          <w:u w:val="none"/>
          <w14:textFill>
            <w14:solidFill>
              <w14:schemeClr w14:val="tx1"/>
            </w14:solidFill>
          </w14:textFill>
        </w:rPr>
        <w:t>提升对外开放水平。</w:t>
      </w:r>
      <w:r>
        <w:rPr>
          <w:rFonts w:hint="eastAsia" w:hAnsi="Calibri" w:cs="宋体"/>
          <w:b w:val="0"/>
          <w:bCs w:val="0"/>
          <w:color w:val="000000" w:themeColor="text1"/>
          <w:kern w:val="2"/>
          <w:szCs w:val="32"/>
          <w:u w:val="none"/>
          <w14:textFill>
            <w14:solidFill>
              <w14:schemeClr w14:val="tx1"/>
            </w14:solidFill>
          </w14:textFill>
        </w:rPr>
        <w:t>聚焦现代产业升级、商业模式创新，充分利用国际先进技术、管理经验，提升制造业、服务业产业能级，搭建强省会中心城区高水平开放平台。建立面向东南亚、日韩、欧美等地区的多元外资引进体系，积极以资本并购、企业境外融资、外商投资企业增资扩股和利润再投资等方式吸引外资，不断扩大利用外资规模、优化利用外资结构。</w:t>
      </w:r>
      <w:bookmarkStart w:id="55" w:name="OLE_LINK12"/>
    </w:p>
    <w:bookmarkEnd w:id="55"/>
    <w:p w14:paraId="40D4A430">
      <w:pPr>
        <w:pStyle w:val="2"/>
        <w:keepNext w:val="0"/>
        <w:keepLines w:val="0"/>
        <w:pageBreakBefore w:val="0"/>
        <w:widowControl w:val="0"/>
        <w:kinsoku/>
        <w:wordWrap/>
        <w:overflowPunct w:val="0"/>
        <w:topLinePunct w:val="0"/>
        <w:autoSpaceDE/>
        <w:autoSpaceDN/>
        <w:bidi w:val="0"/>
        <w:adjustRightInd w:val="0"/>
        <w:snapToGrid w:val="0"/>
        <w:spacing w:before="313" w:beforeLines="100" w:after="313" w:afterLines="100" w:line="600" w:lineRule="exact"/>
        <w:ind w:left="0" w:leftChars="0" w:firstLine="0" w:firstLineChars="0"/>
        <w:jc w:val="center"/>
        <w:textAlignment w:val="auto"/>
        <w:rPr>
          <w:rFonts w:hint="eastAsia" w:ascii="方正小标宋简体" w:hAnsi="方正小标宋简体" w:eastAsia="方正小标宋简体" w:cs="方正小标宋简体"/>
          <w:b w:val="0"/>
          <w:bCs w:val="0"/>
          <w:spacing w:val="-6"/>
          <w:kern w:val="2"/>
          <w:sz w:val="32"/>
          <w:szCs w:val="32"/>
          <w:u w:val="none"/>
          <w:lang w:val="en-US" w:eastAsia="zh-CN"/>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276D91E">
      <w:pPr>
        <w:pStyle w:val="2"/>
        <w:keepNext/>
        <w:keepLines w:val="0"/>
        <w:pageBreakBefore w:val="0"/>
        <w:widowControl w:val="0"/>
        <w:kinsoku/>
        <w:wordWrap/>
        <w:overflowPunct w:val="0"/>
        <w:topLinePunct w:val="0"/>
        <w:autoSpaceDE/>
        <w:autoSpaceDN/>
        <w:bidi w:val="0"/>
        <w:adjustRightInd w:val="0"/>
        <w:snapToGrid w:val="0"/>
        <w:spacing w:before="313" w:beforeLines="100" w:after="313" w:afterLines="100" w:line="580" w:lineRule="exact"/>
        <w:ind w:left="0" w:leftChars="0" w:firstLine="0" w:firstLineChars="0"/>
        <w:jc w:val="center"/>
        <w:textAlignment w:val="auto"/>
        <w:rPr>
          <w:rFonts w:hint="eastAsia" w:ascii="方正小标宋简体" w:hAnsi="方正小标宋简体" w:eastAsia="方正小标宋简体" w:cs="方正小标宋简体"/>
          <w:b w:val="0"/>
          <w:bCs w:val="0"/>
          <w:spacing w:val="-6"/>
          <w:kern w:val="2"/>
          <w:sz w:val="32"/>
          <w:szCs w:val="32"/>
          <w:u w:val="none"/>
          <w:lang w:val="en-US" w:eastAsia="zh-CN"/>
        </w:rPr>
      </w:pPr>
      <w:bookmarkStart w:id="56" w:name="_Toc785465283"/>
      <w:r>
        <w:rPr>
          <w:rFonts w:hint="eastAsia" w:ascii="方正小标宋简体" w:hAnsi="方正小标宋简体" w:eastAsia="方正小标宋简体" w:cs="方正小标宋简体"/>
          <w:b w:val="0"/>
          <w:bCs w:val="0"/>
          <w:spacing w:val="-6"/>
          <w:kern w:val="2"/>
          <w:sz w:val="32"/>
          <w:szCs w:val="32"/>
          <w:u w:val="none"/>
          <w:lang w:val="en-US" w:eastAsia="zh-CN"/>
        </w:rPr>
        <w:t>第九章 加快绿色低碳转型</w:t>
      </w:r>
      <w:bookmarkEnd w:id="56"/>
    </w:p>
    <w:p w14:paraId="628FA8CF">
      <w:pPr>
        <w:keepNext w:val="0"/>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640" w:firstLineChars="200"/>
        <w:jc w:val="left"/>
        <w:textAlignment w:val="auto"/>
        <w:outlineLvl w:val="9"/>
        <w:rPr>
          <w:rFonts w:hint="eastAsia" w:ascii="仿宋_GB2312" w:hAnsi="仿宋_GB2312" w:eastAsia="仿宋_GB2312" w:cs="仿宋_GB2312"/>
          <w:color w:val="000000"/>
          <w:sz w:val="32"/>
          <w:szCs w:val="32"/>
        </w:rPr>
      </w:pPr>
      <w:bookmarkStart w:id="57" w:name="_Toc1825306731"/>
      <w:bookmarkStart w:id="58" w:name="_Toc29181"/>
      <w:r>
        <w:rPr>
          <w:rFonts w:hint="eastAsia" w:ascii="仿宋_GB2312" w:hAnsi="仿宋_GB2312" w:eastAsia="仿宋_GB2312" w:cs="仿宋_GB2312"/>
          <w:color w:val="000000"/>
          <w:sz w:val="32"/>
          <w:szCs w:val="32"/>
        </w:rPr>
        <w:t>牢固树立和践行绿水青山就是金山银山的理念，协同推进降碳减污扩绿增长，筑牢生态安全屏障，增强绿色发展动能。</w:t>
      </w:r>
      <w:bookmarkEnd w:id="57"/>
    </w:p>
    <w:p w14:paraId="344FC115">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59" w:name="_Toc827960687"/>
      <w:r>
        <w:rPr>
          <w:rFonts w:hint="eastAsia"/>
          <w:b w:val="0"/>
          <w:bCs w:val="0"/>
          <w:sz w:val="32"/>
          <w:szCs w:val="32"/>
          <w:u w:val="none"/>
          <w:lang w:val="en-US" w:eastAsia="zh-CN"/>
        </w:rPr>
        <w:t>第一节  持续深入推进污染防治攻坚</w:t>
      </w:r>
      <w:bookmarkEnd w:id="59"/>
    </w:p>
    <w:p w14:paraId="5637823E">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0" w:firstLineChars="200"/>
        <w:textAlignment w:val="auto"/>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color w:val="000000"/>
          <w:sz w:val="32"/>
          <w:szCs w:val="32"/>
        </w:rPr>
        <w:t>全面落实精准科学依法治污，更加注重源头治理，强化减污降碳协同、多污染物控制协同、区域治理协同，深入打好蓝天、碧水、净土保卫战。</w:t>
      </w:r>
    </w:p>
    <w:p w14:paraId="225449C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3" w:firstLineChars="200"/>
        <w:textAlignment w:val="auto"/>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加强大气污染防治。</w:t>
      </w:r>
      <w:r>
        <w:rPr>
          <w:rFonts w:hint="eastAsia" w:ascii="仿宋_GB2312" w:hAnsi="仿宋_GB2312" w:eastAsia="仿宋_GB2312" w:cs="仿宋_GB2312"/>
          <w:kern w:val="2"/>
          <w:sz w:val="32"/>
          <w:szCs w:val="32"/>
          <w:lang w:val="en-US" w:eastAsia="zh-CN" w:bidi="ar-SA"/>
        </w:rPr>
        <w:t>加强重点区域、重点时段、重点领域、重点行业治理，</w:t>
      </w:r>
      <w:r>
        <w:rPr>
          <w:rFonts w:hint="eastAsia" w:cs="仿宋_GB2312"/>
          <w:color w:val="000000"/>
          <w:sz w:val="32"/>
          <w:szCs w:val="32"/>
          <w:lang w:val="en-US" w:eastAsia="zh-CN"/>
        </w:rPr>
        <w:t>强化</w:t>
      </w:r>
      <w:r>
        <w:rPr>
          <w:rFonts w:hint="eastAsia" w:ascii="仿宋_GB2312" w:hAnsi="仿宋_GB2312" w:eastAsia="仿宋_GB2312" w:cs="仿宋_GB2312"/>
          <w:color w:val="000000"/>
          <w:sz w:val="32"/>
          <w:szCs w:val="32"/>
        </w:rPr>
        <w:t>细颗粒物和臭氧协同控制，严控挥发性有机物排放，强化扬尘、油烟、汽车尾气等污染源头控制，完善重污染天气应对机制，降低细颗粒物浓度水平。</w:t>
      </w:r>
      <w:r>
        <w:rPr>
          <w:rFonts w:hint="eastAsia" w:ascii="仿宋_GB2312" w:hAnsi="仿宋_GB2312" w:eastAsia="仿宋_GB2312" w:cs="仿宋_GB2312"/>
          <w:kern w:val="2"/>
          <w:sz w:val="32"/>
          <w:szCs w:val="32"/>
          <w:lang w:val="en-US" w:eastAsia="zh-CN" w:bidi="ar-SA"/>
        </w:rPr>
        <w:t>加大对城市道路的清扫保洁力度，落实京津冀及周边区域大气污染联防联控机制和应急措施，推动大气污染物排放总量持续削减、环境空气质量稳定改善、重污染天气达到上级下达序时进度。</w:t>
      </w:r>
    </w:p>
    <w:p w14:paraId="63FBB9C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3" w:firstLineChars="200"/>
        <w:textAlignment w:val="auto"/>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全面提升水环境质量。</w:t>
      </w:r>
      <w:r>
        <w:rPr>
          <w:rFonts w:hint="eastAsia" w:ascii="仿宋_GB2312" w:hAnsi="仿宋_GB2312" w:eastAsia="仿宋_GB2312" w:cs="仿宋_GB2312"/>
          <w:kern w:val="2"/>
          <w:sz w:val="32"/>
          <w:szCs w:val="32"/>
          <w:lang w:val="en-US" w:eastAsia="zh-CN" w:bidi="ar-SA"/>
        </w:rPr>
        <w:t>强化水资源保护与节约集约利用，狠抓工业水污染防治、黑臭水体动态整治、城市面源污染防治。积极推动水生态恢复，</w:t>
      </w:r>
      <w:r>
        <w:rPr>
          <w:rFonts w:hint="eastAsia" w:ascii="仿宋_GB2312" w:hAnsi="仿宋_GB2312" w:eastAsia="仿宋_GB2312" w:cs="仿宋_GB2312"/>
          <w:sz w:val="32"/>
          <w:szCs w:val="32"/>
          <w:lang w:val="en-US" w:eastAsia="zh-CN"/>
        </w:rPr>
        <w:t>推进入河排污口溯源整治和城市污水处理厂建设和提标改造</w:t>
      </w:r>
      <w:r>
        <w:rPr>
          <w:rFonts w:hint="eastAsia" w:ascii="仿宋_GB2312" w:hAnsi="仿宋_GB2312" w:eastAsia="仿宋_GB2312" w:cs="仿宋_GB2312"/>
          <w:kern w:val="2"/>
          <w:sz w:val="32"/>
          <w:szCs w:val="32"/>
          <w:lang w:val="en-US" w:eastAsia="zh-CN" w:bidi="ar-SA"/>
        </w:rPr>
        <w:t>，加强河道垃圾清理整治，实现重点流域及湖库水域垃圾动态清零。落实河湖长制，完善美丽河湖长效管理机制，持续推进河湖生态环境治理改善。探索加强入海河流总氮管控，全面改善城区水生态环境，彰显泉城水环境特色。</w:t>
      </w:r>
    </w:p>
    <w:p w14:paraId="54790629">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3" w:firstLineChars="200"/>
        <w:textAlignment w:val="auto"/>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严守土壤环境安全底线。</w:t>
      </w:r>
      <w:r>
        <w:rPr>
          <w:rFonts w:hint="eastAsia" w:ascii="仿宋_GB2312" w:hAnsi="仿宋_GB2312" w:eastAsia="仿宋_GB2312" w:cs="仿宋_GB2312"/>
          <w:kern w:val="2"/>
          <w:sz w:val="32"/>
          <w:szCs w:val="32"/>
          <w:lang w:val="en-US" w:eastAsia="zh-CN" w:bidi="ar-SA"/>
        </w:rPr>
        <w:t>严控新增土壤污染，强化土壤和地下水污染协同防治能力，落实耕地土壤环境分类管理、受污染建设用地风险管控和修复名录管理制度，持续推进农用地安全利用，永久基本农田集中区域禁止规划建设可能造成土壤污染的建设项目，严格管控农药、化工等行业的重度污染地块规划用途，全力推动济南裕兴化工原厂区土壤污染风险管控和修复项目，确保土壤环境质量不下降。到2030年，受污染耕地安全利用率保持100%，重点建设用地安全利用得到有效保障。</w:t>
      </w:r>
    </w:p>
    <w:p w14:paraId="5C7C188A">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eastAsia"/>
          <w:b w:val="0"/>
          <w:bCs w:val="0"/>
          <w:sz w:val="32"/>
          <w:szCs w:val="32"/>
          <w:u w:val="none"/>
          <w:lang w:val="en-US" w:eastAsia="zh-CN"/>
        </w:rPr>
      </w:pPr>
      <w:r>
        <w:rPr>
          <w:rFonts w:hint="eastAsia" w:ascii="仿宋_GB2312" w:hAnsi="仿宋_GB2312" w:eastAsia="仿宋_GB2312" w:cs="仿宋_GB2312"/>
          <w:b/>
          <w:bCs/>
          <w:kern w:val="2"/>
          <w:sz w:val="32"/>
          <w:szCs w:val="32"/>
          <w:lang w:val="en-US" w:eastAsia="zh-CN" w:bidi="ar-SA"/>
        </w:rPr>
        <w:t>强化固体废物和新污染物治理。</w:t>
      </w:r>
      <w:r>
        <w:rPr>
          <w:rFonts w:hint="eastAsia" w:ascii="仿宋_GB2312" w:hAnsi="仿宋_GB2312" w:eastAsia="仿宋_GB2312" w:cs="仿宋_GB2312"/>
          <w:kern w:val="2"/>
          <w:sz w:val="32"/>
          <w:szCs w:val="32"/>
          <w:lang w:val="en-US" w:eastAsia="zh-CN" w:bidi="ar-SA"/>
        </w:rPr>
        <w:t>加强危险废物</w:t>
      </w:r>
      <w:r>
        <w:rPr>
          <w:rFonts w:hint="eastAsia"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医疗废物安全处置，加大重金属污染防控力度，促进固体废物减量化、资源化、无害化。</w:t>
      </w:r>
      <w:r>
        <w:rPr>
          <w:rFonts w:hint="eastAsia" w:ascii="仿宋_GB2312" w:hAnsi="仿宋_GB2312" w:eastAsia="仿宋_GB2312" w:cs="仿宋_GB2312"/>
          <w:color w:val="000000"/>
          <w:sz w:val="32"/>
          <w:szCs w:val="32"/>
        </w:rPr>
        <w:t>深化环境风险隐患排查和风险评估，提升环境应急处置能力。</w:t>
      </w:r>
      <w:r>
        <w:rPr>
          <w:rFonts w:hint="eastAsia" w:ascii="仿宋_GB2312" w:hAnsi="仿宋_GB2312" w:eastAsia="仿宋_GB2312" w:cs="仿宋_GB2312"/>
          <w:kern w:val="2"/>
          <w:sz w:val="32"/>
          <w:szCs w:val="32"/>
          <w:lang w:val="en-US" w:eastAsia="zh-CN" w:bidi="ar-SA"/>
        </w:rPr>
        <w:t>落实有毒有害化学物质的淘汰和限制措施，强化绿色替代品和替代技术的推广应用，严厉打击持久性有机污染物的非法生产和使用等违法行为。</w:t>
      </w:r>
    </w:p>
    <w:p w14:paraId="5DAAC94F">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60" w:name="_Toc1394153750"/>
      <w:r>
        <w:rPr>
          <w:rFonts w:hint="eastAsia"/>
          <w:b w:val="0"/>
          <w:bCs w:val="0"/>
          <w:sz w:val="32"/>
          <w:szCs w:val="32"/>
          <w:u w:val="none"/>
          <w:lang w:val="en-US" w:eastAsia="zh-CN"/>
        </w:rPr>
        <w:t>第二节  加强生态保护监管</w:t>
      </w:r>
      <w:bookmarkEnd w:id="60"/>
    </w:p>
    <w:p w14:paraId="5ECB9C9C">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0" w:firstLineChars="200"/>
        <w:textAlignment w:val="auto"/>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坚持山水林田湖草沙系统治理，着力提高生态系统自我修复能力和稳定性，守住自然生态安全边界。</w:t>
      </w:r>
    </w:p>
    <w:p w14:paraId="0BC42F8E">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3" w:firstLineChars="200"/>
        <w:textAlignment w:val="auto"/>
        <w:outlineLvl w:val="9"/>
        <w:rPr>
          <w:rFonts w:hint="eastAsia" w:ascii="仿宋_GB2312" w:hAnsi="仿宋_GB2312" w:eastAsia="仿宋_GB2312" w:cs="仿宋_GB2312"/>
          <w:color w:val="000000" w:themeColor="text1"/>
          <w:kern w:val="2"/>
          <w:sz w:val="32"/>
          <w:szCs w:val="32"/>
          <w:u w:val="none" w:color="auto"/>
          <w:lang w:val="en-US" w:eastAsia="zh-CN" w:bidi="ar-SA"/>
          <w14:textFill>
            <w14:solidFill>
              <w14:schemeClr w14:val="tx1"/>
            </w14:solidFill>
          </w14:textFill>
        </w:rPr>
      </w:pPr>
      <w:r>
        <w:rPr>
          <w:rFonts w:hint="eastAsia" w:ascii="仿宋_GB2312" w:hAnsi="仿宋_GB2312" w:eastAsia="仿宋_GB2312" w:cs="仿宋_GB2312"/>
          <w:b/>
          <w:bCs/>
          <w:kern w:val="2"/>
          <w:sz w:val="32"/>
          <w:szCs w:val="32"/>
          <w:u w:val="none" w:color="auto"/>
          <w:lang w:val="en-US" w:eastAsia="zh-CN" w:bidi="ar-SA"/>
        </w:rPr>
        <w:t>保护修复自然生态系统。</w:t>
      </w:r>
      <w:r>
        <w:rPr>
          <w:rFonts w:hint="eastAsia" w:ascii="仿宋_GB2312" w:hAnsi="仿宋_GB2312" w:eastAsia="仿宋_GB2312" w:cs="仿宋_GB2312"/>
          <w:color w:val="000000"/>
          <w:sz w:val="32"/>
          <w:szCs w:val="32"/>
        </w:rPr>
        <w:t>加强生物多样性资源调查和保护工作。</w:t>
      </w:r>
      <w:r>
        <w:rPr>
          <w:rFonts w:hint="eastAsia" w:ascii="仿宋_GB2312" w:hAnsi="仿宋_GB2312" w:eastAsia="仿宋_GB2312" w:cs="仿宋_GB2312"/>
          <w:kern w:val="2"/>
          <w:sz w:val="32"/>
          <w:szCs w:val="32"/>
          <w:lang w:val="en-US" w:eastAsia="zh-CN" w:bidi="ar-SA"/>
        </w:rPr>
        <w:t>严守生态保护红线、城镇开发边界，落实生态环境分区管控方案，规范国土空间开发行为。加快发展方式绿色转型，推进“四减四增”，聚力破解生态环境保护结构性矛盾问题。</w:t>
      </w:r>
      <w:r>
        <w:rPr>
          <w:rFonts w:hint="eastAsia" w:ascii="仿宋_GB2312" w:hAnsi="仿宋_GB2312" w:eastAsia="仿宋_GB2312" w:cs="仿宋_GB2312"/>
          <w:color w:val="000000" w:themeColor="text1"/>
          <w:kern w:val="2"/>
          <w:sz w:val="32"/>
          <w:szCs w:val="32"/>
          <w:u w:val="none" w:color="auto"/>
          <w:lang w:val="en-US" w:eastAsia="zh-CN" w:bidi="ar-SA"/>
          <w14:textFill>
            <w14:solidFill>
              <w14:schemeClr w14:val="tx1"/>
            </w14:solidFill>
          </w14:textFill>
        </w:rPr>
        <w:t>健全生态产品价值实现机制。</w:t>
      </w:r>
    </w:p>
    <w:p w14:paraId="64831833">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3" w:firstLineChars="20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themeColor="text1"/>
          <w:kern w:val="2"/>
          <w:sz w:val="32"/>
          <w:szCs w:val="32"/>
          <w:u w:val="none" w:color="auto"/>
          <w:lang w:val="en-US" w:eastAsia="zh-CN" w:bidi="ar-SA"/>
          <w14:textFill>
            <w14:solidFill>
              <w14:schemeClr w14:val="tx1"/>
            </w14:solidFill>
          </w14:textFill>
        </w:rPr>
        <w:t>构筑全域生态安全格局</w:t>
      </w:r>
      <w:r>
        <w:rPr>
          <w:rFonts w:hint="eastAsia" w:cs="仿宋_GB2312"/>
          <w:color w:val="000000" w:themeColor="text1"/>
          <w:kern w:val="2"/>
          <w:sz w:val="32"/>
          <w:szCs w:val="32"/>
          <w:u w:val="none" w:color="auto"/>
          <w:lang w:val="en-US" w:eastAsia="zh-CN" w:bidi="ar-SA"/>
          <w14:textFill>
            <w14:solidFill>
              <w14:schemeClr w14:val="tx1"/>
            </w14:solidFill>
          </w14:textFill>
        </w:rPr>
        <w:t>。</w:t>
      </w:r>
      <w:r>
        <w:rPr>
          <w:rFonts w:hint="eastAsia" w:ascii="仿宋_GB2312" w:hAnsi="仿宋_GB2312" w:eastAsia="仿宋_GB2312" w:cs="仿宋_GB2312"/>
          <w:color w:val="000000"/>
          <w:sz w:val="32"/>
          <w:szCs w:val="32"/>
        </w:rPr>
        <w:t>构筑“两带六廊、一园多点”生态环境保护性开发格局，黄河生态风貌带、小清河生态景观带以生态保护和修复为前提建设滨河生态系统，不断提升东泺河、工商河等6条辖区支流水环境质量，着力打造北郊森林公园特色生态资源集中分布区与重要生态源地，统筹提升药山、五龙潭等山体公园、绿地公园、重要泉眼的生态功能和城市服务功能。</w:t>
      </w:r>
    </w:p>
    <w:p w14:paraId="6D5A82ED">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61" w:name="_Toc1466639301"/>
      <w:r>
        <w:rPr>
          <w:rFonts w:hint="eastAsia"/>
          <w:b w:val="0"/>
          <w:bCs w:val="0"/>
          <w:sz w:val="32"/>
          <w:szCs w:val="32"/>
          <w:u w:val="none"/>
          <w:lang w:val="en-US" w:eastAsia="zh-CN"/>
        </w:rPr>
        <w:t>第三节  推动生产生活方式绿色转型</w:t>
      </w:r>
      <w:bookmarkEnd w:id="61"/>
    </w:p>
    <w:p w14:paraId="4C8DD928">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0"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cs="仿宋_GB2312"/>
          <w:b w:val="0"/>
          <w:bCs w:val="0"/>
          <w:kern w:val="2"/>
          <w:sz w:val="32"/>
          <w:szCs w:val="32"/>
          <w:lang w:val="en-US" w:eastAsia="zh-CN" w:bidi="ar-SA"/>
        </w:rPr>
        <w:t>以</w:t>
      </w:r>
      <w:r>
        <w:rPr>
          <w:rFonts w:hint="eastAsia" w:ascii="仿宋_GB2312" w:hAnsi="仿宋_GB2312" w:eastAsia="仿宋_GB2312" w:cs="仿宋_GB2312"/>
          <w:b w:val="0"/>
          <w:bCs w:val="0"/>
          <w:kern w:val="2"/>
          <w:sz w:val="32"/>
          <w:szCs w:val="32"/>
          <w:lang w:val="en-US" w:eastAsia="zh-CN" w:bidi="ar-SA"/>
        </w:rPr>
        <w:t>碳达峰碳中和</w:t>
      </w:r>
      <w:r>
        <w:rPr>
          <w:rFonts w:hint="eastAsia" w:cs="仿宋_GB2312"/>
          <w:b w:val="0"/>
          <w:bCs w:val="0"/>
          <w:kern w:val="2"/>
          <w:sz w:val="32"/>
          <w:szCs w:val="32"/>
          <w:lang w:val="en-US" w:eastAsia="zh-CN" w:bidi="ar-SA"/>
        </w:rPr>
        <w:t>为牵引，</w:t>
      </w:r>
      <w:r>
        <w:rPr>
          <w:rFonts w:hint="eastAsia" w:ascii="仿宋_GB2312" w:hAnsi="仿宋_GB2312" w:eastAsia="仿宋_GB2312" w:cs="仿宋_GB2312"/>
          <w:b w:val="0"/>
          <w:bCs w:val="0"/>
          <w:kern w:val="2"/>
          <w:sz w:val="32"/>
          <w:szCs w:val="32"/>
          <w:lang w:val="en-US" w:eastAsia="zh-CN" w:bidi="ar-SA"/>
        </w:rPr>
        <w:t>加快构建节约资源和保护环境的产业结构、生产方式、生活方式。</w:t>
      </w:r>
    </w:p>
    <w:p w14:paraId="76061A8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643" w:firstLineChars="20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加快重点行业绿色改造升级</w:t>
      </w:r>
      <w:r>
        <w:rPr>
          <w:rFonts w:hint="eastAsia" w:cs="仿宋_GB2312"/>
          <w:b/>
          <w:bCs/>
          <w:color w:val="000000"/>
          <w:sz w:val="32"/>
          <w:szCs w:val="32"/>
          <w:lang w:eastAsia="zh-CN"/>
        </w:rPr>
        <w:t>。</w:t>
      </w:r>
      <w:r>
        <w:rPr>
          <w:rFonts w:hint="eastAsia" w:ascii="仿宋_GB2312" w:hAnsi="仿宋_GB2312" w:eastAsia="仿宋_GB2312" w:cs="仿宋_GB2312"/>
          <w:color w:val="000000"/>
          <w:sz w:val="32"/>
          <w:szCs w:val="32"/>
        </w:rPr>
        <w:t>深化绿色工厂建设，</w:t>
      </w:r>
      <w:r>
        <w:rPr>
          <w:rFonts w:hint="eastAsia" w:cs="仿宋_GB2312"/>
          <w:color w:val="000000"/>
          <w:sz w:val="32"/>
          <w:szCs w:val="32"/>
          <w:lang w:eastAsia="zh-CN"/>
        </w:rPr>
        <w:t>坚决遏制高耗能、高排放项目盲目发展</w:t>
      </w:r>
      <w:r>
        <w:rPr>
          <w:rFonts w:hint="eastAsia" w:ascii="仿宋_GB2312" w:hAnsi="仿宋_GB2312" w:eastAsia="仿宋_GB2312" w:cs="仿宋_GB2312"/>
          <w:color w:val="000000"/>
          <w:sz w:val="32"/>
          <w:szCs w:val="32"/>
        </w:rPr>
        <w:t>。严格合理控制煤炭消费总量，有序推进电站锅炉关停退出。加快发展循环经济，积极推进“无废城市”建设。增强新型功能材料、建筑新材料的研发、生产等各环节创新能力，开展既有建筑和市政基础设施节能降碳改造，</w:t>
      </w:r>
      <w:r>
        <w:rPr>
          <w:rFonts w:hint="eastAsia" w:cs="仿宋_GB2312"/>
          <w:color w:val="000000"/>
          <w:sz w:val="32"/>
          <w:szCs w:val="32"/>
          <w:lang w:eastAsia="zh-CN"/>
        </w:rPr>
        <w:t>大力发展装配式建筑，</w:t>
      </w:r>
      <w:r>
        <w:rPr>
          <w:rFonts w:hint="eastAsia" w:ascii="仿宋_GB2312" w:hAnsi="仿宋_GB2312" w:eastAsia="仿宋_GB2312" w:cs="仿宋_GB2312"/>
          <w:kern w:val="2"/>
          <w:sz w:val="32"/>
          <w:szCs w:val="32"/>
          <w:lang w:val="en-US" w:eastAsia="zh-CN" w:bidi="ar-SA"/>
        </w:rPr>
        <w:t>因地制宜推动光伏、生物质、地热等可再生能源发展</w:t>
      </w:r>
      <w:r>
        <w:rPr>
          <w:rFonts w:hint="eastAsia" w:cs="仿宋_GB2312"/>
          <w:kern w:val="2"/>
          <w:sz w:val="32"/>
          <w:szCs w:val="32"/>
          <w:lang w:val="en-US" w:eastAsia="zh-CN" w:bidi="ar-SA"/>
        </w:rPr>
        <w:t>，</w:t>
      </w:r>
      <w:r>
        <w:rPr>
          <w:rFonts w:hint="eastAsia" w:ascii="仿宋_GB2312" w:hAnsi="仿宋_GB2312" w:eastAsia="仿宋_GB2312" w:cs="仿宋_GB2312"/>
          <w:color w:val="000000" w:themeColor="text1"/>
          <w:kern w:val="2"/>
          <w:sz w:val="32"/>
          <w:szCs w:val="32"/>
          <w:u w:val="none"/>
          <w:lang w:val="en-US" w:eastAsia="zh-CN" w:bidi="ar-SA"/>
          <w14:textFill>
            <w14:solidFill>
              <w14:schemeClr w14:val="tx1"/>
            </w14:solidFill>
          </w14:textFill>
        </w:rPr>
        <w:t>积极发展清洁低碳供暖，</w:t>
      </w:r>
      <w:r>
        <w:rPr>
          <w:rFonts w:hint="eastAsia" w:ascii="仿宋_GB2312" w:hAnsi="仿宋_GB2312" w:eastAsia="仿宋_GB2312" w:cs="仿宋_GB2312"/>
          <w:color w:val="000000"/>
          <w:sz w:val="32"/>
          <w:szCs w:val="32"/>
        </w:rPr>
        <w:t>布局建设一批绿色低碳停车场、超充桩等设施。</w:t>
      </w:r>
    </w:p>
    <w:p w14:paraId="57981EDC">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themeColor="text1"/>
          <w:kern w:val="2"/>
          <w:sz w:val="32"/>
          <w:szCs w:val="32"/>
          <w:u w:val="none"/>
          <w:lang w:val="en-US" w:eastAsia="zh-CN" w:bidi="ar-SA"/>
          <w14:textFill>
            <w14:solidFill>
              <w14:schemeClr w14:val="tx1"/>
            </w14:solidFill>
          </w14:textFill>
        </w:rPr>
        <w:t>积极开展绿色创建和公众参与活动。</w:t>
      </w:r>
      <w:r>
        <w:rPr>
          <w:rFonts w:hint="eastAsia" w:ascii="仿宋_GB2312" w:hAnsi="仿宋_GB2312" w:eastAsia="仿宋_GB2312" w:cs="仿宋_GB2312"/>
          <w:color w:val="000000" w:themeColor="text1"/>
          <w:kern w:val="2"/>
          <w:sz w:val="32"/>
          <w:szCs w:val="32"/>
          <w:u w:val="none"/>
          <w:lang w:val="en-US" w:eastAsia="zh-CN" w:bidi="ar-SA"/>
          <w14:textFill>
            <w14:solidFill>
              <w14:schemeClr w14:val="tx1"/>
            </w14:solidFill>
          </w14:textFill>
        </w:rPr>
        <w:t>大力倡导简约适度、绿色低碳的生活方式，深入开展反食品浪费、绿色出行、垃圾分类等社会宣传与主题实践，推广节能节水器具、绿色产品认证与共享经济模式。广泛开展节约型机关、绿色家庭、绿色学校、绿色社区等创建行动，搭建“线上+线下”公众参与平台与绿色生活积分激励机制，拓展生态体验、自然教育、低碳公益等实践载体。</w:t>
      </w:r>
      <w:r>
        <w:rPr>
          <w:rFonts w:hint="eastAsia" w:ascii="仿宋_GB2312" w:hAnsi="仿宋_GB2312" w:eastAsia="仿宋_GB2312" w:cs="仿宋_GB2312"/>
          <w:color w:val="000000"/>
          <w:sz w:val="32"/>
          <w:szCs w:val="32"/>
        </w:rPr>
        <w:t>完善生态文明教育体系，提升公众生态文化意识。</w:t>
      </w:r>
    </w:p>
    <w:bookmarkEnd w:id="58"/>
    <w:p w14:paraId="05530407">
      <w:pPr>
        <w:keepNext w:val="0"/>
        <w:keepLines w:val="0"/>
        <w:pageBreakBefore w:val="0"/>
        <w:widowControl w:val="0"/>
        <w:kinsoku/>
        <w:wordWrap/>
        <w:overflowPunct w:val="0"/>
        <w:topLinePunct w:val="0"/>
        <w:autoSpaceDE/>
        <w:autoSpaceDN/>
        <w:bidi w:val="0"/>
        <w:adjustRightInd w:val="0"/>
        <w:snapToGrid w:val="0"/>
        <w:spacing w:before="313" w:beforeLines="100" w:beforeAutospacing="0" w:after="313" w:afterLines="100" w:line="600" w:lineRule="exact"/>
        <w:ind w:left="0" w:leftChars="0" w:firstLine="0" w:firstLineChars="0"/>
        <w:jc w:val="left"/>
        <w:textAlignment w:val="auto"/>
        <w:outlineLvl w:val="0"/>
        <w:rPr>
          <w:rFonts w:hint="default" w:ascii="方正小标宋简体" w:hAnsi="方正小标宋简体" w:eastAsia="方正小标宋简体" w:cs="方正小标宋简体"/>
          <w:b w:val="0"/>
          <w:bCs w:val="0"/>
          <w:color w:val="auto"/>
          <w:kern w:val="2"/>
          <w:sz w:val="32"/>
          <w:szCs w:val="40"/>
          <w:lang w:val="en-US" w:eastAsia="zh-CN"/>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662AD0D6">
      <w:pPr>
        <w:keepNext/>
        <w:keepLines w:val="0"/>
        <w:pageBreakBefore w:val="0"/>
        <w:widowControl w:val="0"/>
        <w:kinsoku/>
        <w:wordWrap/>
        <w:overflowPunct w:val="0"/>
        <w:topLinePunct w:val="0"/>
        <w:autoSpaceDE/>
        <w:autoSpaceDN/>
        <w:bidi w:val="0"/>
        <w:adjustRightInd w:val="0"/>
        <w:snapToGrid w:val="0"/>
        <w:spacing w:before="313" w:beforeLines="100" w:beforeAutospacing="0" w:after="313" w:afterLines="100" w:line="580" w:lineRule="exact"/>
        <w:ind w:left="0" w:leftChars="0" w:firstLine="0" w:firstLineChars="0"/>
        <w:jc w:val="center"/>
        <w:textAlignment w:val="auto"/>
        <w:outlineLvl w:val="0"/>
        <w:rPr>
          <w:rFonts w:hint="eastAsia" w:ascii="方正小标宋简体" w:hAnsi="方正小标宋简体" w:eastAsia="方正小标宋简体" w:cs="方正小标宋简体"/>
          <w:b w:val="0"/>
          <w:bCs w:val="0"/>
          <w:color w:val="auto"/>
          <w:kern w:val="2"/>
          <w:sz w:val="32"/>
          <w:szCs w:val="40"/>
          <w:lang w:val="en-US" w:eastAsia="zh-CN"/>
        </w:rPr>
      </w:pPr>
      <w:bookmarkStart w:id="62" w:name="_Toc1260876381"/>
      <w:r>
        <w:rPr>
          <w:rFonts w:hint="eastAsia" w:ascii="方正小标宋简体" w:hAnsi="方正小标宋简体" w:eastAsia="方正小标宋简体" w:cs="方正小标宋简体"/>
          <w:b w:val="0"/>
          <w:bCs w:val="0"/>
          <w:color w:val="auto"/>
          <w:kern w:val="2"/>
          <w:sz w:val="32"/>
          <w:szCs w:val="40"/>
          <w:lang w:val="en-US" w:eastAsia="zh-CN"/>
        </w:rPr>
        <w:t>第十章  激发文化创新创造活力</w:t>
      </w:r>
      <w:bookmarkEnd w:id="62"/>
    </w:p>
    <w:p w14:paraId="30D39C3C">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围绕举旗帜、聚民心、育新人、兴文化、展形象的使命任务，深入践行社会主义核心价值观，凝聚加快建设现代化强区的强大精神力量。</w:t>
      </w:r>
    </w:p>
    <w:p w14:paraId="339EA48C">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63" w:name="_Toc2017665839"/>
      <w:r>
        <w:rPr>
          <w:rFonts w:hint="eastAsia"/>
          <w:b w:val="0"/>
          <w:bCs w:val="0"/>
          <w:sz w:val="32"/>
          <w:szCs w:val="32"/>
          <w:u w:val="none"/>
          <w:lang w:val="en-US" w:eastAsia="zh-CN"/>
        </w:rPr>
        <w:t xml:space="preserve">第一节  </w:t>
      </w:r>
      <w:r>
        <w:rPr>
          <w:rFonts w:hint="eastAsia" w:ascii="楷体_GB2312" w:hAnsi="楷体_GB2312" w:eastAsia="楷体_GB2312" w:cs="楷体_GB2312"/>
          <w:color w:val="000000"/>
          <w:sz w:val="32"/>
          <w:szCs w:val="32"/>
        </w:rPr>
        <w:t>弘扬和践行社会主义核心价值观</w:t>
      </w:r>
      <w:bookmarkEnd w:id="63"/>
    </w:p>
    <w:p w14:paraId="00C1FE92">
      <w:pPr>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坚持以社会主义核心价值观为引领，深化群众性精神文明创建，加强公民道德建设，全面提升市民文明素养和社会文明程度，构筑道德风尚建设高地。</w:t>
      </w:r>
    </w:p>
    <w:p w14:paraId="2614AC71">
      <w:pPr>
        <w:keepLines w:val="0"/>
        <w:pageBreakBefore w:val="0"/>
        <w:widowControl w:val="0"/>
        <w:kinsoku/>
        <w:wordWrap/>
        <w:overflowPunct/>
        <w:topLinePunct w:val="0"/>
        <w:autoSpaceDE/>
        <w:autoSpaceDN/>
        <w:bidi w:val="0"/>
        <w:adjustRightInd/>
        <w:snapToGrid/>
        <w:spacing w:line="580" w:lineRule="exact"/>
        <w:ind w:firstLine="643" w:firstLineChars="200"/>
        <w:textAlignment w:val="auto"/>
        <w:outlineLvl w:val="9"/>
        <w:rPr>
          <w:rFonts w:hint="eastAsia" w:cs="仿宋_GB2312"/>
          <w:sz w:val="32"/>
          <w:szCs w:val="32"/>
          <w:lang w:eastAsia="zh-CN"/>
        </w:rPr>
      </w:pPr>
      <w:r>
        <w:rPr>
          <w:rFonts w:hint="eastAsia" w:ascii="仿宋_GB2312" w:hAnsi="仿宋_GB2312" w:eastAsia="仿宋_GB2312" w:cs="仿宋_GB2312"/>
          <w:b/>
          <w:bCs/>
          <w:sz w:val="32"/>
          <w:szCs w:val="32"/>
        </w:rPr>
        <w:t>加强党的创新理论学习和宣传教育</w:t>
      </w:r>
      <w:r>
        <w:rPr>
          <w:rFonts w:hint="eastAsia" w:cs="仿宋_GB2312"/>
          <w:b/>
          <w:bCs/>
          <w:sz w:val="32"/>
          <w:szCs w:val="32"/>
          <w:lang w:eastAsia="zh-CN"/>
        </w:rPr>
        <w:t>。</w:t>
      </w:r>
      <w:r>
        <w:rPr>
          <w:rFonts w:hint="eastAsia" w:ascii="仿宋_GB2312" w:hAnsi="仿宋_GB2312" w:eastAsia="仿宋_GB2312" w:cs="仿宋_GB2312"/>
          <w:sz w:val="32"/>
          <w:szCs w:val="32"/>
        </w:rPr>
        <w:t>坚持不懈用习近平新时代中国特色社会主义思想凝心铸魂。深化“理蕴天桥”宣讲品牌矩阵建设，以社会主义核心价值观引领文化建设，涵养全区人民昂扬奋发的精神气质。加强和改进思想政治工作，推进校园文化建设，加强未成年人思想道德建设。加强廉洁文化建设，营造崇廉拒腐的良好风尚。</w:t>
      </w:r>
      <w:r>
        <w:rPr>
          <w:rFonts w:hint="eastAsia" w:cs="仿宋_GB2312"/>
          <w:sz w:val="32"/>
          <w:szCs w:val="32"/>
          <w:lang w:eastAsia="zh-CN"/>
        </w:rPr>
        <w:t>加强党校基础设施、队伍和人才建设，加快推进区委党校阵地建设，</w:t>
      </w:r>
      <w:r>
        <w:rPr>
          <w:rFonts w:hint="eastAsia" w:ascii="仿宋_GB2312" w:hAnsi="仿宋_GB2312" w:eastAsia="仿宋_GB2312" w:cs="仿宋_GB2312"/>
          <w:sz w:val="32"/>
          <w:szCs w:val="32"/>
          <w:lang w:val="en-US" w:eastAsia="zh-CN"/>
        </w:rPr>
        <w:t>发挥党校、党史研究中心等思想理论工作平台作用，深化拓展马克思主义理论研究和宣传教育。</w:t>
      </w:r>
    </w:p>
    <w:p w14:paraId="75F398AB">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color w:val="auto"/>
          <w:kern w:val="2"/>
          <w:sz w:val="32"/>
          <w:szCs w:val="32"/>
          <w:lang w:val="en-US" w:eastAsia="zh-CN"/>
        </w:rPr>
      </w:pPr>
      <w:r>
        <w:rPr>
          <w:rFonts w:hint="eastAsia" w:cs="仿宋_GB2312"/>
          <w:b/>
          <w:bCs/>
          <w:color w:val="auto"/>
          <w:kern w:val="2"/>
          <w:sz w:val="32"/>
          <w:szCs w:val="32"/>
          <w:lang w:val="en-US" w:eastAsia="zh-CN"/>
        </w:rPr>
        <w:t>深入推进精神文明建设。</w:t>
      </w:r>
      <w:r>
        <w:rPr>
          <w:rFonts w:hint="eastAsia" w:ascii="仿宋_GB2312" w:hAnsi="仿宋_GB2312" w:eastAsia="仿宋_GB2312" w:cs="仿宋_GB2312"/>
          <w:sz w:val="32"/>
          <w:szCs w:val="32"/>
        </w:rPr>
        <w:t>统筹城市文明和文明乡风建设，用好新时代文明实践</w:t>
      </w:r>
      <w:r>
        <w:rPr>
          <w:rFonts w:hint="eastAsia" w:cs="仿宋_GB2312"/>
          <w:sz w:val="32"/>
          <w:szCs w:val="32"/>
          <w:lang w:eastAsia="zh-CN"/>
        </w:rPr>
        <w:t>阵地</w:t>
      </w:r>
      <w:r>
        <w:rPr>
          <w:rFonts w:hint="eastAsia" w:ascii="仿宋_GB2312" w:hAnsi="仿宋_GB2312" w:eastAsia="仿宋_GB2312" w:cs="仿宋_GB2312"/>
          <w:sz w:val="32"/>
          <w:szCs w:val="32"/>
        </w:rPr>
        <w:t>，提高群众文明素养和社会文明程度。</w:t>
      </w:r>
      <w:r>
        <w:rPr>
          <w:rFonts w:hint="eastAsia" w:cs="仿宋_GB2312"/>
          <w:color w:val="auto"/>
          <w:kern w:val="2"/>
          <w:sz w:val="32"/>
          <w:szCs w:val="32"/>
          <w:lang w:val="en-US" w:eastAsia="zh-CN"/>
        </w:rPr>
        <w:t>突出抓好典型选树宣传工作，常态化开展身边好人、道德模范等挖掘选树活动。依托新时代文明实践三级阵地体系，常态化开展理论宣讲、移风易俗等实践活动，推动文明理念融入日常、化为习惯。深化文明创建工作，开展文明餐桌、文明交通、文明养犬等市民素养提升行动，推动文明理念融入日常生活。</w:t>
      </w:r>
      <w:r>
        <w:rPr>
          <w:rFonts w:hint="eastAsia" w:ascii="仿宋_GB2312" w:hAnsi="仿宋_GB2312" w:eastAsia="仿宋_GB2312" w:cs="仿宋_GB2312"/>
          <w:sz w:val="32"/>
          <w:szCs w:val="32"/>
          <w:lang w:val="en-US" w:eastAsia="zh-CN"/>
        </w:rPr>
        <w:t>加强网络文明建设，发展积极健康的网络文化。深化双拥共建，巩固发展军政军民团结</w:t>
      </w:r>
      <w:r>
        <w:rPr>
          <w:rFonts w:hint="eastAsia" w:cs="仿宋_GB2312"/>
          <w:sz w:val="32"/>
          <w:szCs w:val="32"/>
          <w:lang w:val="en-US" w:eastAsia="zh-CN"/>
        </w:rPr>
        <w:t>。</w:t>
      </w:r>
    </w:p>
    <w:p w14:paraId="2EBD7D36">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64" w:name="_Toc68505969"/>
      <w:r>
        <w:rPr>
          <w:rFonts w:hint="eastAsia"/>
          <w:b w:val="0"/>
          <w:bCs w:val="0"/>
          <w:sz w:val="32"/>
          <w:szCs w:val="32"/>
          <w:u w:val="none"/>
          <w:lang w:val="en-US" w:eastAsia="zh-CN"/>
        </w:rPr>
        <w:t>第二节  繁荣发展文化事业</w:t>
      </w:r>
      <w:bookmarkEnd w:id="64"/>
    </w:p>
    <w:p w14:paraId="12258F7E">
      <w:pPr>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深入实施文化惠民工程，健全现代公共文化服务体系，以数字化赋能文化服务创新，推动优质文化资源向基层延伸，满足广大人民群众日益增长的精神文化需求。</w:t>
      </w:r>
    </w:p>
    <w:p w14:paraId="5CCDEE57">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color w:val="auto"/>
          <w:kern w:val="2"/>
          <w:sz w:val="32"/>
          <w:szCs w:val="32"/>
          <w:lang w:val="en-US" w:eastAsia="zh-CN"/>
        </w:rPr>
        <w:t>丰富优质文化产品供给</w:t>
      </w:r>
      <w:r>
        <w:rPr>
          <w:rFonts w:hint="eastAsia" w:cs="仿宋_GB2312"/>
          <w:color w:val="auto"/>
          <w:kern w:val="2"/>
          <w:sz w:val="32"/>
          <w:szCs w:val="32"/>
          <w:lang w:val="en-US" w:eastAsia="zh-CN"/>
        </w:rPr>
        <w:t>。</w:t>
      </w:r>
      <w:r>
        <w:rPr>
          <w:rFonts w:hint="eastAsia" w:ascii="仿宋_GB2312" w:hAnsi="仿宋_GB2312" w:eastAsia="仿宋_GB2312" w:cs="仿宋_GB2312"/>
          <w:sz w:val="32"/>
          <w:szCs w:val="32"/>
        </w:rPr>
        <w:t>实施文化文艺精品工程，</w:t>
      </w:r>
      <w:r>
        <w:rPr>
          <w:rFonts w:hint="eastAsia" w:ascii="仿宋_GB2312" w:hAnsi="仿宋_GB2312" w:eastAsia="仿宋_GB2312" w:cs="仿宋_GB2312"/>
          <w:color w:val="auto"/>
          <w:kern w:val="2"/>
          <w:sz w:val="32"/>
          <w:szCs w:val="32"/>
          <w:lang w:val="en-US" w:eastAsia="zh-CN"/>
        </w:rPr>
        <w:t>鼓励开发文创产品</w:t>
      </w:r>
      <w:r>
        <w:rPr>
          <w:rFonts w:hint="eastAsia" w:cs="仿宋_GB2312"/>
          <w:color w:val="auto"/>
          <w:kern w:val="2"/>
          <w:sz w:val="32"/>
          <w:szCs w:val="32"/>
          <w:lang w:val="en-US" w:eastAsia="zh-CN"/>
        </w:rPr>
        <w:t>，</w:t>
      </w:r>
      <w:r>
        <w:rPr>
          <w:rFonts w:hint="eastAsia" w:ascii="仿宋_GB2312" w:hAnsi="仿宋_GB2312" w:eastAsia="仿宋_GB2312" w:cs="仿宋_GB2312"/>
          <w:sz w:val="32"/>
          <w:szCs w:val="32"/>
        </w:rPr>
        <w:t>提升文化原创能力，营造良好文化生态。</w:t>
      </w:r>
      <w:r>
        <w:rPr>
          <w:rFonts w:hint="eastAsia" w:ascii="仿宋_GB2312" w:hAnsi="仿宋_GB2312" w:eastAsia="仿宋_GB2312" w:cs="仿宋_GB2312"/>
          <w:sz w:val="32"/>
          <w:szCs w:val="32"/>
          <w:lang w:val="en-US" w:eastAsia="zh-CN"/>
        </w:rPr>
        <w:t>创新推进红色文化传承与发展，增强中共济南市委重建地、中共济南乡师党史陈列室等各类教育基地的时代性和感召力。</w:t>
      </w:r>
      <w:r>
        <w:rPr>
          <w:rFonts w:hint="eastAsia" w:ascii="仿宋_GB2312" w:hAnsi="仿宋_GB2312" w:eastAsia="仿宋_GB2312" w:cs="仿宋_GB2312"/>
          <w:sz w:val="32"/>
          <w:szCs w:val="32"/>
        </w:rPr>
        <w:t>加强对文保单位和历史文化街区有效保护和活态传承</w:t>
      </w:r>
      <w:r>
        <w:rPr>
          <w:rFonts w:hint="eastAsia" w:cs="仿宋_GB2312"/>
          <w:sz w:val="32"/>
          <w:szCs w:val="32"/>
          <w:lang w:eastAsia="zh-CN"/>
        </w:rPr>
        <w:t>，</w:t>
      </w:r>
      <w:r>
        <w:rPr>
          <w:rFonts w:hint="eastAsia" w:cs="仿宋_GB2312"/>
          <w:sz w:val="32"/>
          <w:szCs w:val="32"/>
          <w:lang w:val="en-US" w:eastAsia="zh-CN"/>
        </w:rPr>
        <w:t>强化</w:t>
      </w:r>
      <w:r>
        <w:rPr>
          <w:rFonts w:hint="eastAsia" w:ascii="仿宋_GB2312" w:hAnsi="仿宋_GB2312" w:eastAsia="仿宋_GB2312" w:cs="仿宋_GB2312"/>
          <w:sz w:val="32"/>
          <w:szCs w:val="32"/>
          <w:lang w:val="en-US" w:eastAsia="zh-CN"/>
        </w:rPr>
        <w:t>文化品牌提升和推广。</w:t>
      </w:r>
    </w:p>
    <w:p w14:paraId="77B463B8">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color w:val="auto"/>
          <w:kern w:val="2"/>
          <w:sz w:val="32"/>
          <w:szCs w:val="32"/>
          <w:lang w:val="en-US" w:eastAsia="zh-CN"/>
        </w:rPr>
        <w:t>推进公共文化设施全覆盖</w:t>
      </w:r>
      <w:r>
        <w:rPr>
          <w:rFonts w:hint="eastAsia" w:cs="仿宋_GB2312"/>
          <w:color w:val="auto"/>
          <w:kern w:val="2"/>
          <w:sz w:val="32"/>
          <w:szCs w:val="32"/>
          <w:lang w:val="en-US" w:eastAsia="zh-CN"/>
        </w:rPr>
        <w:t>。</w:t>
      </w:r>
      <w:r>
        <w:rPr>
          <w:rFonts w:hint="eastAsia" w:ascii="仿宋_GB2312" w:hAnsi="仿宋_GB2312" w:eastAsia="仿宋_GB2312" w:cs="仿宋_GB2312"/>
          <w:sz w:val="32"/>
          <w:szCs w:val="32"/>
        </w:rPr>
        <w:t>健全公共文化服务体系，</w:t>
      </w:r>
      <w:r>
        <w:rPr>
          <w:rFonts w:hint="eastAsia" w:ascii="仿宋_GB2312" w:hAnsi="仿宋_GB2312" w:eastAsia="仿宋_GB2312" w:cs="仿宋_GB2312"/>
          <w:sz w:val="32"/>
          <w:szCs w:val="32"/>
          <w:lang w:val="en-US" w:eastAsia="zh-CN"/>
        </w:rPr>
        <w:t>织密三级公共文化设施网络，</w:t>
      </w:r>
      <w:r>
        <w:rPr>
          <w:rFonts w:hint="eastAsia" w:ascii="仿宋_GB2312" w:hAnsi="仿宋_GB2312" w:eastAsia="仿宋_GB2312" w:cs="仿宋_GB2312"/>
          <w:color w:val="auto"/>
          <w:kern w:val="2"/>
          <w:sz w:val="32"/>
          <w:szCs w:val="32"/>
          <w:lang w:val="en-US" w:eastAsia="zh-CN"/>
        </w:rPr>
        <w:t>推动公共文化设施开展体验式、互动式活动</w:t>
      </w:r>
      <w:r>
        <w:rPr>
          <w:rFonts w:hint="eastAsia" w:cs="仿宋_GB2312"/>
          <w:color w:val="auto"/>
          <w:kern w:val="2"/>
          <w:sz w:val="32"/>
          <w:szCs w:val="32"/>
          <w:lang w:val="en-US" w:eastAsia="zh-CN"/>
        </w:rPr>
        <w:t>，</w:t>
      </w:r>
      <w:r>
        <w:rPr>
          <w:rFonts w:hint="eastAsia" w:ascii="仿宋_GB2312" w:hAnsi="仿宋_GB2312" w:eastAsia="仿宋_GB2312" w:cs="仿宋_GB2312"/>
          <w:sz w:val="32"/>
          <w:szCs w:val="32"/>
          <w:lang w:val="en-US" w:eastAsia="zh-CN"/>
        </w:rPr>
        <w:t>提升公共文化服务均衡化、优质化水平。</w:t>
      </w:r>
      <w:r>
        <w:rPr>
          <w:rFonts w:hint="eastAsia" w:ascii="仿宋_GB2312" w:hAnsi="仿宋_GB2312" w:eastAsia="仿宋_GB2312" w:cs="仿宋_GB2312"/>
          <w:color w:val="auto"/>
          <w:kern w:val="2"/>
          <w:sz w:val="32"/>
          <w:szCs w:val="32"/>
          <w:lang w:val="en-US" w:eastAsia="zh-CN"/>
        </w:rPr>
        <w:t>统筹推进新型公共文化空间建设，</w:t>
      </w:r>
      <w:r>
        <w:rPr>
          <w:rFonts w:hint="eastAsia" w:ascii="仿宋_GB2312" w:hAnsi="仿宋_GB2312" w:eastAsia="仿宋_GB2312" w:cs="仿宋_GB2312"/>
          <w:sz w:val="32"/>
          <w:szCs w:val="32"/>
          <w:highlight w:val="none"/>
        </w:rPr>
        <w:t>打造“书香社区”等微型公共空间，</w:t>
      </w:r>
      <w:r>
        <w:rPr>
          <w:rFonts w:hint="eastAsia" w:ascii="仿宋_GB2312" w:hAnsi="仿宋_GB2312" w:eastAsia="仿宋_GB2312" w:cs="仿宋_GB2312"/>
          <w:sz w:val="32"/>
          <w:szCs w:val="32"/>
        </w:rPr>
        <w:t>构建“15分钟公共文化服务圈”。</w:t>
      </w:r>
      <w:r>
        <w:rPr>
          <w:rFonts w:hint="eastAsia" w:ascii="仿宋_GB2312" w:hAnsi="仿宋_GB2312" w:eastAsia="仿宋_GB2312" w:cs="仿宋_GB2312"/>
          <w:sz w:val="32"/>
          <w:szCs w:val="32"/>
          <w:lang w:val="en-US" w:eastAsia="zh-CN"/>
        </w:rPr>
        <w:t>广泛开展群众性文化活动，</w:t>
      </w:r>
      <w:r>
        <w:rPr>
          <w:rFonts w:hint="eastAsia" w:ascii="仿宋_GB2312" w:hAnsi="仿宋_GB2312" w:eastAsia="仿宋_GB2312" w:cs="仿宋_GB2312"/>
          <w:color w:val="auto"/>
          <w:kern w:val="2"/>
          <w:sz w:val="32"/>
          <w:szCs w:val="32"/>
          <w:lang w:val="en-US" w:eastAsia="zh-CN"/>
        </w:rPr>
        <w:t>满足群众便捷性、舒适性、品质化需求。</w:t>
      </w:r>
      <w:r>
        <w:rPr>
          <w:rFonts w:hint="eastAsia" w:ascii="仿宋_GB2312" w:hAnsi="仿宋_GB2312" w:eastAsia="仿宋_GB2312" w:cs="仿宋_GB2312"/>
          <w:sz w:val="32"/>
          <w:szCs w:val="32"/>
          <w:lang w:val="en-US" w:eastAsia="zh-CN"/>
        </w:rPr>
        <w:t>完善体育健身设施，大力发展全民健身和竞技体育。</w:t>
      </w:r>
    </w:p>
    <w:p w14:paraId="3B0FE455">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b/>
          <w:bCs/>
          <w:color w:val="auto"/>
          <w:kern w:val="2"/>
          <w:sz w:val="32"/>
          <w:szCs w:val="32"/>
          <w:lang w:val="en-US" w:eastAsia="zh-CN"/>
        </w:rPr>
      </w:pPr>
      <w:r>
        <w:rPr>
          <w:rFonts w:hint="eastAsia" w:ascii="仿宋_GB2312" w:hAnsi="仿宋_GB2312" w:eastAsia="仿宋_GB2312" w:cs="仿宋_GB2312"/>
          <w:b/>
          <w:bCs/>
          <w:color w:val="auto"/>
          <w:kern w:val="2"/>
          <w:sz w:val="32"/>
          <w:szCs w:val="32"/>
          <w:lang w:val="en-US" w:eastAsia="zh-CN"/>
        </w:rPr>
        <w:t>提升天桥城市形象传播力和影响力。</w:t>
      </w:r>
      <w:r>
        <w:rPr>
          <w:rFonts w:hint="eastAsia" w:ascii="仿宋_GB2312" w:hAnsi="仿宋_GB2312" w:eastAsia="仿宋_GB2312" w:cs="仿宋_GB2312"/>
          <w:b w:val="0"/>
          <w:bCs w:val="0"/>
          <w:color w:val="auto"/>
          <w:kern w:val="2"/>
          <w:sz w:val="32"/>
          <w:szCs w:val="32"/>
          <w:lang w:val="en-US" w:eastAsia="zh-CN"/>
        </w:rPr>
        <w:t>提升天桥城市形象美誉度认可度</w:t>
      </w:r>
      <w:r>
        <w:rPr>
          <w:rFonts w:hint="eastAsia" w:cs="仿宋_GB2312"/>
          <w:b w:val="0"/>
          <w:bCs w:val="0"/>
          <w:color w:val="auto"/>
          <w:kern w:val="2"/>
          <w:sz w:val="32"/>
          <w:szCs w:val="32"/>
          <w:lang w:val="en-US" w:eastAsia="zh-CN"/>
        </w:rPr>
        <w:t>，</w:t>
      </w:r>
      <w:r>
        <w:rPr>
          <w:rFonts w:hint="eastAsia" w:ascii="仿宋_GB2312" w:hAnsi="仿宋_GB2312" w:eastAsia="仿宋_GB2312" w:cs="仿宋_GB2312"/>
          <w:b w:val="0"/>
          <w:bCs w:val="0"/>
          <w:color w:val="auto"/>
          <w:kern w:val="2"/>
          <w:sz w:val="32"/>
          <w:szCs w:val="32"/>
          <w:lang w:val="en-US" w:eastAsia="zh-CN"/>
        </w:rPr>
        <w:t>深入挖掘黄河文脉、泉水魅力、</w:t>
      </w:r>
      <w:r>
        <w:rPr>
          <w:rFonts w:hint="eastAsia" w:cs="仿宋_GB2312"/>
          <w:b w:val="0"/>
          <w:bCs w:val="0"/>
          <w:color w:val="auto"/>
          <w:kern w:val="2"/>
          <w:sz w:val="32"/>
          <w:szCs w:val="32"/>
          <w:highlight w:val="none"/>
          <w:lang w:val="en-US" w:eastAsia="zh-CN"/>
        </w:rPr>
        <w:t>工商</w:t>
      </w:r>
      <w:r>
        <w:rPr>
          <w:rFonts w:hint="eastAsia" w:ascii="仿宋_GB2312" w:hAnsi="仿宋_GB2312" w:eastAsia="仿宋_GB2312" w:cs="仿宋_GB2312"/>
          <w:b w:val="0"/>
          <w:bCs w:val="0"/>
          <w:color w:val="auto"/>
          <w:kern w:val="2"/>
          <w:sz w:val="32"/>
          <w:szCs w:val="32"/>
          <w:highlight w:val="none"/>
          <w:lang w:val="en-US" w:eastAsia="zh-CN"/>
        </w:rPr>
        <w:t>文化</w:t>
      </w:r>
      <w:r>
        <w:rPr>
          <w:rFonts w:hint="eastAsia" w:ascii="仿宋_GB2312" w:hAnsi="仿宋_GB2312" w:eastAsia="仿宋_GB2312" w:cs="仿宋_GB2312"/>
          <w:b w:val="0"/>
          <w:bCs w:val="0"/>
          <w:color w:val="auto"/>
          <w:kern w:val="2"/>
          <w:sz w:val="32"/>
          <w:szCs w:val="32"/>
          <w:lang w:val="en-US" w:eastAsia="zh-CN"/>
        </w:rPr>
        <w:t>等天桥特色文化资源，打造具有鲜明天桥标识的文化符号，不断提升城市文化软实力。扩大“如约天桥”宣传品牌影响力，讲好天桥故事，激发广大干部群众的认同感、归属感和使命感，凝聚起自强不息、顽强奋斗的强大精神力量。</w:t>
      </w:r>
      <w:r>
        <w:rPr>
          <w:rFonts w:hint="eastAsia" w:ascii="仿宋_GB2312" w:hAnsi="仿宋_GB2312" w:eastAsia="仿宋_GB2312" w:cs="仿宋_GB2312"/>
          <w:sz w:val="32"/>
          <w:szCs w:val="32"/>
        </w:rPr>
        <w:t>强化新闻宣传和网络舆论一体化管理，提高主流媒体舆论引导能力。</w:t>
      </w:r>
    </w:p>
    <w:p w14:paraId="774A736F">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65" w:name="_Toc2137954460"/>
      <w:r>
        <w:rPr>
          <w:rFonts w:hint="eastAsia"/>
          <w:b w:val="0"/>
          <w:bCs w:val="0"/>
          <w:sz w:val="32"/>
          <w:szCs w:val="32"/>
          <w:u w:val="none"/>
          <w:lang w:val="en-US" w:eastAsia="zh-CN"/>
        </w:rPr>
        <w:t>第三节  加快发展文化产业</w:t>
      </w:r>
      <w:bookmarkEnd w:id="65"/>
    </w:p>
    <w:p w14:paraId="6F11F200">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以推动文化产业高质量发展为主题，深化文化创意与科技创新融合，培育新型文化业态，全面提升天桥文化软实力和产业竞争力。</w:t>
      </w:r>
    </w:p>
    <w:p w14:paraId="0C5D30BB">
      <w:pPr>
        <w:keepLines w:val="0"/>
        <w:pageBreakBefore w:val="0"/>
        <w:widowControl w:val="0"/>
        <w:kinsoku/>
        <w:wordWrap/>
        <w:overflowPunct/>
        <w:topLinePunct w:val="0"/>
        <w:autoSpaceDE/>
        <w:autoSpaceDN/>
        <w:bidi w:val="0"/>
        <w:adjustRightInd/>
        <w:snapToGrid/>
        <w:spacing w:line="580" w:lineRule="exact"/>
        <w:ind w:firstLine="643" w:firstLineChars="200"/>
        <w:textAlignment w:val="auto"/>
        <w:outlineLvl w:val="9"/>
        <w:rPr>
          <w:rFonts w:hint="eastAsia" w:ascii="仿宋_GB2312" w:hAnsi="仿宋_GB2312" w:eastAsia="仿宋_GB2312" w:cs="仿宋_GB2312"/>
          <w:sz w:val="32"/>
          <w:szCs w:val="32"/>
          <w:lang w:eastAsia="zh-CN"/>
        </w:rPr>
      </w:pPr>
      <w:r>
        <w:rPr>
          <w:rFonts w:hint="eastAsia" w:cs="仿宋_GB2312"/>
          <w:b/>
          <w:bCs/>
          <w:color w:val="auto"/>
          <w:kern w:val="2"/>
          <w:sz w:val="32"/>
          <w:szCs w:val="32"/>
          <w:lang w:val="en-US" w:eastAsia="zh-CN"/>
        </w:rPr>
        <w:t>健全完善文化产业发展体系。</w:t>
      </w:r>
      <w:r>
        <w:rPr>
          <w:rFonts w:hint="eastAsia" w:ascii="仿宋_GB2312" w:hAnsi="仿宋_GB2312" w:eastAsia="仿宋_GB2312" w:cs="仿宋_GB2312"/>
          <w:sz w:val="32"/>
          <w:szCs w:val="32"/>
          <w:lang w:eastAsia="zh-CN"/>
        </w:rPr>
        <w:t>优化天桥区文化产业空间布局，</w:t>
      </w:r>
      <w:r>
        <w:rPr>
          <w:rFonts w:hint="eastAsia" w:ascii="仿宋_GB2312" w:hAnsi="仿宋_GB2312" w:eastAsia="仿宋_GB2312" w:cs="仿宋_GB2312"/>
          <w:sz w:val="32"/>
          <w:szCs w:val="32"/>
          <w:highlight w:val="none"/>
          <w:lang w:val="en-US" w:eastAsia="zh-CN"/>
        </w:rPr>
        <w:t>重点培育创意设计、网络视听等新兴业态，做强骨干文化企业与特色品牌，</w:t>
      </w:r>
      <w:r>
        <w:rPr>
          <w:rFonts w:hint="eastAsia" w:ascii="仿宋_GB2312" w:hAnsi="仿宋_GB2312" w:eastAsia="仿宋_GB2312" w:cs="仿宋_GB2312"/>
          <w:sz w:val="32"/>
          <w:szCs w:val="32"/>
        </w:rPr>
        <w:t>提升</w:t>
      </w:r>
      <w:r>
        <w:rPr>
          <w:rFonts w:hint="eastAsia" w:ascii="仿宋_GB2312" w:hAnsi="仿宋_GB2312" w:eastAsia="仿宋_GB2312" w:cs="仿宋_GB2312"/>
          <w:color w:val="000000" w:themeColor="text1"/>
          <w:sz w:val="32"/>
          <w:szCs w:val="32"/>
          <w:u w:val="none"/>
          <w14:textFill>
            <w14:solidFill>
              <w14:schemeClr w14:val="tx1"/>
            </w14:solidFill>
          </w14:textFill>
        </w:rPr>
        <w:t>1922电竞新媒体产业园、D17文化创意产业园等</w:t>
      </w:r>
      <w:r>
        <w:rPr>
          <w:rFonts w:hint="eastAsia" w:ascii="仿宋_GB2312" w:hAnsi="仿宋_GB2312" w:eastAsia="仿宋_GB2312" w:cs="仿宋_GB2312"/>
          <w:sz w:val="32"/>
          <w:szCs w:val="32"/>
          <w:highlight w:val="none"/>
          <w:lang w:val="en-US" w:eastAsia="zh-CN"/>
        </w:rPr>
        <w:t>文化产业园区</w:t>
      </w:r>
      <w:r>
        <w:rPr>
          <w:rFonts w:hint="eastAsia" w:ascii="仿宋_GB2312" w:hAnsi="仿宋_GB2312" w:eastAsia="仿宋_GB2312" w:cs="仿宋_GB2312"/>
          <w:sz w:val="32"/>
          <w:szCs w:val="32"/>
        </w:rPr>
        <w:t>产业载体能级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立足服装、家居等行业优势，打造文化活动品牌，持续提升“济南时装周”品牌影响力，有效激发市场需求，为城市消费升级注入新活力。</w:t>
      </w:r>
      <w:r>
        <w:rPr>
          <w:rFonts w:hint="eastAsia" w:ascii="仿宋_GB2312" w:hAnsi="仿宋_GB2312" w:eastAsia="仿宋_GB2312" w:cs="仿宋_GB2312"/>
          <w:sz w:val="32"/>
          <w:szCs w:val="32"/>
          <w:lang w:val="en-US" w:eastAsia="zh-CN"/>
        </w:rPr>
        <w:t>培育</w:t>
      </w:r>
      <w:r>
        <w:rPr>
          <w:rFonts w:hint="eastAsia" w:ascii="仿宋_GB2312" w:hAnsi="仿宋_GB2312" w:eastAsia="仿宋_GB2312" w:cs="仿宋_GB2312"/>
          <w:sz w:val="32"/>
          <w:szCs w:val="32"/>
          <w:lang w:eastAsia="zh-CN"/>
        </w:rPr>
        <w:t>数字文化产业</w:t>
      </w:r>
      <w:r>
        <w:rPr>
          <w:rFonts w:hint="eastAsia" w:cs="仿宋_GB2312"/>
          <w:sz w:val="32"/>
          <w:szCs w:val="32"/>
          <w:lang w:eastAsia="zh-CN"/>
        </w:rPr>
        <w:t>，</w:t>
      </w:r>
      <w:r>
        <w:rPr>
          <w:rFonts w:hint="eastAsia" w:ascii="仿宋_GB2312" w:hAnsi="仿宋_GB2312" w:eastAsia="仿宋_GB2312" w:cs="仿宋_GB2312"/>
          <w:color w:val="auto"/>
          <w:sz w:val="32"/>
          <w:szCs w:val="32"/>
          <w:lang w:val="en-US" w:eastAsia="zh-CN"/>
        </w:rPr>
        <w:t>丰富公共文化机构数字资源内容，提高数字资源质量，</w:t>
      </w:r>
      <w:r>
        <w:rPr>
          <w:rFonts w:hint="eastAsia" w:ascii="仿宋_GB2312" w:hAnsi="仿宋_GB2312" w:eastAsia="仿宋_GB2312" w:cs="仿宋_GB2312"/>
          <w:sz w:val="32"/>
          <w:szCs w:val="32"/>
          <w:highlight w:val="none"/>
          <w:lang w:val="en-US" w:eastAsia="zh-CN"/>
        </w:rPr>
        <w:t>加强数字图书馆、档案馆、职工书屋等公共文化空间的建设</w:t>
      </w:r>
      <w:r>
        <w:rPr>
          <w:rFonts w:hint="eastAsia" w:ascii="仿宋_GB2312" w:hAnsi="仿宋_GB2312" w:eastAsia="仿宋_GB2312" w:cs="仿宋_GB2312"/>
          <w:color w:val="auto"/>
          <w:sz w:val="32"/>
          <w:szCs w:val="32"/>
          <w:lang w:val="en-US" w:eastAsia="zh-CN"/>
        </w:rPr>
        <w:t>，提升文化服务可及性和互动性。</w:t>
      </w:r>
      <w:r>
        <w:rPr>
          <w:rFonts w:hint="eastAsia" w:cs="仿宋_GB2312"/>
          <w:color w:val="auto"/>
          <w:sz w:val="32"/>
          <w:szCs w:val="32"/>
          <w:lang w:val="en-US" w:eastAsia="zh-CN"/>
        </w:rPr>
        <w:t>支持</w:t>
      </w:r>
      <w:r>
        <w:rPr>
          <w:rFonts w:hint="eastAsia" w:ascii="仿宋_GB2312" w:hAnsi="仿宋_GB2312" w:eastAsia="仿宋_GB2312" w:cs="仿宋_GB2312"/>
          <w:color w:val="auto"/>
          <w:sz w:val="32"/>
          <w:szCs w:val="32"/>
          <w:lang w:val="en-US" w:eastAsia="zh-CN"/>
        </w:rPr>
        <w:t>5G、大数据、云计算、区块链等数字技术在文化产业各领域的应用</w:t>
      </w:r>
      <w:r>
        <w:rPr>
          <w:rFonts w:hint="eastAsia" w:cs="仿宋_GB2312"/>
          <w:color w:val="auto"/>
          <w:sz w:val="32"/>
          <w:szCs w:val="32"/>
          <w:lang w:val="en-US" w:eastAsia="zh-CN"/>
        </w:rPr>
        <w:t>。</w:t>
      </w:r>
    </w:p>
    <w:p w14:paraId="150C06B9">
      <w:pPr>
        <w:keepLines w:val="0"/>
        <w:pageBreakBefore w:val="0"/>
        <w:widowControl w:val="0"/>
        <w:kinsoku/>
        <w:wordWrap/>
        <w:overflowPunct/>
        <w:topLinePunct w:val="0"/>
        <w:autoSpaceDE/>
        <w:autoSpaceDN/>
        <w:bidi w:val="0"/>
        <w:adjustRightInd/>
        <w:snapToGrid/>
        <w:spacing w:line="580" w:lineRule="exact"/>
        <w:ind w:firstLine="643" w:firstLineChars="200"/>
        <w:textAlignment w:val="auto"/>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kern w:val="2"/>
          <w:sz w:val="32"/>
          <w:szCs w:val="32"/>
          <w:lang w:val="en-US" w:eastAsia="zh-CN"/>
        </w:rPr>
        <w:t>推进文旅深度融合</w:t>
      </w:r>
      <w:r>
        <w:rPr>
          <w:rFonts w:hint="eastAsia" w:cs="仿宋_GB2312"/>
          <w:b/>
          <w:bCs/>
          <w:color w:val="auto"/>
          <w:kern w:val="2"/>
          <w:sz w:val="32"/>
          <w:szCs w:val="32"/>
          <w:lang w:val="en-US" w:eastAsia="zh-CN"/>
        </w:rPr>
        <w:t>。</w:t>
      </w:r>
      <w:r>
        <w:rPr>
          <w:rFonts w:hint="eastAsia" w:ascii="仿宋_GB2312" w:hAnsi="仿宋_GB2312" w:eastAsia="仿宋_GB2312" w:cs="仿宋_GB2312"/>
          <w:sz w:val="32"/>
          <w:szCs w:val="32"/>
          <w:lang w:eastAsia="zh-CN"/>
        </w:rPr>
        <w:t>促进文化与</w:t>
      </w:r>
      <w:r>
        <w:rPr>
          <w:rFonts w:hint="eastAsia" w:ascii="仿宋_GB2312" w:hAnsi="仿宋_GB2312" w:eastAsia="仿宋_GB2312" w:cs="仿宋_GB2312"/>
          <w:sz w:val="32"/>
          <w:szCs w:val="32"/>
          <w:lang w:val="en-US" w:eastAsia="zh-CN"/>
        </w:rPr>
        <w:t>商贸、</w:t>
      </w:r>
      <w:r>
        <w:rPr>
          <w:rFonts w:hint="eastAsia" w:ascii="仿宋_GB2312" w:hAnsi="仿宋_GB2312" w:eastAsia="仿宋_GB2312" w:cs="仿宋_GB2312"/>
          <w:sz w:val="32"/>
          <w:szCs w:val="32"/>
          <w:lang w:eastAsia="zh-CN"/>
        </w:rPr>
        <w:t>科技、工业、旅游、体育深度融合，</w:t>
      </w:r>
      <w:r>
        <w:rPr>
          <w:rFonts w:hint="eastAsia" w:ascii="仿宋_GB2312" w:hAnsi="仿宋_GB2312" w:eastAsia="仿宋_GB2312" w:cs="仿宋_GB2312"/>
          <w:sz w:val="32"/>
          <w:szCs w:val="32"/>
          <w:lang w:val="en-US" w:eastAsia="zh-CN"/>
        </w:rPr>
        <w:t>深化“文旅+百业”</w:t>
      </w:r>
      <w:r>
        <w:rPr>
          <w:rFonts w:hint="eastAsia" w:cs="仿宋_GB2312"/>
          <w:sz w:val="32"/>
          <w:szCs w:val="32"/>
          <w:lang w:val="en-US" w:eastAsia="zh-CN"/>
        </w:rPr>
        <w:t>、</w:t>
      </w:r>
      <w:r>
        <w:rPr>
          <w:rFonts w:hint="eastAsia" w:ascii="仿宋_GB2312" w:hAnsi="仿宋_GB2312" w:eastAsia="仿宋_GB2312" w:cs="仿宋_GB2312"/>
          <w:sz w:val="32"/>
          <w:szCs w:val="32"/>
          <w:lang w:val="en-US" w:eastAsia="zh-CN"/>
        </w:rPr>
        <w:t>“百业+文旅”，不断丰富文旅消费业态和场景</w:t>
      </w:r>
      <w:r>
        <w:rPr>
          <w:rFonts w:hint="eastAsia" w:cs="仿宋_GB2312"/>
          <w:sz w:val="32"/>
          <w:szCs w:val="32"/>
          <w:lang w:val="en-US" w:eastAsia="zh-CN"/>
        </w:rPr>
        <w:t>，</w:t>
      </w:r>
      <w:r>
        <w:rPr>
          <w:rFonts w:hint="eastAsia" w:ascii="仿宋_GB2312" w:hAnsi="仿宋_GB2312" w:eastAsia="仿宋_GB2312" w:cs="仿宋_GB2312"/>
          <w:sz w:val="32"/>
          <w:szCs w:val="32"/>
          <w:lang w:eastAsia="zh-CN"/>
        </w:rPr>
        <w:t>提升文化旅游服务质量，</w:t>
      </w:r>
      <w:r>
        <w:rPr>
          <w:rFonts w:hint="eastAsia" w:ascii="仿宋_GB2312" w:hAnsi="仿宋_GB2312" w:eastAsia="仿宋_GB2312" w:cs="仿宋_GB2312"/>
          <w:sz w:val="32"/>
          <w:szCs w:val="32"/>
          <w:lang w:val="en-US" w:eastAsia="zh-CN"/>
        </w:rPr>
        <w:t>整合资源、丰富内容，打造精品</w:t>
      </w:r>
      <w:r>
        <w:rPr>
          <w:rFonts w:hint="eastAsia" w:ascii="仿宋_GB2312" w:hAnsi="仿宋_GB2312" w:eastAsia="仿宋_GB2312" w:cs="仿宋_GB2312"/>
          <w:sz w:val="32"/>
          <w:szCs w:val="32"/>
          <w:lang w:eastAsia="zh-CN"/>
        </w:rPr>
        <w:t>旅游线路。</w:t>
      </w:r>
      <w:r>
        <w:rPr>
          <w:rFonts w:hint="eastAsia" w:ascii="仿宋_GB2312" w:hAnsi="仿宋_GB2312" w:eastAsia="仿宋_GB2312" w:cs="仿宋_GB2312"/>
          <w:color w:val="auto"/>
          <w:sz w:val="32"/>
          <w:szCs w:val="32"/>
          <w:lang w:val="en-US" w:eastAsia="zh-CN"/>
        </w:rPr>
        <w:t>以辖区全域河流为载体，打造文化溯源、生态叙事相融合的沉浸式体验场域</w:t>
      </w:r>
      <w:r>
        <w:rPr>
          <w:rFonts w:hint="eastAsia"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整合胶济铁路博物馆、民俗博物馆等场馆资源，将其串联形成精品旅游线路。</w:t>
      </w:r>
      <w:r>
        <w:rPr>
          <w:rFonts w:hint="eastAsia" w:ascii="仿宋_GB2312" w:hAnsi="仿宋_GB2312" w:eastAsia="仿宋_GB2312" w:cs="仿宋_GB2312"/>
          <w:b w:val="0"/>
          <w:bCs w:val="0"/>
          <w:color w:val="auto"/>
          <w:sz w:val="32"/>
          <w:szCs w:val="32"/>
          <w:lang w:val="en-US" w:eastAsia="zh-CN"/>
        </w:rPr>
        <w:t>搭建智慧文旅平台，</w:t>
      </w:r>
      <w:r>
        <w:rPr>
          <w:rFonts w:hint="eastAsia" w:ascii="仿宋_GB2312" w:hAnsi="仿宋_GB2312" w:eastAsia="仿宋_GB2312" w:cs="仿宋_GB2312"/>
          <w:color w:val="auto"/>
          <w:sz w:val="32"/>
          <w:szCs w:val="32"/>
          <w:lang w:val="en-US" w:eastAsia="zh-CN"/>
        </w:rPr>
        <w:t>丰富文化服务功能、旅游体验方式</w:t>
      </w:r>
      <w:r>
        <w:rPr>
          <w:rFonts w:hint="eastAsia" w:ascii="仿宋_GB2312" w:hAnsi="仿宋_GB2312" w:eastAsia="仿宋_GB2312" w:cs="仿宋_GB2312"/>
          <w:b w:val="0"/>
          <w:bCs w:val="0"/>
          <w:color w:val="auto"/>
          <w:sz w:val="32"/>
          <w:szCs w:val="32"/>
          <w:lang w:val="en-US" w:eastAsia="zh-CN"/>
        </w:rPr>
        <w:t>。</w:t>
      </w:r>
    </w:p>
    <w:p w14:paraId="60E3D7B9">
      <w:pPr>
        <w:keepNext w:val="0"/>
        <w:keepLines w:val="0"/>
        <w:pageBreakBefore w:val="0"/>
        <w:widowControl w:val="0"/>
        <w:kinsoku/>
        <w:wordWrap/>
        <w:overflowPunct w:val="0"/>
        <w:topLinePunct w:val="0"/>
        <w:autoSpaceDE/>
        <w:autoSpaceDN/>
        <w:bidi w:val="0"/>
        <w:adjustRightInd w:val="0"/>
        <w:snapToGrid w:val="0"/>
        <w:spacing w:before="313" w:beforeLines="100" w:beforeAutospacing="0" w:after="313" w:afterLines="100" w:line="600" w:lineRule="exact"/>
        <w:ind w:left="0" w:leftChars="0" w:firstLine="0" w:firstLineChars="0"/>
        <w:jc w:val="center"/>
        <w:textAlignment w:val="auto"/>
        <w:outlineLvl w:val="0"/>
        <w:rPr>
          <w:rFonts w:hint="eastAsia" w:ascii="方正小标宋简体" w:hAnsi="方正小标宋简体" w:eastAsia="方正小标宋简体" w:cs="方正小标宋简体"/>
          <w:b w:val="0"/>
          <w:bCs w:val="0"/>
          <w:color w:val="auto"/>
          <w:kern w:val="2"/>
          <w:sz w:val="32"/>
          <w:szCs w:val="40"/>
          <w:lang w:val="en-US" w:eastAsia="zh-CN"/>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3790051">
      <w:pPr>
        <w:keepNext/>
        <w:keepLines w:val="0"/>
        <w:pageBreakBefore w:val="0"/>
        <w:widowControl w:val="0"/>
        <w:kinsoku/>
        <w:wordWrap/>
        <w:overflowPunct w:val="0"/>
        <w:topLinePunct w:val="0"/>
        <w:autoSpaceDE/>
        <w:autoSpaceDN/>
        <w:bidi w:val="0"/>
        <w:adjustRightInd w:val="0"/>
        <w:snapToGrid w:val="0"/>
        <w:spacing w:before="313" w:beforeLines="100" w:beforeAutospacing="0" w:after="313" w:afterLines="100" w:line="590" w:lineRule="exact"/>
        <w:ind w:left="0" w:leftChars="0" w:firstLine="0" w:firstLineChars="0"/>
        <w:jc w:val="center"/>
        <w:textAlignment w:val="auto"/>
        <w:outlineLvl w:val="0"/>
        <w:rPr>
          <w:rFonts w:hint="eastAsia" w:ascii="方正小标宋简体" w:hAnsi="方正小标宋简体" w:eastAsia="方正小标宋简体" w:cs="方正小标宋简体"/>
          <w:b w:val="0"/>
          <w:bCs w:val="0"/>
          <w:color w:val="auto"/>
          <w:kern w:val="2"/>
          <w:sz w:val="32"/>
          <w:szCs w:val="40"/>
          <w:lang w:val="en-US" w:eastAsia="zh-CN"/>
        </w:rPr>
      </w:pPr>
      <w:bookmarkStart w:id="66" w:name="_Toc658791516"/>
      <w:r>
        <w:rPr>
          <w:rFonts w:hint="eastAsia" w:ascii="方正小标宋简体" w:hAnsi="方正小标宋简体" w:eastAsia="方正小标宋简体" w:cs="方正小标宋简体"/>
          <w:b w:val="0"/>
          <w:bCs w:val="0"/>
          <w:color w:val="auto"/>
          <w:kern w:val="2"/>
          <w:sz w:val="32"/>
          <w:szCs w:val="40"/>
          <w:lang w:val="en-US" w:eastAsia="zh-CN"/>
        </w:rPr>
        <w:t>第十一章  着力保障和改善民生</w:t>
      </w:r>
      <w:bookmarkEnd w:id="66"/>
    </w:p>
    <w:p w14:paraId="1377960A">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坚持尽力而为、量力而行，优化民生服务供给，补齐民生短板、破解民生难题、兜牢民生底线，解决好人民群众急难愁盼问题，推动民生建设更加公平、均衡、普惠、可及，持续增进民生福祉。</w:t>
      </w:r>
    </w:p>
    <w:p w14:paraId="12615CB5">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b w:val="0"/>
          <w:bCs w:val="0"/>
          <w:sz w:val="32"/>
          <w:szCs w:val="32"/>
          <w:u w:val="none"/>
          <w:lang w:val="en-US" w:eastAsia="zh-CN"/>
        </w:rPr>
      </w:pPr>
      <w:bookmarkStart w:id="67" w:name="_Toc319333569"/>
      <w:r>
        <w:rPr>
          <w:rFonts w:hint="eastAsia"/>
          <w:b w:val="0"/>
          <w:bCs w:val="0"/>
          <w:sz w:val="32"/>
          <w:szCs w:val="32"/>
          <w:u w:val="none"/>
          <w:lang w:val="en-US" w:eastAsia="zh-CN"/>
        </w:rPr>
        <w:t xml:space="preserve">第一节  </w:t>
      </w:r>
      <w:r>
        <w:rPr>
          <w:rFonts w:hint="eastAsia" w:ascii="楷体_GB2312" w:hAnsi="楷体_GB2312" w:eastAsia="楷体_GB2312" w:cs="楷体_GB2312"/>
          <w:color w:val="000000"/>
          <w:sz w:val="32"/>
          <w:szCs w:val="32"/>
        </w:rPr>
        <w:t>积极促进就业与增收</w:t>
      </w:r>
      <w:bookmarkEnd w:id="67"/>
    </w:p>
    <w:p w14:paraId="39C16E99">
      <w:pPr>
        <w:keepNext w:val="0"/>
        <w:keepLines w:val="0"/>
        <w:pageBreakBefore w:val="0"/>
        <w:widowControl w:val="0"/>
        <w:numPr>
          <w:ilvl w:val="0"/>
          <w:numId w:val="0"/>
        </w:numPr>
        <w:kinsoku/>
        <w:wordWrap/>
        <w:overflowPunct w:val="0"/>
        <w:topLinePunct w:val="0"/>
        <w:autoSpaceDE/>
        <w:autoSpaceDN/>
        <w:bidi w:val="0"/>
        <w:adjustRightInd w:val="0"/>
        <w:snapToGrid w:val="0"/>
        <w:spacing w:line="59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000000"/>
          <w:sz w:val="32"/>
          <w:szCs w:val="32"/>
        </w:rPr>
        <w:t>全面贯彻就业优先战略，</w:t>
      </w:r>
      <w:r>
        <w:rPr>
          <w:rFonts w:hint="eastAsia" w:ascii="仿宋_GB2312" w:hAnsi="仿宋_GB2312" w:eastAsia="仿宋_GB2312" w:cs="仿宋_GB2312"/>
          <w:color w:val="auto"/>
          <w:sz w:val="32"/>
          <w:szCs w:val="32"/>
          <w:lang w:val="en-US" w:eastAsia="zh-CN"/>
        </w:rPr>
        <w:t>强化就业政策与宏观经济、产业升级、创新创业协同联动，健全</w:t>
      </w:r>
      <w:r>
        <w:rPr>
          <w:rFonts w:hint="eastAsia" w:ascii="仿宋_GB2312" w:hAnsi="仿宋_GB2312" w:eastAsia="仿宋_GB2312" w:cs="仿宋_GB2312"/>
          <w:sz w:val="32"/>
          <w:szCs w:val="32"/>
        </w:rPr>
        <w:t>就业促进机制</w:t>
      </w:r>
      <w:r>
        <w:rPr>
          <w:rFonts w:hint="eastAsia" w:ascii="仿宋_GB2312" w:hAnsi="仿宋_GB2312" w:eastAsia="仿宋_GB2312" w:cs="仿宋_GB2312"/>
          <w:color w:val="auto"/>
          <w:sz w:val="32"/>
          <w:szCs w:val="32"/>
          <w:lang w:val="en-US" w:eastAsia="zh-CN"/>
        </w:rPr>
        <w:t>。</w:t>
      </w:r>
    </w:p>
    <w:p w14:paraId="502B87F4">
      <w:pPr>
        <w:keepNext w:val="0"/>
        <w:keepLines w:val="0"/>
        <w:pageBreakBefore w:val="0"/>
        <w:widowControl w:val="0"/>
        <w:kinsoku/>
        <w:wordWrap/>
        <w:overflowPunct/>
        <w:topLinePunct w:val="0"/>
        <w:autoSpaceDE/>
        <w:autoSpaceDN/>
        <w:bidi w:val="0"/>
        <w:adjustRightInd/>
        <w:snapToGrid/>
        <w:spacing w:line="590" w:lineRule="exact"/>
        <w:ind w:firstLine="643" w:firstLineChars="200"/>
        <w:jc w:val="both"/>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b/>
          <w:bCs/>
          <w:sz w:val="32"/>
          <w:szCs w:val="32"/>
        </w:rPr>
        <w:t>多渠道扩大就业总量</w:t>
      </w:r>
      <w:r>
        <w:rPr>
          <w:rFonts w:hint="eastAsia" w:cs="仿宋_GB2312"/>
          <w:b/>
          <w:bCs/>
          <w:sz w:val="32"/>
          <w:szCs w:val="32"/>
          <w:lang w:eastAsia="zh-CN"/>
        </w:rPr>
        <w:t>。</w:t>
      </w:r>
      <w:r>
        <w:rPr>
          <w:rFonts w:hint="eastAsia" w:ascii="仿宋_GB2312" w:hAnsi="仿宋_GB2312" w:eastAsia="仿宋_GB2312" w:cs="仿宋_GB2312"/>
          <w:sz w:val="32"/>
          <w:szCs w:val="32"/>
        </w:rPr>
        <w:t>持续改善就业结构，提升就业质量。</w:t>
      </w:r>
      <w:r>
        <w:rPr>
          <w:rFonts w:hint="eastAsia" w:ascii="仿宋_GB2312" w:hAnsi="仿宋_GB2312" w:eastAsia="仿宋_GB2312" w:cs="仿宋_GB2312"/>
          <w:color w:val="000000"/>
          <w:sz w:val="32"/>
          <w:szCs w:val="32"/>
        </w:rPr>
        <w:t>推动产业、企业、创业、就业联动，扩大高质量就业岗位供给，积极培育新职业新岗位，支持各类经营主体稳岗扩岗。健全人力资源供需匹配机制，构建精准赋能、产训融合的培训生态链，着力培养高素质技能人才。完善就业支持和公共服务体系，持续开展“春风行动”等就业服务活动，稳定和扩大高校毕业生、农民工、退役军人等重点群体就业，推动灵活就业、新就业形态健康发展。实施城乡居民增收计划，全面拓宽城乡居民财产性收入渠道。</w:t>
      </w:r>
      <w:r>
        <w:rPr>
          <w:rFonts w:hint="eastAsia" w:cs="仿宋_GB2312"/>
          <w:sz w:val="32"/>
          <w:szCs w:val="32"/>
          <w:u w:val="none"/>
          <w:lang w:val="en-US" w:eastAsia="zh-CN"/>
        </w:rPr>
        <w:t>“十五五”时期，累计</w:t>
      </w:r>
      <w:r>
        <w:rPr>
          <w:rFonts w:hint="eastAsia" w:ascii="仿宋_GB2312" w:hAnsi="仿宋_GB2312" w:eastAsia="仿宋_GB2312" w:cs="仿宋_GB2312"/>
          <w:color w:val="auto"/>
          <w:sz w:val="32"/>
          <w:szCs w:val="32"/>
          <w:u w:val="none"/>
          <w:lang w:val="en-US" w:eastAsia="zh-CN"/>
        </w:rPr>
        <w:t>完成城镇新增就业8.</w:t>
      </w:r>
      <w:r>
        <w:rPr>
          <w:rFonts w:hint="eastAsia" w:cs="仿宋_GB2312"/>
          <w:color w:val="auto"/>
          <w:sz w:val="32"/>
          <w:szCs w:val="32"/>
          <w:u w:val="none"/>
          <w:lang w:val="en-US" w:eastAsia="zh-CN"/>
        </w:rPr>
        <w:t>4</w:t>
      </w:r>
      <w:r>
        <w:rPr>
          <w:rFonts w:hint="eastAsia" w:ascii="仿宋_GB2312" w:hAnsi="仿宋_GB2312" w:eastAsia="仿宋_GB2312" w:cs="仿宋_GB2312"/>
          <w:color w:val="auto"/>
          <w:sz w:val="32"/>
          <w:szCs w:val="32"/>
          <w:u w:val="none"/>
          <w:lang w:val="en-US" w:eastAsia="zh-CN"/>
        </w:rPr>
        <w:t>万人</w:t>
      </w:r>
      <w:r>
        <w:rPr>
          <w:rFonts w:hint="eastAsia" w:cs="仿宋_GB2312"/>
          <w:color w:val="auto"/>
          <w:sz w:val="32"/>
          <w:szCs w:val="32"/>
          <w:u w:val="none"/>
          <w:lang w:val="en-US" w:eastAsia="zh-CN"/>
        </w:rPr>
        <w:t>以上</w:t>
      </w:r>
      <w:r>
        <w:rPr>
          <w:rFonts w:hint="eastAsia" w:ascii="仿宋_GB2312" w:hAnsi="仿宋_GB2312" w:eastAsia="仿宋_GB2312" w:cs="仿宋_GB2312"/>
          <w:color w:val="auto"/>
          <w:sz w:val="32"/>
          <w:szCs w:val="32"/>
          <w:u w:val="none"/>
          <w:lang w:val="en-US" w:eastAsia="zh-CN"/>
        </w:rPr>
        <w:t>。</w:t>
      </w:r>
    </w:p>
    <w:p w14:paraId="697AFA46">
      <w:pPr>
        <w:keepNext w:val="0"/>
        <w:keepLines w:val="0"/>
        <w:pageBreakBefore w:val="0"/>
        <w:widowControl w:val="0"/>
        <w:numPr>
          <w:ilvl w:val="0"/>
          <w:numId w:val="0"/>
        </w:numPr>
        <w:kinsoku/>
        <w:wordWrap/>
        <w:overflowPunct w:val="0"/>
        <w:topLinePunct w:val="0"/>
        <w:autoSpaceDE/>
        <w:autoSpaceDN/>
        <w:bidi w:val="0"/>
        <w:adjustRightInd w:val="0"/>
        <w:snapToGrid w:val="0"/>
        <w:spacing w:line="590" w:lineRule="exact"/>
        <w:ind w:firstLine="643"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cs="仿宋_GB2312"/>
          <w:b/>
          <w:bCs/>
          <w:color w:val="auto"/>
          <w:sz w:val="32"/>
          <w:szCs w:val="32"/>
          <w:lang w:val="en-US" w:eastAsia="zh-CN"/>
        </w:rPr>
        <w:t>提升就业保障能力。</w:t>
      </w:r>
      <w:r>
        <w:rPr>
          <w:rFonts w:hint="eastAsia" w:ascii="仿宋_GB2312" w:hAnsi="仿宋_GB2312" w:eastAsia="仿宋_GB2312" w:cs="仿宋_GB2312"/>
          <w:color w:val="000000"/>
          <w:sz w:val="32"/>
          <w:szCs w:val="32"/>
        </w:rPr>
        <w:t>加强劳动者权益保障，着力构建和谐劳动关系，营造公平有序就业环境。</w:t>
      </w:r>
      <w:r>
        <w:rPr>
          <w:rFonts w:hint="eastAsia" w:ascii="仿宋_GB2312" w:hAnsi="仿宋_GB2312" w:eastAsia="仿宋_GB2312" w:cs="仿宋_GB2312"/>
          <w:color w:val="auto"/>
          <w:kern w:val="2"/>
          <w:sz w:val="32"/>
          <w:szCs w:val="32"/>
          <w:shd w:val="clear" w:color="auto" w:fill="auto"/>
          <w:lang w:val="en-US" w:eastAsia="zh-CN" w:bidi="ar-SA"/>
        </w:rPr>
        <w:t>依托“泉就业”信息平台做好“一对一”个性化帮扶，</w:t>
      </w:r>
      <w:r>
        <w:rPr>
          <w:rFonts w:hint="eastAsia" w:ascii="仿宋_GB2312" w:hAnsi="仿宋_GB2312" w:eastAsia="仿宋_GB2312" w:cs="仿宋_GB2312"/>
          <w:color w:val="auto"/>
          <w:sz w:val="32"/>
          <w:szCs w:val="32"/>
          <w:shd w:val="clear" w:color="auto" w:fill="auto"/>
          <w:lang w:val="en-US" w:eastAsia="zh-CN"/>
        </w:rPr>
        <w:t>精准化开展就业援助，提升就业困难人员帮扶力度。加大社保补贴和职业培训补贴政策的宣传与落实</w:t>
      </w:r>
      <w:r>
        <w:rPr>
          <w:rFonts w:hint="eastAsia" w:cs="仿宋_GB2312"/>
          <w:color w:val="auto"/>
          <w:sz w:val="32"/>
          <w:szCs w:val="32"/>
          <w:shd w:val="clear" w:color="auto" w:fill="auto"/>
          <w:lang w:val="en-US" w:eastAsia="zh-CN"/>
        </w:rPr>
        <w:t>力度</w:t>
      </w:r>
      <w:r>
        <w:rPr>
          <w:rFonts w:hint="eastAsia" w:ascii="仿宋_GB2312" w:hAnsi="仿宋_GB2312" w:eastAsia="仿宋_GB2312" w:cs="仿宋_GB2312"/>
          <w:color w:val="auto"/>
          <w:sz w:val="32"/>
          <w:szCs w:val="32"/>
          <w:shd w:val="clear" w:color="auto" w:fill="auto"/>
          <w:lang w:val="en-US" w:eastAsia="zh-CN"/>
        </w:rPr>
        <w:t>，促进企业吸纳和灵活就业</w:t>
      </w:r>
      <w:r>
        <w:rPr>
          <w:rFonts w:hint="eastAsia" w:cs="仿宋_GB2312"/>
          <w:color w:val="auto"/>
          <w:sz w:val="32"/>
          <w:szCs w:val="32"/>
          <w:shd w:val="clear" w:color="auto" w:fill="auto"/>
          <w:lang w:val="en-US" w:eastAsia="zh-CN"/>
        </w:rPr>
        <w:t>，</w:t>
      </w:r>
      <w:r>
        <w:rPr>
          <w:rFonts w:hint="eastAsia" w:ascii="仿宋_GB2312" w:hAnsi="仿宋_GB2312" w:eastAsia="仿宋_GB2312" w:cs="仿宋_GB2312"/>
          <w:color w:val="auto"/>
          <w:sz w:val="32"/>
          <w:szCs w:val="32"/>
          <w:shd w:val="clear" w:color="auto" w:fill="auto"/>
          <w:lang w:val="en-US" w:eastAsia="zh-CN"/>
        </w:rPr>
        <w:t>兜底帮扶实际就业困难</w:t>
      </w:r>
      <w:r>
        <w:rPr>
          <w:rFonts w:hint="eastAsia" w:cs="仿宋_GB2312"/>
          <w:color w:val="auto"/>
          <w:sz w:val="32"/>
          <w:szCs w:val="32"/>
          <w:shd w:val="clear" w:color="auto" w:fill="auto"/>
          <w:lang w:val="en-US" w:eastAsia="zh-CN"/>
        </w:rPr>
        <w:t>群众</w:t>
      </w:r>
      <w:r>
        <w:rPr>
          <w:rFonts w:hint="eastAsia" w:ascii="仿宋_GB2312" w:hAnsi="仿宋_GB2312" w:eastAsia="仿宋_GB2312" w:cs="仿宋_GB2312"/>
          <w:color w:val="auto"/>
          <w:sz w:val="32"/>
          <w:szCs w:val="32"/>
          <w:shd w:val="clear" w:color="auto" w:fill="auto"/>
          <w:lang w:val="en-US" w:eastAsia="zh-CN"/>
        </w:rPr>
        <w:t>。</w:t>
      </w:r>
      <w:r>
        <w:rPr>
          <w:rFonts w:hint="eastAsia" w:ascii="仿宋_GB2312" w:hAnsi="仿宋_GB2312" w:eastAsia="仿宋_GB2312" w:cs="仿宋_GB2312"/>
          <w:sz w:val="32"/>
          <w:szCs w:val="32"/>
        </w:rPr>
        <w:t>加强失业登记服务</w:t>
      </w:r>
      <w:r>
        <w:rPr>
          <w:rFonts w:hint="eastAsia" w:cs="仿宋_GB2312"/>
          <w:sz w:val="32"/>
          <w:szCs w:val="32"/>
          <w:lang w:eastAsia="zh-CN"/>
        </w:rPr>
        <w:t>，</w:t>
      </w:r>
      <w:r>
        <w:rPr>
          <w:rFonts w:hint="eastAsia" w:ascii="仿宋_GB2312" w:hAnsi="仿宋_GB2312" w:eastAsia="仿宋_GB2312" w:cs="仿宋_GB2312"/>
          <w:sz w:val="32"/>
          <w:szCs w:val="32"/>
        </w:rPr>
        <w:t>增强失业风险预警能力，健全规模性失业风险预警及应对机制</w:t>
      </w:r>
      <w:r>
        <w:rPr>
          <w:rFonts w:hint="eastAsia" w:cs="仿宋_GB2312"/>
          <w:sz w:val="32"/>
          <w:szCs w:val="32"/>
          <w:lang w:eastAsia="zh-CN"/>
        </w:rPr>
        <w:t>，</w:t>
      </w:r>
      <w:r>
        <w:rPr>
          <w:rFonts w:hint="eastAsia" w:ascii="仿宋_GB2312" w:hAnsi="仿宋_GB2312" w:eastAsia="仿宋_GB2312" w:cs="仿宋_GB2312"/>
          <w:color w:val="auto"/>
          <w:sz w:val="32"/>
          <w:szCs w:val="32"/>
          <w:lang w:val="en-US" w:eastAsia="zh-CN"/>
        </w:rPr>
        <w:t>精准开展失业人员跟踪帮扶，通过信息推送和“大数据+铁脚板”构建“发现、服务、跟踪、反馈”闭环机制，实现登记失业服务率100%。</w:t>
      </w:r>
    </w:p>
    <w:p w14:paraId="3D0882FA">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b w:val="0"/>
          <w:bCs w:val="0"/>
          <w:sz w:val="32"/>
          <w:szCs w:val="32"/>
          <w:u w:val="none"/>
          <w:lang w:val="en-US" w:eastAsia="zh-CN"/>
        </w:rPr>
      </w:pPr>
      <w:bookmarkStart w:id="68" w:name="_Toc1722682010"/>
      <w:r>
        <w:rPr>
          <w:rFonts w:hint="eastAsia"/>
          <w:b w:val="0"/>
          <w:bCs w:val="0"/>
          <w:sz w:val="32"/>
          <w:szCs w:val="32"/>
          <w:u w:val="none"/>
          <w:lang w:val="en-US" w:eastAsia="zh-CN"/>
        </w:rPr>
        <w:t>第二节  办好人民满意的教育</w:t>
      </w:r>
      <w:bookmarkEnd w:id="68"/>
    </w:p>
    <w:p w14:paraId="60947A0C">
      <w:pPr>
        <w:keepNext w:val="0"/>
        <w:keepLines w:val="0"/>
        <w:pageBreakBefore w:val="0"/>
        <w:widowControl w:val="0"/>
        <w:numPr>
          <w:ilvl w:val="0"/>
          <w:numId w:val="0"/>
        </w:numPr>
        <w:kinsoku/>
        <w:wordWrap/>
        <w:overflowPunct w:val="0"/>
        <w:topLinePunct w:val="0"/>
        <w:autoSpaceDE/>
        <w:autoSpaceDN/>
        <w:bidi w:val="0"/>
        <w:adjustRightInd w:val="0"/>
        <w:snapToGrid w:val="0"/>
        <w:spacing w:line="590" w:lineRule="exact"/>
        <w:ind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全面落实立德树人根本任务，以办好人民满意教育为目标，统筹优化资源配置、促进各级各类教育协调发展、深化教育教学改革，加快建设高质量教育体系。</w:t>
      </w:r>
    </w:p>
    <w:p w14:paraId="29C63AC0">
      <w:pPr>
        <w:keepNext w:val="0"/>
        <w:keepLines w:val="0"/>
        <w:pageBreakBefore w:val="0"/>
        <w:widowControl w:val="0"/>
        <w:numPr>
          <w:ilvl w:val="0"/>
          <w:numId w:val="0"/>
        </w:numPr>
        <w:kinsoku/>
        <w:wordWrap/>
        <w:overflowPunct w:val="0"/>
        <w:topLinePunct w:val="0"/>
        <w:autoSpaceDE/>
        <w:autoSpaceDN/>
        <w:bidi w:val="0"/>
        <w:adjustRightInd w:val="0"/>
        <w:snapToGrid w:val="0"/>
        <w:spacing w:line="590" w:lineRule="exact"/>
        <w:ind w:firstLine="643" w:firstLineChars="200"/>
        <w:jc w:val="both"/>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统筹优化教育资源布局。</w:t>
      </w:r>
      <w:r>
        <w:rPr>
          <w:rFonts w:hint="eastAsia" w:ascii="仿宋_GB2312" w:hAnsi="仿宋_GB2312" w:eastAsia="仿宋_GB2312" w:cs="仿宋_GB2312"/>
          <w:color w:val="000000"/>
          <w:sz w:val="32"/>
          <w:szCs w:val="32"/>
        </w:rPr>
        <w:t>健全基础教育资源统筹调配机制，增加北湖、丁太鲁、</w:t>
      </w:r>
      <w:r>
        <w:rPr>
          <w:rFonts w:hint="eastAsia" w:ascii="仿宋_GB2312" w:hAnsi="仿宋_GB2312" w:eastAsia="仿宋_GB2312" w:cs="仿宋_GB2312"/>
          <w:color w:val="000000"/>
          <w:sz w:val="32"/>
          <w:szCs w:val="32"/>
          <w:lang w:val="en-US" w:eastAsia="zh-CN"/>
        </w:rPr>
        <w:t>王炉北辛</w:t>
      </w:r>
      <w:r>
        <w:rPr>
          <w:rFonts w:hint="eastAsia" w:ascii="仿宋_GB2312" w:hAnsi="仿宋_GB2312" w:eastAsia="仿宋_GB2312" w:cs="仿宋_GB2312"/>
          <w:color w:val="000000"/>
          <w:sz w:val="32"/>
          <w:szCs w:val="32"/>
        </w:rPr>
        <w:t>等片区优质学位供给。巩固拓展国家学前教育普及普惠区创建成果，创建国家级义务教育优质均衡发展区。深入开展集团化办学，加强与</w:t>
      </w:r>
      <w:r>
        <w:rPr>
          <w:rFonts w:hint="eastAsia" w:ascii="仿宋_GB2312" w:hAnsi="仿宋_GB2312" w:eastAsia="仿宋_GB2312" w:cs="仿宋_GB2312"/>
          <w:color w:val="000000"/>
          <w:sz w:val="32"/>
          <w:szCs w:val="32"/>
          <w:lang w:val="en-US" w:eastAsia="zh-CN"/>
        </w:rPr>
        <w:t>历城二中</w:t>
      </w:r>
      <w:r>
        <w:rPr>
          <w:rFonts w:hint="eastAsia" w:ascii="仿宋_GB2312" w:hAnsi="仿宋_GB2312" w:eastAsia="仿宋_GB2312" w:cs="仿宋_GB2312"/>
          <w:color w:val="000000"/>
          <w:sz w:val="32"/>
          <w:szCs w:val="32"/>
        </w:rPr>
        <w:t>等优质教育集团交流合作，建成一批精品幼儿园、中小学，推动汇才、宝华、文澜等学校打造市域名校，带动其他初中</w:t>
      </w:r>
      <w:r>
        <w:rPr>
          <w:rFonts w:hint="eastAsia" w:cs="仿宋_GB2312"/>
          <w:color w:val="000000"/>
          <w:sz w:val="32"/>
          <w:szCs w:val="32"/>
          <w:lang w:eastAsia="zh-CN"/>
        </w:rPr>
        <w:t>及</w:t>
      </w:r>
      <w:r>
        <w:rPr>
          <w:rFonts w:hint="eastAsia" w:ascii="仿宋_GB2312" w:hAnsi="仿宋_GB2312" w:eastAsia="仿宋_GB2312" w:cs="仿宋_GB2312"/>
          <w:color w:val="000000"/>
          <w:sz w:val="32"/>
          <w:szCs w:val="32"/>
        </w:rPr>
        <w:t>小学协同提质、一体发展。</w:t>
      </w:r>
      <w:r>
        <w:rPr>
          <w:rFonts w:hint="eastAsia" w:ascii="仿宋_GB2312" w:hAnsi="仿宋_GB2312" w:eastAsia="仿宋_GB2312" w:cs="仿宋_GB2312"/>
          <w:sz w:val="32"/>
          <w:szCs w:val="32"/>
        </w:rPr>
        <w:t>健全残疾儿童关爱与服务机制，常态化做好控辍保学工作，</w:t>
      </w:r>
      <w:r>
        <w:rPr>
          <w:rFonts w:hint="eastAsia" w:ascii="仿宋_GB2312" w:hAnsi="仿宋_GB2312" w:eastAsia="仿宋_GB2312" w:cs="仿宋_GB2312"/>
          <w:color w:val="000000"/>
          <w:sz w:val="32"/>
          <w:szCs w:val="32"/>
        </w:rPr>
        <w:t>办好民办教育和特殊教育</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000000"/>
          <w:sz w:val="32"/>
          <w:szCs w:val="32"/>
        </w:rPr>
        <w:t>优化终身学习公共服务，大力发展社区教育、老年教育</w:t>
      </w:r>
      <w:r>
        <w:rPr>
          <w:rFonts w:hint="eastAsia" w:ascii="仿宋_GB2312" w:hAnsi="仿宋_GB2312" w:eastAsia="仿宋_GB2312" w:cs="仿宋_GB2312"/>
          <w:sz w:val="32"/>
          <w:szCs w:val="32"/>
        </w:rPr>
        <w:t>。深化教体融合，建立学校与社会体育场馆双向开放、资源共享机制</w:t>
      </w:r>
      <w:r>
        <w:rPr>
          <w:rFonts w:hint="eastAsia" w:ascii="仿宋_GB2312" w:hAnsi="仿宋_GB2312" w:eastAsia="仿宋_GB2312" w:cs="仿宋_GB2312"/>
          <w:sz w:val="32"/>
          <w:szCs w:val="32"/>
          <w:lang w:eastAsia="zh-CN"/>
        </w:rPr>
        <w:t>。</w:t>
      </w:r>
      <w:r>
        <w:rPr>
          <w:rFonts w:hint="eastAsia" w:cs="仿宋_GB2312"/>
          <w:sz w:val="32"/>
          <w:szCs w:val="32"/>
          <w:lang w:val="en-US" w:eastAsia="zh-CN"/>
        </w:rPr>
        <w:t>“十五五”期间</w:t>
      </w:r>
      <w:r>
        <w:rPr>
          <w:rFonts w:hint="eastAsia" w:ascii="仿宋_GB2312" w:hAnsi="仿宋_GB2312" w:eastAsia="仿宋_GB2312" w:cs="仿宋_GB2312"/>
          <w:sz w:val="32"/>
          <w:szCs w:val="32"/>
          <w:lang w:val="en-US" w:eastAsia="zh-CN"/>
        </w:rPr>
        <w:t>，基本建成</w:t>
      </w:r>
      <w:r>
        <w:rPr>
          <w:rFonts w:hint="eastAsia" w:ascii="仿宋_GB2312" w:hAnsi="仿宋_GB2312" w:eastAsia="仿宋_GB2312" w:cs="仿宋_GB2312"/>
          <w:sz w:val="32"/>
          <w:szCs w:val="32"/>
        </w:rPr>
        <w:t>覆盖城乡、布局合理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优质</w:t>
      </w:r>
      <w:r>
        <w:rPr>
          <w:rFonts w:hint="eastAsia" w:ascii="仿宋_GB2312" w:hAnsi="仿宋_GB2312" w:eastAsia="仿宋_GB2312" w:cs="仿宋_GB2312"/>
          <w:sz w:val="32"/>
          <w:szCs w:val="32"/>
          <w:lang w:val="en-US" w:eastAsia="zh-CN"/>
        </w:rPr>
        <w:t>均衡的教育</w:t>
      </w:r>
      <w:r>
        <w:rPr>
          <w:rFonts w:hint="eastAsia" w:ascii="仿宋_GB2312" w:hAnsi="仿宋_GB2312" w:eastAsia="仿宋_GB2312" w:cs="仿宋_GB2312"/>
          <w:sz w:val="32"/>
          <w:szCs w:val="32"/>
        </w:rPr>
        <w:t>公共服务</w:t>
      </w:r>
      <w:r>
        <w:rPr>
          <w:rFonts w:hint="eastAsia" w:ascii="仿宋_GB2312" w:hAnsi="仿宋_GB2312" w:eastAsia="仿宋_GB2312" w:cs="仿宋_GB2312"/>
          <w:sz w:val="32"/>
          <w:szCs w:val="32"/>
          <w:lang w:val="en-US" w:eastAsia="zh-CN"/>
        </w:rPr>
        <w:t>体系</w:t>
      </w:r>
      <w:r>
        <w:rPr>
          <w:rFonts w:hint="eastAsia" w:ascii="仿宋_GB2312" w:hAnsi="仿宋_GB2312" w:eastAsia="仿宋_GB2312" w:cs="仿宋_GB2312"/>
          <w:sz w:val="32"/>
          <w:szCs w:val="32"/>
        </w:rPr>
        <w:t>。</w:t>
      </w:r>
    </w:p>
    <w:p w14:paraId="381EA981">
      <w:pPr>
        <w:keepNext w:val="0"/>
        <w:keepLines w:val="0"/>
        <w:pageBreakBefore w:val="0"/>
        <w:widowControl w:val="0"/>
        <w:numPr>
          <w:ilvl w:val="0"/>
          <w:numId w:val="0"/>
        </w:numPr>
        <w:kinsoku/>
        <w:wordWrap/>
        <w:overflowPunct w:val="0"/>
        <w:topLinePunct w:val="0"/>
        <w:autoSpaceDE/>
        <w:autoSpaceDN/>
        <w:bidi w:val="0"/>
        <w:adjustRightInd w:val="0"/>
        <w:snapToGrid w:val="0"/>
        <w:spacing w:line="590" w:lineRule="exact"/>
        <w:ind w:firstLine="643"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推进教师队伍提质增能。</w:t>
      </w:r>
      <w:r>
        <w:rPr>
          <w:rFonts w:hint="eastAsia" w:ascii="仿宋_GB2312" w:hAnsi="仿宋_GB2312" w:eastAsia="仿宋_GB2312" w:cs="仿宋_GB2312"/>
          <w:color w:val="000000"/>
          <w:sz w:val="32"/>
          <w:szCs w:val="32"/>
        </w:rPr>
        <w:t>强化教育家精神引领，持续推进卓越教师进阶式培养，加大教师待遇保障力度，健全师德师风建设长效机制</w:t>
      </w:r>
      <w:r>
        <w:rPr>
          <w:rFonts w:hint="eastAsia" w:ascii="仿宋_GB2312" w:hAnsi="仿宋_GB2312" w:eastAsia="仿宋_GB2312" w:cs="仿宋_GB2312"/>
          <w:sz w:val="32"/>
          <w:szCs w:val="32"/>
          <w:lang w:val="en-US" w:eastAsia="zh-CN"/>
        </w:rPr>
        <w:t>，切实保障教师待遇，全面营造尊师重教浓厚氛围，</w:t>
      </w:r>
      <w:r>
        <w:rPr>
          <w:rFonts w:hint="eastAsia" w:ascii="仿宋_GB2312" w:hAnsi="仿宋_GB2312" w:eastAsia="仿宋_GB2312" w:cs="仿宋_GB2312"/>
          <w:sz w:val="32"/>
          <w:szCs w:val="32"/>
        </w:rPr>
        <w:t>打造师德高尚、业务精湛、结构合理、充满活力的高素质专业化教师队伍</w:t>
      </w:r>
      <w:r>
        <w:rPr>
          <w:rFonts w:hint="eastAsia" w:ascii="仿宋_GB2312" w:hAnsi="仿宋_GB2312" w:eastAsia="仿宋_GB2312" w:cs="仿宋_GB2312"/>
          <w:sz w:val="32"/>
          <w:szCs w:val="32"/>
          <w:lang w:val="en-US" w:eastAsia="zh-CN"/>
        </w:rPr>
        <w:t>。到2030年，培养百名以上在全国、省、市有一定知名度和影响力的优秀校长和教师。</w:t>
      </w:r>
    </w:p>
    <w:p w14:paraId="1E79C8B8">
      <w:pPr>
        <w:keepNext w:val="0"/>
        <w:keepLines w:val="0"/>
        <w:pageBreakBefore w:val="0"/>
        <w:widowControl w:val="0"/>
        <w:numPr>
          <w:ilvl w:val="0"/>
          <w:numId w:val="0"/>
        </w:numPr>
        <w:kinsoku/>
        <w:wordWrap/>
        <w:overflowPunct w:val="0"/>
        <w:topLinePunct w:val="0"/>
        <w:autoSpaceDE/>
        <w:autoSpaceDN/>
        <w:bidi w:val="0"/>
        <w:adjustRightInd w:val="0"/>
        <w:snapToGrid w:val="0"/>
        <w:spacing w:line="590" w:lineRule="exact"/>
        <w:ind w:firstLine="643"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深化教育教学改革创新。</w:t>
      </w:r>
      <w:r>
        <w:rPr>
          <w:rFonts w:hint="eastAsia" w:ascii="仿宋_GB2312" w:hAnsi="仿宋_GB2312" w:eastAsia="仿宋_GB2312" w:cs="仿宋_GB2312"/>
          <w:color w:val="000000"/>
          <w:sz w:val="32"/>
          <w:szCs w:val="32"/>
        </w:rPr>
        <w:t>实施新时代立德树人工程，擦亮“星火天桥”教育品牌，健全“校家社网心”全要素参与、德智体美劳全方位培养的育人体系。</w:t>
      </w:r>
      <w:r>
        <w:rPr>
          <w:rFonts w:hint="eastAsia" w:ascii="仿宋_GB2312" w:hAnsi="仿宋_GB2312" w:eastAsia="仿宋_GB2312" w:cs="仿宋_GB2312"/>
          <w:sz w:val="32"/>
          <w:szCs w:val="32"/>
          <w:lang w:val="en-US" w:eastAsia="zh-CN"/>
        </w:rPr>
        <w:t>加强中小学科技教育</w:t>
      </w:r>
      <w:r>
        <w:rPr>
          <w:rFonts w:hint="eastAsia" w:cs="仿宋_GB2312"/>
          <w:sz w:val="32"/>
          <w:szCs w:val="32"/>
          <w:lang w:val="en-US" w:eastAsia="zh-CN"/>
        </w:rPr>
        <w:t>、青少年体育</w:t>
      </w:r>
      <w:r>
        <w:rPr>
          <w:rFonts w:hint="eastAsia" w:ascii="仿宋_GB2312" w:hAnsi="仿宋_GB2312" w:eastAsia="仿宋_GB2312" w:cs="仿宋_GB2312"/>
          <w:sz w:val="32"/>
          <w:szCs w:val="32"/>
          <w:lang w:val="en-US" w:eastAsia="zh-CN"/>
        </w:rPr>
        <w:t>，培养拔尖创新后备人才，构建“普及+特长”的体育、美育路径，助力学生身心健康发展，推进劳动教育课程化实施，优化教育评价和治理体系。</w:t>
      </w:r>
      <w:r>
        <w:rPr>
          <w:rFonts w:hint="eastAsia" w:ascii="仿宋_GB2312" w:hAnsi="仿宋_GB2312" w:eastAsia="仿宋_GB2312" w:cs="仿宋_GB2312"/>
          <w:color w:val="000000"/>
          <w:sz w:val="32"/>
          <w:szCs w:val="32"/>
        </w:rPr>
        <w:t>扎实推进教育数字化战略行动，</w:t>
      </w:r>
      <w:r>
        <w:rPr>
          <w:rFonts w:hint="eastAsia" w:ascii="仿宋_GB2312" w:hAnsi="仿宋_GB2312" w:eastAsia="仿宋_GB2312" w:cs="仿宋_GB2312"/>
          <w:sz w:val="32"/>
          <w:szCs w:val="32"/>
          <w:lang w:val="en-US" w:eastAsia="zh-CN"/>
        </w:rPr>
        <w:t>提升师生数字素养，</w:t>
      </w:r>
      <w:r>
        <w:rPr>
          <w:rFonts w:hint="eastAsia" w:ascii="仿宋_GB2312" w:hAnsi="仿宋_GB2312" w:eastAsia="仿宋_GB2312" w:cs="仿宋_GB2312"/>
          <w:color w:val="000000"/>
          <w:sz w:val="32"/>
          <w:szCs w:val="32"/>
        </w:rPr>
        <w:t>建设融合创新的智慧校园</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强化教育科研支撑作用，推动育人方式、办学模式和管理体制改革。到2030年，建成科学完备、导向鲜明、运行高效的教育评价与督导体系，培育一批具有国家和省市影响力的教育教学成果与品牌。</w:t>
      </w:r>
    </w:p>
    <w:p w14:paraId="6BC91453">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b w:val="0"/>
          <w:bCs w:val="0"/>
          <w:sz w:val="32"/>
          <w:szCs w:val="32"/>
          <w:u w:val="none"/>
          <w:lang w:val="en-US" w:eastAsia="zh-CN"/>
        </w:rPr>
      </w:pPr>
      <w:bookmarkStart w:id="69" w:name="_Toc397370027"/>
      <w:r>
        <w:rPr>
          <w:rFonts w:hint="eastAsia"/>
          <w:b w:val="0"/>
          <w:bCs w:val="0"/>
          <w:sz w:val="32"/>
          <w:szCs w:val="32"/>
          <w:u w:val="none"/>
          <w:lang w:val="en-US" w:eastAsia="zh-CN"/>
        </w:rPr>
        <w:t>第三节  加快建设健康天桥</w:t>
      </w:r>
      <w:bookmarkEnd w:id="69"/>
    </w:p>
    <w:p w14:paraId="7EFF27C7">
      <w:pPr>
        <w:keepNext w:val="0"/>
        <w:keepLines w:val="0"/>
        <w:pageBreakBefore w:val="0"/>
        <w:widowControl w:val="0"/>
        <w:numPr>
          <w:ilvl w:val="0"/>
          <w:numId w:val="0"/>
        </w:numPr>
        <w:kinsoku/>
        <w:wordWrap/>
        <w:overflowPunct w:val="0"/>
        <w:topLinePunct w:val="0"/>
        <w:autoSpaceDE/>
        <w:autoSpaceDN/>
        <w:bidi w:val="0"/>
        <w:adjustRightInd w:val="0"/>
        <w:snapToGrid w:val="0"/>
        <w:spacing w:line="590" w:lineRule="exact"/>
        <w:ind w:firstLine="640" w:firstLineChars="200"/>
        <w:jc w:val="both"/>
        <w:textAlignment w:val="auto"/>
        <w:outlineLvl w:val="9"/>
        <w:rPr>
          <w:rFonts w:hint="eastAsia" w:ascii="仿宋_GB2312" w:hAnsi="仿宋_GB2312" w:eastAsia="仿宋_GB2312" w:cs="仿宋_GB2312"/>
          <w:spacing w:val="-6"/>
          <w:sz w:val="32"/>
          <w:szCs w:val="32"/>
          <w:lang w:val="en-US" w:eastAsia="zh-CN"/>
        </w:rPr>
      </w:pPr>
      <w:r>
        <w:rPr>
          <w:rFonts w:hint="eastAsia" w:ascii="仿宋_GB2312" w:hAnsi="仿宋_GB2312" w:eastAsia="仿宋_GB2312" w:cs="仿宋_GB2312"/>
          <w:color w:val="000000"/>
          <w:spacing w:val="0"/>
          <w:sz w:val="32"/>
          <w:szCs w:val="32"/>
        </w:rPr>
        <w:t>落实健康优先发展战略，提升爱国卫生运动成效，</w:t>
      </w:r>
      <w:r>
        <w:rPr>
          <w:rFonts w:hint="eastAsia" w:cs="仿宋_GB2312"/>
          <w:color w:val="000000"/>
          <w:spacing w:val="0"/>
          <w:sz w:val="32"/>
          <w:szCs w:val="32"/>
          <w:lang w:eastAsia="zh-CN"/>
        </w:rPr>
        <w:t>推动健康教育与健康促进提质增效，</w:t>
      </w:r>
      <w:r>
        <w:rPr>
          <w:rFonts w:hint="eastAsia" w:ascii="仿宋_GB2312" w:hAnsi="仿宋_GB2312" w:eastAsia="仿宋_GB2312" w:cs="仿宋_GB2312"/>
          <w:color w:val="000000"/>
          <w:spacing w:val="-6"/>
          <w:sz w:val="32"/>
          <w:szCs w:val="32"/>
        </w:rPr>
        <w:t>打造覆盖全生命周期卫生健康服务体系。</w:t>
      </w:r>
    </w:p>
    <w:p w14:paraId="5EE21A98">
      <w:pPr>
        <w:keepNext w:val="0"/>
        <w:keepLines w:val="0"/>
        <w:pageBreakBefore w:val="0"/>
        <w:widowControl w:val="0"/>
        <w:kinsoku/>
        <w:wordWrap/>
        <w:overflowPunct w:val="0"/>
        <w:topLinePunct w:val="0"/>
        <w:autoSpaceDE/>
        <w:autoSpaceDN/>
        <w:bidi w:val="0"/>
        <w:adjustRightInd w:val="0"/>
        <w:snapToGrid w:val="0"/>
        <w:spacing w:beforeLines="0" w:afterLines="0" w:line="590" w:lineRule="exact"/>
        <w:ind w:left="0" w:leftChars="0" w:firstLine="643" w:firstLineChars="200"/>
        <w:jc w:val="left"/>
        <w:textAlignment w:val="auto"/>
        <w:outlineLvl w:val="9"/>
        <w:rPr>
          <w:rFonts w:hint="eastAsia" w:ascii="仿宋_GB2312" w:hAnsi="仿宋_GB2312" w:eastAsia="仿宋_GB2312" w:cs="仿宋_GB2312"/>
          <w:b w:val="0"/>
          <w:bCs w:val="0"/>
          <w:sz w:val="32"/>
          <w:szCs w:val="32"/>
          <w:lang w:val="en-US" w:eastAsia="zh-CN"/>
        </w:rPr>
      </w:pPr>
      <w:bookmarkStart w:id="70" w:name="_Toc1413932575"/>
      <w:r>
        <w:rPr>
          <w:rFonts w:hint="eastAsia" w:ascii="仿宋_GB2312" w:hAnsi="仿宋_GB2312" w:eastAsia="仿宋_GB2312" w:cs="仿宋_GB2312"/>
          <w:b/>
          <w:bCs/>
          <w:sz w:val="32"/>
          <w:szCs w:val="32"/>
          <w:lang w:val="en-US" w:eastAsia="zh-CN"/>
        </w:rPr>
        <w:t>深化医药卫生体制改革。</w:t>
      </w:r>
      <w:r>
        <w:rPr>
          <w:rFonts w:hint="eastAsia" w:ascii="仿宋_GB2312" w:hAnsi="仿宋_GB2312" w:eastAsia="仿宋_GB2312" w:cs="仿宋_GB2312"/>
          <w:b w:val="0"/>
          <w:bCs w:val="0"/>
          <w:sz w:val="32"/>
          <w:szCs w:val="32"/>
          <w:lang w:val="en-US" w:eastAsia="zh-CN"/>
        </w:rPr>
        <w:t>健全医疗、医保、医药协同发展和治理机制，积极开展紧密型城市医疗集团建设，推动优质医疗资源扩容下沉</w:t>
      </w:r>
      <w:r>
        <w:rPr>
          <w:rFonts w:hint="eastAsia" w:cs="仿宋_GB2312"/>
          <w:b w:val="0"/>
          <w:bCs w:val="0"/>
          <w:sz w:val="32"/>
          <w:szCs w:val="32"/>
          <w:lang w:val="en-US" w:eastAsia="zh-CN"/>
        </w:rPr>
        <w:t>。</w:t>
      </w:r>
      <w:r>
        <w:rPr>
          <w:rFonts w:hint="eastAsia" w:ascii="仿宋_GB2312" w:hAnsi="仿宋_GB2312" w:eastAsia="仿宋_GB2312" w:cs="仿宋_GB2312"/>
          <w:b w:val="0"/>
          <w:bCs w:val="0"/>
          <w:sz w:val="32"/>
          <w:szCs w:val="32"/>
          <w:lang w:val="en-US" w:eastAsia="zh-CN"/>
        </w:rPr>
        <w:t>积极落实分级诊疗制度，完善现代医院管理制度，加强医疗卫生行业综合监管，统筹推进公立医院高质量发展，促进社会办医持续健康规范发展。加快医疗基础设施建设，改造提升村卫生室硬件设施，</w:t>
      </w:r>
      <w:r>
        <w:rPr>
          <w:rFonts w:hint="eastAsia" w:ascii="仿宋_GB2312" w:hAnsi="仿宋_GB2312" w:eastAsia="仿宋_GB2312" w:cs="仿宋_GB2312"/>
          <w:color w:val="000000"/>
          <w:sz w:val="32"/>
          <w:szCs w:val="32"/>
        </w:rPr>
        <w:t>强化基层医疗机构服务能力</w:t>
      </w:r>
      <w:r>
        <w:rPr>
          <w:rFonts w:hint="eastAsia" w:ascii="仿宋_GB2312" w:hAnsi="仿宋_GB2312" w:eastAsia="仿宋_GB2312" w:cs="仿宋_GB2312"/>
          <w:b w:val="0"/>
          <w:bCs w:val="0"/>
          <w:sz w:val="32"/>
          <w:szCs w:val="32"/>
          <w:lang w:val="en-US" w:eastAsia="zh-CN"/>
        </w:rPr>
        <w:t>。推动数字医疗体系建设</w:t>
      </w:r>
      <w:r>
        <w:rPr>
          <w:rFonts w:hint="eastAsia" w:cs="仿宋_GB2312"/>
          <w:b w:val="0"/>
          <w:bCs w:val="0"/>
          <w:sz w:val="32"/>
          <w:szCs w:val="32"/>
          <w:lang w:val="en-US" w:eastAsia="zh-CN"/>
        </w:rPr>
        <w:t>，</w:t>
      </w:r>
      <w:r>
        <w:rPr>
          <w:rFonts w:hint="eastAsia" w:ascii="仿宋_GB2312" w:hAnsi="仿宋_GB2312" w:eastAsia="仿宋_GB2312" w:cs="仿宋_GB2312"/>
          <w:b w:val="0"/>
          <w:bCs w:val="0"/>
          <w:sz w:val="32"/>
          <w:szCs w:val="32"/>
          <w:lang w:val="en-US" w:eastAsia="zh-CN"/>
        </w:rPr>
        <w:t>推广家庭医生签约服务。</w:t>
      </w:r>
      <w:bookmarkEnd w:id="70"/>
    </w:p>
    <w:p w14:paraId="366A68D6">
      <w:pPr>
        <w:keepNext w:val="0"/>
        <w:keepLines w:val="0"/>
        <w:pageBreakBefore w:val="0"/>
        <w:widowControl w:val="0"/>
        <w:kinsoku/>
        <w:wordWrap/>
        <w:overflowPunct w:val="0"/>
        <w:topLinePunct w:val="0"/>
        <w:autoSpaceDE/>
        <w:autoSpaceDN/>
        <w:bidi w:val="0"/>
        <w:adjustRightInd w:val="0"/>
        <w:snapToGrid w:val="0"/>
        <w:spacing w:beforeLines="0" w:afterLines="0" w:line="590" w:lineRule="exact"/>
        <w:ind w:left="0" w:leftChars="0" w:firstLine="643" w:firstLineChars="200"/>
        <w:jc w:val="left"/>
        <w:textAlignment w:val="auto"/>
        <w:outlineLvl w:val="9"/>
        <w:rPr>
          <w:rFonts w:hint="eastAsia" w:ascii="仿宋_GB2312" w:hAnsi="仿宋_GB2312" w:eastAsia="仿宋_GB2312" w:cs="仿宋_GB2312"/>
          <w:b w:val="0"/>
          <w:bCs w:val="0"/>
          <w:sz w:val="32"/>
          <w:szCs w:val="32"/>
          <w:lang w:val="en-US" w:eastAsia="zh-CN"/>
        </w:rPr>
      </w:pPr>
      <w:bookmarkStart w:id="71" w:name="_Toc69037416"/>
      <w:r>
        <w:rPr>
          <w:rFonts w:hint="eastAsia" w:ascii="仿宋_GB2312" w:hAnsi="仿宋_GB2312" w:eastAsia="仿宋_GB2312" w:cs="仿宋_GB2312"/>
          <w:b/>
          <w:bCs/>
          <w:sz w:val="32"/>
          <w:szCs w:val="32"/>
          <w:lang w:val="en-US" w:eastAsia="zh-CN"/>
        </w:rPr>
        <w:t>促进卫生事业发展。</w:t>
      </w:r>
      <w:r>
        <w:rPr>
          <w:rFonts w:hint="eastAsia" w:ascii="仿宋_GB2312" w:hAnsi="仿宋_GB2312" w:eastAsia="仿宋_GB2312" w:cs="仿宋_GB2312"/>
          <w:b w:val="0"/>
          <w:bCs w:val="0"/>
          <w:sz w:val="32"/>
          <w:szCs w:val="32"/>
          <w:lang w:val="en-US" w:eastAsia="zh-CN"/>
        </w:rPr>
        <w:t>加快发展医疗健康产业，支持医疗器械和医学检验产业发展。聚力提升中医药服务能力，推动中医药传承创新，积极发展“中医药+”健康新业态。提升健康教育、慢病管理和残疾人康复服务质量，重视精神卫生和心理健康，推动“暖心家园”项目争创国家级、省级</w:t>
      </w:r>
      <w:r>
        <w:rPr>
          <w:rFonts w:hint="eastAsia" w:cs="仿宋_GB2312"/>
          <w:b w:val="0"/>
          <w:bCs w:val="0"/>
          <w:sz w:val="32"/>
          <w:szCs w:val="32"/>
          <w:lang w:val="en-US" w:eastAsia="zh-CN"/>
        </w:rPr>
        <w:t>荣誉</w:t>
      </w:r>
      <w:r>
        <w:rPr>
          <w:rFonts w:hint="eastAsia" w:ascii="仿宋_GB2312" w:hAnsi="仿宋_GB2312" w:eastAsia="仿宋_GB2312" w:cs="仿宋_GB2312"/>
          <w:b w:val="0"/>
          <w:bCs w:val="0"/>
          <w:sz w:val="32"/>
          <w:szCs w:val="32"/>
          <w:lang w:val="en-US" w:eastAsia="zh-CN"/>
        </w:rPr>
        <w:t>，支持天桥第二人民医院打造现代化区域精神卫生医疗康复综合体。</w:t>
      </w:r>
      <w:bookmarkEnd w:id="71"/>
    </w:p>
    <w:p w14:paraId="5742200B">
      <w:pPr>
        <w:keepNext w:val="0"/>
        <w:keepLines w:val="0"/>
        <w:pageBreakBefore w:val="0"/>
        <w:widowControl w:val="0"/>
        <w:kinsoku/>
        <w:wordWrap/>
        <w:overflowPunct w:val="0"/>
        <w:topLinePunct w:val="0"/>
        <w:autoSpaceDE/>
        <w:autoSpaceDN/>
        <w:bidi w:val="0"/>
        <w:adjustRightInd w:val="0"/>
        <w:snapToGrid w:val="0"/>
        <w:spacing w:beforeLines="0" w:afterLines="0" w:line="590" w:lineRule="exact"/>
        <w:ind w:left="0" w:leftChars="0" w:firstLine="643" w:firstLineChars="200"/>
        <w:jc w:val="left"/>
        <w:textAlignment w:val="auto"/>
        <w:outlineLvl w:val="9"/>
        <w:rPr>
          <w:rFonts w:hint="eastAsia" w:ascii="仿宋_GB2312" w:hAnsi="仿宋_GB2312" w:eastAsia="仿宋_GB2312" w:cs="仿宋_GB2312"/>
          <w:b w:val="0"/>
          <w:bCs w:val="0"/>
          <w:sz w:val="32"/>
          <w:szCs w:val="32"/>
          <w:lang w:val="en-US" w:eastAsia="zh-CN"/>
        </w:rPr>
      </w:pPr>
      <w:bookmarkStart w:id="72" w:name="_Toc632743732"/>
      <w:r>
        <w:rPr>
          <w:rFonts w:hint="eastAsia" w:ascii="仿宋_GB2312" w:hAnsi="仿宋_GB2312" w:eastAsia="仿宋_GB2312" w:cs="仿宋_GB2312"/>
          <w:b/>
          <w:bCs/>
          <w:sz w:val="32"/>
          <w:szCs w:val="32"/>
          <w:lang w:val="en-US" w:eastAsia="zh-CN"/>
        </w:rPr>
        <w:t>加强公共卫生防护体系建设。</w:t>
      </w:r>
      <w:r>
        <w:rPr>
          <w:rFonts w:hint="eastAsia" w:ascii="仿宋_GB2312" w:hAnsi="仿宋_GB2312" w:eastAsia="仿宋_GB2312" w:cs="仿宋_GB2312"/>
          <w:b w:val="0"/>
          <w:bCs w:val="0"/>
          <w:sz w:val="32"/>
          <w:szCs w:val="32"/>
          <w:lang w:val="en-US" w:eastAsia="zh-CN"/>
        </w:rPr>
        <w:t>强化医防协同、医防融合，全面提升监测预警、检验检测、流行病学调查、应急处置、风险评估和公共卫生干预“六大核心能力”，加强疾控体系建设，防控重大传染病。健全全民健身公共服务体系，持续完善“15分钟健身圈”。</w:t>
      </w:r>
      <w:bookmarkEnd w:id="72"/>
    </w:p>
    <w:p w14:paraId="62CC200D">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b w:val="0"/>
          <w:bCs w:val="0"/>
          <w:sz w:val="32"/>
          <w:szCs w:val="32"/>
          <w:u w:val="none"/>
          <w:lang w:val="en-US" w:eastAsia="zh-CN"/>
        </w:rPr>
      </w:pPr>
      <w:bookmarkStart w:id="73" w:name="_Toc958597340"/>
      <w:r>
        <w:rPr>
          <w:rFonts w:hint="eastAsia"/>
          <w:b w:val="0"/>
          <w:bCs w:val="0"/>
          <w:sz w:val="32"/>
          <w:szCs w:val="32"/>
          <w:u w:val="none"/>
          <w:lang w:val="en-US" w:eastAsia="zh-CN"/>
        </w:rPr>
        <w:t>第四节  提高社会保障水平</w:t>
      </w:r>
      <w:bookmarkEnd w:id="73"/>
    </w:p>
    <w:p w14:paraId="146AD716">
      <w:pPr>
        <w:keepNext w:val="0"/>
        <w:keepLines w:val="0"/>
        <w:pageBreakBefore w:val="0"/>
        <w:widowControl w:val="0"/>
        <w:tabs>
          <w:tab w:val="right" w:leader="dot" w:pos="8777"/>
          <w:tab w:val="right" w:leader="dot" w:pos="9060"/>
        </w:tabs>
        <w:kinsoku/>
        <w:wordWrap/>
        <w:overflowPunct w:val="0"/>
        <w:topLinePunct w:val="0"/>
        <w:autoSpaceDE/>
        <w:autoSpaceDN/>
        <w:bidi w:val="0"/>
        <w:adjustRightInd/>
        <w:snapToGrid/>
        <w:spacing w:line="590" w:lineRule="exact"/>
        <w:ind w:firstLine="640"/>
        <w:textAlignment w:val="auto"/>
        <w:outlineLvl w:val="9"/>
        <w:rPr>
          <w:rFonts w:hint="eastAsia" w:ascii="仿宋_GB2312" w:hAnsi="仿宋_GB2312" w:eastAsia="仿宋_GB2312" w:cs="仿宋_GB2312"/>
          <w:color w:val="auto"/>
          <w:sz w:val="32"/>
          <w:szCs w:val="32"/>
          <w:lang w:val="en-US" w:eastAsia="zh-CN" w:bidi="ar-SA"/>
        </w:rPr>
      </w:pPr>
      <w:r>
        <w:rPr>
          <w:rFonts w:hint="eastAsia" w:ascii="仿宋_GB2312" w:hAnsi="仿宋_GB2312" w:eastAsia="仿宋_GB2312" w:cs="仿宋_GB2312"/>
          <w:color w:val="auto"/>
          <w:sz w:val="32"/>
          <w:szCs w:val="32"/>
          <w:lang w:val="en-US" w:eastAsia="zh-CN" w:bidi="ar-SA"/>
        </w:rPr>
        <w:t>坚持织密扎牢社会保障安全网，加快构建覆盖全民、统筹城乡、公平统一、安全规范、可持续的多层次社会保障体系，在发展中稳步提升民生福祉水平。</w:t>
      </w:r>
    </w:p>
    <w:p w14:paraId="2BC02619">
      <w:pPr>
        <w:keepNext w:val="0"/>
        <w:keepLines w:val="0"/>
        <w:pageBreakBefore w:val="0"/>
        <w:widowControl w:val="0"/>
        <w:tabs>
          <w:tab w:val="right" w:leader="dot" w:pos="8777"/>
          <w:tab w:val="right" w:leader="dot" w:pos="9060"/>
        </w:tabs>
        <w:kinsoku/>
        <w:wordWrap/>
        <w:overflowPunct w:val="0"/>
        <w:topLinePunct w:val="0"/>
        <w:autoSpaceDE/>
        <w:autoSpaceDN/>
        <w:bidi w:val="0"/>
        <w:adjustRightInd/>
        <w:snapToGrid/>
        <w:spacing w:line="590" w:lineRule="exact"/>
        <w:ind w:firstLine="640"/>
        <w:textAlignment w:val="auto"/>
        <w:outlineLvl w:val="9"/>
        <w:rPr>
          <w:rFonts w:hint="eastAsia" w:ascii="仿宋_GB2312" w:hAnsi="仿宋_GB2312" w:eastAsia="仿宋_GB2312" w:cs="仿宋_GB2312"/>
          <w:color w:val="auto"/>
          <w:sz w:val="32"/>
          <w:szCs w:val="32"/>
          <w:lang w:val="en-US" w:eastAsia="zh-CN" w:bidi="ar-SA"/>
        </w:rPr>
      </w:pPr>
      <w:r>
        <w:rPr>
          <w:rFonts w:hint="eastAsia" w:ascii="仿宋_GB2312" w:hAnsi="仿宋_GB2312" w:eastAsia="仿宋_GB2312" w:cs="仿宋_GB2312"/>
          <w:b/>
          <w:bCs/>
          <w:color w:val="auto"/>
          <w:sz w:val="32"/>
          <w:szCs w:val="32"/>
          <w:lang w:val="en-US" w:eastAsia="zh-CN" w:bidi="ar-SA"/>
        </w:rPr>
        <w:t>完善多层次保障体系</w:t>
      </w:r>
      <w:r>
        <w:rPr>
          <w:rFonts w:hint="eastAsia" w:cs="仿宋_GB2312"/>
          <w:color w:val="auto"/>
          <w:sz w:val="32"/>
          <w:szCs w:val="32"/>
          <w:lang w:val="en-US" w:eastAsia="zh-CN" w:bidi="ar-SA"/>
        </w:rPr>
        <w:t>。</w:t>
      </w:r>
      <w:r>
        <w:rPr>
          <w:rFonts w:hint="eastAsia" w:ascii="仿宋_GB2312" w:hAnsi="仿宋_GB2312" w:eastAsia="仿宋_GB2312" w:cs="仿宋_GB2312"/>
          <w:color w:val="000000"/>
          <w:sz w:val="32"/>
          <w:szCs w:val="32"/>
        </w:rPr>
        <w:t>健全社会保障体系，实施全民参保行动，以灵活就业人员、农民工、新就业形态人员等群体为重点扩大参保覆盖面。健全多层次医疗保障体系，协同推进基本医疗保险、大病保险、补充医疗保险、商业健康保险发展，推进医保服务城乡全覆盖。健全社会救助体系，加强低收入人口动态监测和常态化救助帮扶，保障困难群众生活。</w:t>
      </w:r>
      <w:r>
        <w:rPr>
          <w:rFonts w:hint="eastAsia" w:cs="仿宋_GB2312"/>
          <w:color w:val="000000"/>
          <w:sz w:val="32"/>
          <w:szCs w:val="32"/>
          <w:lang w:eastAsia="zh-CN"/>
        </w:rPr>
        <w:t>鼓励殡葬事业发展，支持基本殡葬服务设施建设。</w:t>
      </w:r>
    </w:p>
    <w:p w14:paraId="49399C28">
      <w:pPr>
        <w:keepNext w:val="0"/>
        <w:keepLines w:val="0"/>
        <w:pageBreakBefore w:val="0"/>
        <w:widowControl w:val="0"/>
        <w:numPr>
          <w:ilvl w:val="-1"/>
          <w:numId w:val="0"/>
        </w:numPr>
        <w:kinsoku/>
        <w:wordWrap/>
        <w:overflowPunct w:val="0"/>
        <w:topLinePunct w:val="0"/>
        <w:autoSpaceDE/>
        <w:autoSpaceDN/>
        <w:bidi w:val="0"/>
        <w:adjustRightInd/>
        <w:snapToGrid/>
        <w:spacing w:line="590" w:lineRule="exact"/>
        <w:ind w:left="0" w:leftChars="0" w:firstLine="643" w:firstLineChars="200"/>
        <w:textAlignment w:val="auto"/>
        <w:outlineLvl w:val="9"/>
        <w:rPr>
          <w:rFonts w:hint="default" w:ascii="仿宋_GB2312" w:hAnsi="仿宋_GB2312" w:eastAsia="仿宋_GB2312" w:cs="仿宋_GB2312"/>
          <w:b w:val="0"/>
          <w:bCs/>
          <w:color w:val="000000" w:themeColor="text1"/>
          <w:kern w:val="0"/>
          <w:sz w:val="32"/>
          <w:szCs w:val="32"/>
          <w:u w:val="none"/>
          <w:lang w:val="en-US" w:eastAsia="zh-CN" w:bidi="ar-SA"/>
          <w14:textFill>
            <w14:solidFill>
              <w14:schemeClr w14:val="tx1"/>
            </w14:solidFill>
          </w14:textFill>
        </w:rPr>
      </w:pPr>
      <w:r>
        <w:rPr>
          <w:rFonts w:hint="eastAsia" w:ascii="仿宋_GB2312" w:hAnsi="仿宋_GB2312" w:eastAsia="仿宋_GB2312" w:cs="仿宋_GB2312"/>
          <w:b/>
          <w:bCs/>
          <w:sz w:val="32"/>
          <w:szCs w:val="32"/>
          <w:lang w:val="en-US" w:eastAsia="zh-CN"/>
        </w:rPr>
        <w:t>构建多支柱养老服务体系</w:t>
      </w:r>
      <w:r>
        <w:rPr>
          <w:rFonts w:hint="eastAsia" w:ascii="仿宋_GB2312" w:hAnsi="仿宋_GB2312" w:eastAsia="仿宋_GB2312" w:cs="仿宋_GB2312"/>
          <w:b/>
          <w:bCs/>
          <w:color w:val="auto"/>
          <w:sz w:val="32"/>
          <w:szCs w:val="32"/>
          <w:lang w:val="en-US" w:eastAsia="zh-CN" w:bidi="ar-SA"/>
        </w:rPr>
        <w:t>。</w:t>
      </w:r>
      <w:r>
        <w:rPr>
          <w:rFonts w:hint="default" w:ascii="仿宋_GB2312" w:hAnsi="仿宋_GB2312" w:eastAsia="仿宋_GB2312" w:cs="仿宋_GB2312"/>
          <w:b w:val="0"/>
          <w:bCs/>
          <w:color w:val="000000" w:themeColor="text1"/>
          <w:kern w:val="0"/>
          <w:sz w:val="32"/>
          <w:szCs w:val="32"/>
          <w:u w:val="none"/>
          <w:lang w:val="en-US" w:eastAsia="zh-CN" w:bidi="ar-SA"/>
          <w14:textFill>
            <w14:solidFill>
              <w14:schemeClr w14:val="tx1"/>
            </w14:solidFill>
          </w14:textFill>
        </w:rPr>
        <w:t>积极应对人口老龄化，优化基本养老服务供给，构建居家社区机构相协调、医养康养相结合的养老服务体系。</w:t>
      </w:r>
      <w:r>
        <w:rPr>
          <w:rFonts w:hint="eastAsia" w:ascii="仿宋_GB2312" w:hAnsi="仿宋_GB2312" w:eastAsia="仿宋_GB2312" w:cs="仿宋_GB2312"/>
          <w:color w:val="000000"/>
          <w:sz w:val="32"/>
          <w:szCs w:val="32"/>
        </w:rPr>
        <w:t>做强“安享天桥”养老服务品牌，</w:t>
      </w:r>
      <w:r>
        <w:rPr>
          <w:rFonts w:hint="default" w:ascii="仿宋_GB2312" w:hAnsi="仿宋_GB2312" w:eastAsia="仿宋_GB2312" w:cs="仿宋_GB2312"/>
          <w:b w:val="0"/>
          <w:bCs/>
          <w:color w:val="000000" w:themeColor="text1"/>
          <w:kern w:val="0"/>
          <w:sz w:val="32"/>
          <w:szCs w:val="32"/>
          <w:u w:val="none"/>
          <w:lang w:val="en-US" w:eastAsia="zh-CN" w:bidi="ar-SA"/>
          <w14:textFill>
            <w14:solidFill>
              <w14:schemeClr w14:val="tx1"/>
            </w14:solidFill>
          </w14:textFill>
        </w:rPr>
        <w:t>倡导积极老龄观，支持老年人社会参与</w:t>
      </w:r>
      <w:r>
        <w:rPr>
          <w:rFonts w:hint="eastAsia" w:cs="仿宋_GB2312"/>
          <w:b w:val="0"/>
          <w:bCs/>
          <w:color w:val="000000" w:themeColor="text1"/>
          <w:kern w:val="0"/>
          <w:sz w:val="32"/>
          <w:szCs w:val="32"/>
          <w:u w:val="none"/>
          <w:lang w:val="en-US" w:eastAsia="zh-CN" w:bidi="ar-SA"/>
          <w14:textFill>
            <w14:solidFill>
              <w14:schemeClr w14:val="tx1"/>
            </w14:solidFill>
          </w14:textFill>
        </w:rPr>
        <w:t>，</w:t>
      </w:r>
      <w:r>
        <w:rPr>
          <w:rFonts w:hint="eastAsia" w:ascii="仿宋_GB2312" w:hAnsi="仿宋_GB2312" w:eastAsia="仿宋_GB2312" w:cs="仿宋_GB2312"/>
          <w:color w:val="000000"/>
          <w:sz w:val="32"/>
          <w:szCs w:val="32"/>
        </w:rPr>
        <w:t>推动养老事业和养老产业协同发展，</w:t>
      </w:r>
      <w:r>
        <w:rPr>
          <w:rFonts w:hint="eastAsia" w:ascii="仿宋_GB2312" w:hAnsi="仿宋_GB2312" w:eastAsia="仿宋_GB2312" w:cs="仿宋_GB2312"/>
          <w:color w:val="auto"/>
          <w:sz w:val="32"/>
          <w:szCs w:val="32"/>
          <w:lang w:val="en-US" w:eastAsia="zh-CN" w:bidi="ar-SA"/>
        </w:rPr>
        <w:t>积极发展“银发经济”，</w:t>
      </w:r>
      <w:r>
        <w:rPr>
          <w:rFonts w:hint="eastAsia" w:ascii="仿宋_GB2312" w:hAnsi="仿宋_GB2312" w:eastAsia="仿宋_GB2312" w:cs="仿宋_GB2312"/>
          <w:color w:val="000000"/>
          <w:sz w:val="32"/>
          <w:szCs w:val="32"/>
        </w:rPr>
        <w:t>增加普惠型基本养老服务供给，发展互助式养老，加强公共设施适老化和无障碍改造。</w:t>
      </w:r>
      <w:r>
        <w:rPr>
          <w:rFonts w:hint="default" w:ascii="仿宋_GB2312" w:hAnsi="仿宋_GB2312" w:eastAsia="仿宋_GB2312" w:cs="仿宋_GB2312"/>
          <w:b w:val="0"/>
          <w:bCs/>
          <w:color w:val="000000" w:themeColor="text1"/>
          <w:kern w:val="0"/>
          <w:sz w:val="32"/>
          <w:szCs w:val="32"/>
          <w:u w:val="none"/>
          <w:lang w:val="en-US" w:eastAsia="zh-CN" w:bidi="ar-SA"/>
          <w14:textFill>
            <w14:solidFill>
              <w14:schemeClr w14:val="tx1"/>
            </w14:solidFill>
          </w14:textFill>
        </w:rPr>
        <w:t>推动老年人力资源开发，实现老有所养、老有所为、老有所乐。</w:t>
      </w:r>
    </w:p>
    <w:p w14:paraId="6639B2DE">
      <w:pPr>
        <w:keepNext w:val="0"/>
        <w:keepLines w:val="0"/>
        <w:pageBreakBefore w:val="0"/>
        <w:widowControl w:val="0"/>
        <w:kinsoku/>
        <w:wordWrap/>
        <w:overflowPunct w:val="0"/>
        <w:topLinePunct w:val="0"/>
        <w:autoSpaceDE/>
        <w:autoSpaceDN/>
        <w:bidi w:val="0"/>
        <w:adjustRightInd/>
        <w:snapToGrid/>
        <w:spacing w:line="590" w:lineRule="exact"/>
        <w:ind w:firstLine="643" w:firstLineChars="200"/>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color w:val="auto"/>
          <w:sz w:val="32"/>
          <w:szCs w:val="32"/>
          <w:lang w:val="en-US" w:eastAsia="zh-CN" w:bidi="ar-SA"/>
        </w:rPr>
        <w:t>健全</w:t>
      </w:r>
      <w:r>
        <w:rPr>
          <w:rFonts w:hint="eastAsia" w:cs="仿宋_GB2312"/>
          <w:b/>
          <w:bCs/>
          <w:color w:val="auto"/>
          <w:sz w:val="32"/>
          <w:szCs w:val="32"/>
          <w:lang w:val="en-US" w:eastAsia="zh-CN" w:bidi="ar-SA"/>
        </w:rPr>
        <w:t>完善</w:t>
      </w:r>
      <w:r>
        <w:rPr>
          <w:rFonts w:hint="eastAsia" w:ascii="仿宋_GB2312" w:hAnsi="仿宋_GB2312" w:eastAsia="仿宋_GB2312" w:cs="仿宋_GB2312"/>
          <w:b/>
          <w:bCs/>
          <w:color w:val="auto"/>
          <w:sz w:val="32"/>
          <w:szCs w:val="32"/>
          <w:lang w:val="en-US" w:eastAsia="zh-CN" w:bidi="ar-SA"/>
        </w:rPr>
        <w:t>民生保障体系</w:t>
      </w:r>
      <w:r>
        <w:rPr>
          <w:rFonts w:hint="eastAsia" w:ascii="仿宋_GB2312" w:hAnsi="仿宋_GB2312" w:eastAsia="仿宋_GB2312" w:cs="仿宋_GB2312"/>
          <w:color w:val="auto"/>
          <w:sz w:val="32"/>
          <w:szCs w:val="32"/>
          <w:lang w:val="en-US" w:eastAsia="zh-CN" w:bidi="ar-SA"/>
        </w:rPr>
        <w:t>。</w:t>
      </w:r>
      <w:r>
        <w:rPr>
          <w:rFonts w:hint="eastAsia" w:ascii="仿宋_GB2312" w:hAnsi="仿宋_GB2312" w:eastAsia="仿宋_GB2312" w:cs="仿宋_GB2312"/>
          <w:color w:val="000000" w:themeColor="text1"/>
          <w:sz w:val="32"/>
          <w:szCs w:val="32"/>
          <w14:textFill>
            <w14:solidFill>
              <w14:schemeClr w14:val="tx1"/>
            </w14:solidFill>
          </w14:textFill>
        </w:rPr>
        <w:t>促进和规范公益慈善事业发展，健全帮扶特殊群体社会福利制度。</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优化流动人口服务资源配置</w:t>
      </w:r>
      <w:r>
        <w:rPr>
          <w:rFonts w:hint="eastAsia" w:cs="仿宋_GB2312"/>
          <w:color w:val="000000" w:themeColor="text1"/>
          <w:sz w:val="32"/>
          <w:szCs w:val="32"/>
          <w:lang w:val="en-US" w:eastAsia="zh-CN"/>
          <w14:textFill>
            <w14:solidFill>
              <w14:schemeClr w14:val="tx1"/>
            </w14:solidFill>
          </w14:textFill>
        </w:rPr>
        <w:t>，</w:t>
      </w:r>
      <w:r>
        <w:rPr>
          <w:rFonts w:hint="eastAsia" w:cs="仿宋_GB2312"/>
          <w:color w:val="000000" w:themeColor="text1"/>
          <w:sz w:val="32"/>
          <w:szCs w:val="32"/>
          <w:lang w:eastAsia="zh-CN"/>
          <w14:textFill>
            <w14:solidFill>
              <w14:schemeClr w14:val="tx1"/>
            </w14:solidFill>
          </w14:textFill>
        </w:rPr>
        <w:t>加强残疾人无障碍基础设施改造。</w:t>
      </w:r>
      <w:r>
        <w:rPr>
          <w:rFonts w:hint="eastAsia" w:ascii="仿宋_GB2312" w:hAnsi="仿宋_GB2312" w:eastAsia="仿宋_GB2312" w:cs="仿宋_GB2312"/>
          <w:color w:val="000000" w:themeColor="text1"/>
          <w:sz w:val="32"/>
          <w:szCs w:val="32"/>
          <w14:textFill>
            <w14:solidFill>
              <w14:schemeClr w14:val="tx1"/>
            </w14:solidFill>
          </w14:textFill>
        </w:rPr>
        <w:t>保障妇女儿童合法权益</w:t>
      </w:r>
      <w:r>
        <w:rPr>
          <w:rFonts w:hint="eastAsia" w:cs="仿宋_GB2312"/>
          <w:color w:val="000000" w:themeColor="text1"/>
          <w:sz w:val="32"/>
          <w:szCs w:val="32"/>
          <w:lang w:eastAsia="zh-CN"/>
          <w14:textFill>
            <w14:solidFill>
              <w14:schemeClr w14:val="tx1"/>
            </w14:solidFill>
          </w14:textFill>
        </w:rPr>
        <w:t>，</w:t>
      </w:r>
      <w:r>
        <w:rPr>
          <w:rFonts w:hint="default" w:ascii="仿宋_GB2312" w:hAnsi="仿宋_GB2312" w:eastAsia="仿宋_GB2312" w:cs="仿宋_GB2312"/>
          <w:b w:val="0"/>
          <w:bCs/>
          <w:color w:val="000000" w:themeColor="text1"/>
          <w:kern w:val="0"/>
          <w:sz w:val="32"/>
          <w:szCs w:val="32"/>
          <w:u w:val="none"/>
          <w:lang w:val="en-US" w:eastAsia="zh-CN" w:bidi="ar-SA"/>
          <w14:textFill>
            <w14:solidFill>
              <w14:schemeClr w14:val="tx1"/>
            </w14:solidFill>
          </w14:textFill>
        </w:rPr>
        <w:t>严厉打击侵害未成年人合法权益行为</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cs="仿宋_GB2312"/>
          <w:color w:val="000000" w:themeColor="text1"/>
          <w:sz w:val="32"/>
          <w:szCs w:val="32"/>
          <w:lang w:eastAsia="zh-CN"/>
          <w14:textFill>
            <w14:solidFill>
              <w14:schemeClr w14:val="tx1"/>
            </w14:solidFill>
          </w14:textFill>
        </w:rPr>
        <w:t>持续</w:t>
      </w:r>
      <w:r>
        <w:rPr>
          <w:rFonts w:hint="eastAsia" w:cs="仿宋_GB2312"/>
          <w:sz w:val="32"/>
          <w:szCs w:val="32"/>
          <w:lang w:eastAsia="zh-CN"/>
        </w:rPr>
        <w:t>构建青年发展型城区，</w:t>
      </w:r>
      <w:r>
        <w:rPr>
          <w:rFonts w:hint="eastAsia" w:cs="仿宋_GB2312"/>
          <w:color w:val="000000" w:themeColor="text1"/>
          <w:sz w:val="32"/>
          <w:szCs w:val="32"/>
          <w:lang w:eastAsia="zh-CN"/>
          <w14:textFill>
            <w14:solidFill>
              <w14:schemeClr w14:val="tx1"/>
            </w14:solidFill>
          </w14:textFill>
        </w:rPr>
        <w:t>构筑</w:t>
      </w:r>
      <w:r>
        <w:rPr>
          <w:rFonts w:hint="eastAsia" w:ascii="仿宋_GB2312" w:hAnsi="仿宋_GB2312" w:eastAsia="仿宋_GB2312" w:cs="仿宋_GB2312"/>
          <w:sz w:val="32"/>
          <w:szCs w:val="32"/>
        </w:rPr>
        <w:t>青年友好发展生态</w:t>
      </w:r>
      <w:r>
        <w:rPr>
          <w:rFonts w:hint="eastAsia" w:cs="仿宋_GB2312"/>
          <w:sz w:val="32"/>
          <w:szCs w:val="32"/>
          <w:lang w:eastAsia="zh-CN"/>
        </w:rPr>
        <w:t>。</w:t>
      </w:r>
      <w:r>
        <w:rPr>
          <w:rFonts w:hint="eastAsia" w:ascii="仿宋_GB2312" w:hAnsi="仿宋_GB2312" w:eastAsia="仿宋_GB2312" w:cs="仿宋_GB2312"/>
          <w:color w:val="000000" w:themeColor="text1"/>
          <w:sz w:val="32"/>
          <w:szCs w:val="32"/>
          <w14:textFill>
            <w14:solidFill>
              <w14:schemeClr w14:val="tx1"/>
            </w14:solidFill>
          </w14:textFill>
        </w:rPr>
        <w:t>发展普惠托育和托幼一体化服务，发展社区嵌入式托育和家庭托育点，支持有条件的幼儿园延伸发展托育服务。加强退役军人服务保障</w:t>
      </w:r>
      <w:r>
        <w:rPr>
          <w:rFonts w:hint="eastAsia"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sz w:val="32"/>
          <w:szCs w:val="32"/>
          <w:lang w:val="en-US" w:eastAsia="zh-CN"/>
        </w:rPr>
        <w:t>维护退役军人合法权益</w:t>
      </w:r>
      <w:r>
        <w:rPr>
          <w:rFonts w:hint="eastAsia" w:ascii="仿宋_GB2312" w:hAnsi="仿宋_GB2312" w:eastAsia="仿宋_GB2312" w:cs="仿宋_GB2312"/>
          <w:color w:val="000000" w:themeColor="text1"/>
          <w:sz w:val="32"/>
          <w:szCs w:val="32"/>
          <w14:textFill>
            <w14:solidFill>
              <w14:schemeClr w14:val="tx1"/>
            </w14:solidFill>
          </w14:textFill>
        </w:rPr>
        <w:t>。稳步推进基本公共服务均等化，推动更多公共服务向农村覆盖、向困难群众倾斜。落实国家生育政策，促进人口长期均衡发展，提高人口素质。</w:t>
      </w:r>
    </w:p>
    <w:p w14:paraId="78B2F223">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default"/>
          <w:b w:val="0"/>
          <w:bCs w:val="0"/>
          <w:sz w:val="32"/>
          <w:szCs w:val="32"/>
          <w:u w:val="none"/>
          <w:lang w:val="en-US" w:eastAsia="zh-CN"/>
        </w:rPr>
      </w:pPr>
      <w:bookmarkStart w:id="74" w:name="_Toc1755882477"/>
      <w:r>
        <w:rPr>
          <w:rFonts w:hint="eastAsia"/>
          <w:b w:val="0"/>
          <w:bCs w:val="0"/>
          <w:sz w:val="32"/>
          <w:szCs w:val="32"/>
          <w:u w:val="none"/>
          <w:lang w:val="en-US" w:eastAsia="zh-CN"/>
        </w:rPr>
        <w:t>第五节  推动房地产高质量发展</w:t>
      </w:r>
      <w:bookmarkEnd w:id="74"/>
    </w:p>
    <w:p w14:paraId="6F17591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color w:val="000000"/>
          <w:sz w:val="32"/>
          <w:szCs w:val="32"/>
        </w:rPr>
        <w:t>完善房地产开发、融资、销售制度，推进现房销售制，规范预售资金监管，探索建筑业转型升级路径。</w:t>
      </w:r>
    </w:p>
    <w:p w14:paraId="2E04E51B">
      <w:pPr>
        <w:keepNext w:val="0"/>
        <w:keepLines w:val="0"/>
        <w:pageBreakBefore w:val="0"/>
        <w:widowControl w:val="0"/>
        <w:kinsoku/>
        <w:wordWrap/>
        <w:overflowPunct w:val="0"/>
        <w:topLinePunct w:val="0"/>
        <w:autoSpaceDE/>
        <w:autoSpaceDN/>
        <w:bidi w:val="0"/>
        <w:adjustRightInd/>
        <w:snapToGrid/>
        <w:spacing w:line="590" w:lineRule="exact"/>
        <w:ind w:firstLine="643" w:firstLineChars="200"/>
        <w:jc w:val="both"/>
        <w:textAlignment w:val="auto"/>
        <w:rPr>
          <w:rFonts w:hint="default" w:cs="仿宋_GB2312"/>
          <w:b w:val="0"/>
          <w:bCs w:val="0"/>
          <w:sz w:val="32"/>
          <w:szCs w:val="32"/>
          <w:lang w:val="en-US" w:eastAsia="zh-CN"/>
        </w:rPr>
      </w:pPr>
      <w:r>
        <w:rPr>
          <w:rFonts w:hint="eastAsia" w:ascii="仿宋_GB2312" w:hAnsi="仿宋_GB2312" w:eastAsia="仿宋_GB2312" w:cs="仿宋_GB2312"/>
          <w:b/>
          <w:bCs/>
          <w:color w:val="000000"/>
          <w:sz w:val="32"/>
          <w:szCs w:val="32"/>
        </w:rPr>
        <w:t>优化保障性住房体系和供给</w:t>
      </w:r>
      <w:r>
        <w:rPr>
          <w:rFonts w:hint="eastAsia" w:cs="仿宋_GB2312"/>
          <w:b/>
          <w:bCs/>
          <w:sz w:val="32"/>
          <w:szCs w:val="32"/>
          <w:lang w:val="en-US" w:eastAsia="zh-CN"/>
        </w:rPr>
        <w:t>。</w:t>
      </w:r>
      <w:r>
        <w:rPr>
          <w:rFonts w:hint="eastAsia" w:cs="仿宋_GB2312"/>
          <w:b w:val="0"/>
          <w:bCs w:val="0"/>
          <w:sz w:val="32"/>
          <w:szCs w:val="32"/>
          <w:lang w:val="en-US" w:eastAsia="zh-CN"/>
        </w:rPr>
        <w:t>按照以需定建原则，加大公租房、保障性租赁住房供应力度，为低保、新市民等群体提供住房保障，实现应保尽保，</w:t>
      </w:r>
      <w:r>
        <w:rPr>
          <w:rFonts w:hint="eastAsia" w:ascii="仿宋_GB2312" w:hAnsi="仿宋_GB2312" w:eastAsia="仿宋_GB2312" w:cs="仿宋_GB2312"/>
          <w:color w:val="000000"/>
          <w:sz w:val="32"/>
          <w:szCs w:val="32"/>
        </w:rPr>
        <w:t>满足工薪群体和困难家庭基本住房需求</w:t>
      </w:r>
      <w:r>
        <w:rPr>
          <w:rFonts w:hint="eastAsia" w:cs="仿宋_GB2312"/>
          <w:b w:val="0"/>
          <w:bCs w:val="0"/>
          <w:sz w:val="32"/>
          <w:szCs w:val="32"/>
          <w:lang w:val="en-US" w:eastAsia="zh-CN"/>
        </w:rPr>
        <w:t>。加快培育发展住房租赁市场，探索长租房市场建设，推进租购住房同等享有公共服务。强化监督管理和服务，更好保护</w:t>
      </w:r>
      <w:r>
        <w:rPr>
          <w:rFonts w:hint="eastAsia" w:cs="仿宋_GB2312"/>
          <w:b w:val="0"/>
          <w:bCs w:val="0"/>
          <w:spacing w:val="-6"/>
          <w:sz w:val="32"/>
          <w:szCs w:val="32"/>
          <w:lang w:val="en-US" w:eastAsia="zh-CN"/>
        </w:rPr>
        <w:t>出租人和承租人合法权益，维护市场秩序，规范住房租赁市场发展。</w:t>
      </w:r>
      <w:r>
        <w:rPr>
          <w:rFonts w:hint="eastAsia" w:ascii="仿宋_GB2312" w:hAnsi="仿宋_GB2312" w:eastAsia="仿宋_GB2312" w:cs="仿宋_GB2312"/>
          <w:color w:val="000000"/>
          <w:sz w:val="32"/>
          <w:szCs w:val="32"/>
        </w:rPr>
        <w:t>实施物业服务质量提升行动，加强物业服务监管。加快建立房屋安全体检、房屋安全管理资金和房屋质量安全保险制度，强化房屋安全保障。</w:t>
      </w:r>
    </w:p>
    <w:p w14:paraId="169C64CD">
      <w:pPr>
        <w:keepNext w:val="0"/>
        <w:keepLines w:val="0"/>
        <w:pageBreakBefore w:val="0"/>
        <w:widowControl w:val="0"/>
        <w:kinsoku/>
        <w:wordWrap/>
        <w:overflowPunct w:val="0"/>
        <w:topLinePunct w:val="0"/>
        <w:autoSpaceDE/>
        <w:autoSpaceDN/>
        <w:bidi w:val="0"/>
        <w:adjustRightInd/>
        <w:snapToGrid/>
        <w:spacing w:line="590" w:lineRule="exact"/>
        <w:ind w:firstLine="643" w:firstLineChars="200"/>
        <w:jc w:val="both"/>
        <w:textAlignment w:val="auto"/>
        <w:rPr>
          <w:rFonts w:hint="eastAsia" w:cs="仿宋_GB2312"/>
          <w:b w:val="0"/>
          <w:bCs w:val="0"/>
          <w:sz w:val="32"/>
          <w:szCs w:val="32"/>
          <w:lang w:val="en-US" w:eastAsia="zh-CN"/>
        </w:rPr>
      </w:pPr>
      <w:r>
        <w:rPr>
          <w:rFonts w:hint="eastAsia" w:cs="仿宋_GB2312"/>
          <w:b/>
          <w:bCs/>
          <w:sz w:val="32"/>
          <w:szCs w:val="32"/>
          <w:lang w:val="en-US" w:eastAsia="zh-CN"/>
        </w:rPr>
        <w:t>推进高品质住宅建设。</w:t>
      </w:r>
      <w:r>
        <w:rPr>
          <w:rFonts w:hint="eastAsia" w:cs="仿宋_GB2312"/>
          <w:b w:val="0"/>
          <w:bCs w:val="0"/>
          <w:sz w:val="32"/>
          <w:szCs w:val="32"/>
          <w:lang w:val="en-US" w:eastAsia="zh-CN"/>
        </w:rPr>
        <w:t>引导商品住房开发、建造、运维全周期品质提升，更好满足城乡居民多样化改善性住房需求。鼓励房地产企业适应城镇化和城市发展新阶段，在城市更新中更加注重好房子建设，</w:t>
      </w:r>
      <w:r>
        <w:rPr>
          <w:rFonts w:hint="eastAsia" w:ascii="仿宋_GB2312" w:hAnsi="仿宋_GB2312" w:eastAsia="仿宋_GB2312" w:cs="仿宋_GB2312"/>
          <w:color w:val="000000"/>
          <w:sz w:val="32"/>
          <w:szCs w:val="32"/>
        </w:rPr>
        <w:t>打造安全舒适绿色智慧的“好房子”项目，因地制宜建设第四代住宅。</w:t>
      </w:r>
      <w:r>
        <w:rPr>
          <w:rFonts w:hint="eastAsia" w:cs="仿宋_GB2312"/>
          <w:b w:val="0"/>
          <w:bCs w:val="0"/>
          <w:sz w:val="32"/>
          <w:szCs w:val="32"/>
          <w:lang w:val="en-US" w:eastAsia="zh-CN"/>
        </w:rPr>
        <w:t>结合产品及业态特征，完善基础设施配套，提升公共服务空间功能。</w:t>
      </w:r>
    </w:p>
    <w:p w14:paraId="308554CB">
      <w:pPr>
        <w:pStyle w:val="2"/>
        <w:keepNext w:val="0"/>
        <w:keepLines w:val="0"/>
        <w:pageBreakBefore w:val="0"/>
        <w:widowControl w:val="0"/>
        <w:kinsoku/>
        <w:wordWrap/>
        <w:overflowPunct w:val="0"/>
        <w:topLinePunct w:val="0"/>
        <w:autoSpaceDE/>
        <w:autoSpaceDN/>
        <w:bidi w:val="0"/>
        <w:adjustRightInd w:val="0"/>
        <w:snapToGrid w:val="0"/>
        <w:spacing w:before="313" w:beforeLines="100" w:after="313" w:afterLines="100" w:line="590" w:lineRule="exact"/>
        <w:ind w:left="0" w:leftChars="0" w:firstLine="0" w:firstLineChars="0"/>
        <w:jc w:val="center"/>
        <w:textAlignment w:val="auto"/>
        <w:rPr>
          <w:rFonts w:hint="default" w:ascii="方正小标宋简体" w:hAnsi="方正小标宋简体" w:eastAsia="方正小标宋简体" w:cs="方正小标宋简体"/>
          <w:b w:val="0"/>
          <w:bCs w:val="0"/>
          <w:spacing w:val="-6"/>
          <w:kern w:val="2"/>
          <w:sz w:val="32"/>
          <w:szCs w:val="32"/>
          <w:u w:val="none"/>
          <w:lang w:val="en-US" w:eastAsia="zh-CN"/>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D0836FB">
      <w:pPr>
        <w:keepNext/>
        <w:keepLines w:val="0"/>
        <w:pageBreakBefore w:val="0"/>
        <w:widowControl w:val="0"/>
        <w:kinsoku/>
        <w:wordWrap/>
        <w:overflowPunct w:val="0"/>
        <w:topLinePunct w:val="0"/>
        <w:autoSpaceDE/>
        <w:autoSpaceDN/>
        <w:bidi w:val="0"/>
        <w:adjustRightInd w:val="0"/>
        <w:snapToGrid w:val="0"/>
        <w:spacing w:before="313" w:beforeLines="100" w:beforeAutospacing="0" w:after="313" w:afterLines="100" w:line="590" w:lineRule="exact"/>
        <w:ind w:left="0" w:leftChars="0" w:firstLine="0" w:firstLineChars="0"/>
        <w:jc w:val="center"/>
        <w:textAlignment w:val="auto"/>
        <w:outlineLvl w:val="0"/>
        <w:rPr>
          <w:rFonts w:hint="eastAsia" w:ascii="方正小标宋简体" w:hAnsi="方正小标宋简体" w:eastAsia="方正小标宋简体" w:cs="方正小标宋简体"/>
          <w:b w:val="0"/>
          <w:bCs w:val="0"/>
          <w:color w:val="auto"/>
          <w:kern w:val="2"/>
          <w:sz w:val="32"/>
          <w:szCs w:val="40"/>
          <w:lang w:val="en-US" w:eastAsia="zh-CN"/>
        </w:rPr>
      </w:pPr>
      <w:bookmarkStart w:id="75" w:name="_Toc178784731"/>
      <w:r>
        <w:rPr>
          <w:rFonts w:hint="eastAsia" w:ascii="方正小标宋简体" w:hAnsi="方正小标宋简体" w:eastAsia="方正小标宋简体" w:cs="方正小标宋简体"/>
          <w:b w:val="0"/>
          <w:bCs w:val="0"/>
          <w:color w:val="auto"/>
          <w:kern w:val="2"/>
          <w:sz w:val="32"/>
          <w:szCs w:val="40"/>
          <w:lang w:val="en-US" w:eastAsia="zh-CN"/>
        </w:rPr>
        <w:t>第十二章  加强基层治理体系和治理能力现代化建设</w:t>
      </w:r>
      <w:bookmarkEnd w:id="75"/>
    </w:p>
    <w:p w14:paraId="76B18FF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深入贯彻落实总体国家安全观，坚持把安全发展理念贯穿经济社会发展各领域全过程，着力防范化解各类风险，全面提升城市治理效能，确保社会和谐稳定，坚决守牢安全底线。</w:t>
      </w:r>
    </w:p>
    <w:p w14:paraId="4496263D">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b w:val="0"/>
          <w:bCs w:val="0"/>
          <w:sz w:val="32"/>
          <w:szCs w:val="32"/>
          <w:u w:val="none"/>
          <w:lang w:val="en-US" w:eastAsia="zh-CN"/>
        </w:rPr>
      </w:pPr>
      <w:bookmarkStart w:id="76" w:name="_Toc1118659991"/>
      <w:r>
        <w:rPr>
          <w:rFonts w:hint="eastAsia"/>
          <w:b w:val="0"/>
          <w:bCs w:val="0"/>
          <w:sz w:val="32"/>
          <w:szCs w:val="32"/>
          <w:u w:val="none"/>
          <w:lang w:val="en-US" w:eastAsia="zh-CN"/>
        </w:rPr>
        <w:t>第一节  加快推进平安天桥建设</w:t>
      </w:r>
      <w:bookmarkEnd w:id="76"/>
    </w:p>
    <w:p w14:paraId="748FEE25">
      <w:pPr>
        <w:keepLines w:val="0"/>
        <w:pageBreakBefore w:val="0"/>
        <w:widowControl w:val="0"/>
        <w:kinsoku/>
        <w:wordWrap/>
        <w:topLinePunct w:val="0"/>
        <w:autoSpaceDE/>
        <w:autoSpaceDN/>
        <w:bidi w:val="0"/>
        <w:spacing w:line="590" w:lineRule="exact"/>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color w:val="000000"/>
          <w:sz w:val="32"/>
          <w:szCs w:val="32"/>
        </w:rPr>
        <w:t>坚持政治安全、人民生命安全、经济安全、社会安全一体推进，筑牢全域公共安全防线</w:t>
      </w:r>
      <w:r>
        <w:rPr>
          <w:rFonts w:hint="eastAsia" w:ascii="仿宋_GB2312" w:hAnsi="仿宋_GB2312" w:eastAsia="仿宋_GB2312" w:cs="仿宋_GB2312"/>
          <w:b w:val="0"/>
          <w:bCs w:val="0"/>
          <w:sz w:val="32"/>
          <w:szCs w:val="32"/>
          <w:highlight w:val="none"/>
          <w:lang w:val="en-US" w:eastAsia="zh-CN"/>
        </w:rPr>
        <w:t>，切实维护人民群众生命健康安全和社会大局稳定。</w:t>
      </w:r>
    </w:p>
    <w:p w14:paraId="7DE3D26F">
      <w:pPr>
        <w:keepLines w:val="0"/>
        <w:pageBreakBefore w:val="0"/>
        <w:widowControl w:val="0"/>
        <w:kinsoku/>
        <w:wordWrap/>
        <w:topLinePunct w:val="0"/>
        <w:autoSpaceDE/>
        <w:autoSpaceDN/>
        <w:bidi w:val="0"/>
        <w:spacing w:line="590" w:lineRule="exact"/>
        <w:textAlignment w:val="auto"/>
        <w:rPr>
          <w:rFonts w:hint="eastAsia" w:cs="仿宋_GB2312"/>
          <w:b/>
          <w:bCs/>
          <w:sz w:val="32"/>
          <w:szCs w:val="32"/>
          <w:highlight w:val="none"/>
          <w:lang w:val="en-US" w:eastAsia="zh-CN"/>
        </w:rPr>
      </w:pPr>
      <w:bookmarkStart w:id="77" w:name="_Toc2052"/>
      <w:r>
        <w:rPr>
          <w:rFonts w:hint="eastAsia" w:ascii="仿宋_GB2312" w:hAnsi="仿宋_GB2312" w:eastAsia="仿宋_GB2312" w:cs="仿宋_GB2312"/>
          <w:b/>
          <w:bCs/>
          <w:sz w:val="32"/>
          <w:szCs w:val="32"/>
          <w:highlight w:val="none"/>
          <w:lang w:val="en-US" w:eastAsia="zh-CN"/>
        </w:rPr>
        <w:t>坚决维护政治安全。</w:t>
      </w:r>
      <w:r>
        <w:rPr>
          <w:rFonts w:hint="eastAsia" w:cs="仿宋_GB2312"/>
          <w:b w:val="0"/>
          <w:bCs w:val="0"/>
          <w:sz w:val="32"/>
          <w:szCs w:val="32"/>
          <w:highlight w:val="none"/>
          <w:lang w:val="en-US" w:eastAsia="zh-CN"/>
        </w:rPr>
        <w:t>坚持将维护政治安全摆在首要位置，深入推进维护政治安全体系和能力建设，做好维护国家政治安全工作，</w:t>
      </w:r>
      <w:r>
        <w:rPr>
          <w:rFonts w:hint="eastAsia" w:ascii="仿宋_GB2312" w:hAnsi="仿宋_GB2312" w:eastAsia="仿宋_GB2312" w:cs="仿宋_GB2312"/>
          <w:color w:val="000000"/>
          <w:sz w:val="32"/>
          <w:szCs w:val="32"/>
        </w:rPr>
        <w:t>严密防范和严厉打击各类危害政治安全活动，加强意识形态阵地建设和管理，全面强化国家安全教育</w:t>
      </w:r>
      <w:r>
        <w:rPr>
          <w:rFonts w:hint="eastAsia" w:cs="仿宋_GB2312"/>
          <w:color w:val="000000"/>
          <w:sz w:val="32"/>
          <w:szCs w:val="32"/>
          <w:lang w:eastAsia="zh-CN"/>
        </w:rPr>
        <w:t>、</w:t>
      </w:r>
      <w:r>
        <w:rPr>
          <w:rFonts w:hint="eastAsia" w:ascii="仿宋_GB2312" w:hAnsi="仿宋_GB2312" w:eastAsia="仿宋_GB2312" w:cs="仿宋_GB2312"/>
          <w:b w:val="0"/>
          <w:bCs w:val="0"/>
          <w:sz w:val="32"/>
          <w:szCs w:val="32"/>
          <w:highlight w:val="none"/>
          <w:lang w:val="en-US" w:eastAsia="zh-CN"/>
        </w:rPr>
        <w:t>全民国防教育</w:t>
      </w:r>
      <w:r>
        <w:rPr>
          <w:rFonts w:hint="eastAsia" w:cs="仿宋_GB2312"/>
          <w:b w:val="0"/>
          <w:bCs w:val="0"/>
          <w:sz w:val="32"/>
          <w:szCs w:val="32"/>
          <w:highlight w:val="none"/>
          <w:lang w:val="en-US" w:eastAsia="zh-CN"/>
        </w:rPr>
        <w:t>。</w:t>
      </w:r>
      <w:r>
        <w:rPr>
          <w:rFonts w:hint="eastAsia" w:ascii="仿宋_GB2312" w:hAnsi="仿宋_GB2312" w:eastAsia="仿宋_GB2312" w:cs="仿宋_GB2312"/>
          <w:b w:val="0"/>
          <w:bCs w:val="0"/>
          <w:sz w:val="32"/>
          <w:szCs w:val="32"/>
          <w:highlight w:val="none"/>
          <w:lang w:val="en-US" w:eastAsia="zh-CN"/>
        </w:rPr>
        <w:t>大力支持国防和军队现代化建设，加快构建平战结合、军民融合、高效协同的国防动员运行机制，完善国防动员和后备力量体系建设，不断巩固和发展军政军民团结</w:t>
      </w:r>
      <w:r>
        <w:rPr>
          <w:rFonts w:hint="eastAsia" w:cs="仿宋_GB2312"/>
          <w:b w:val="0"/>
          <w:bCs w:val="0"/>
          <w:sz w:val="32"/>
          <w:szCs w:val="32"/>
          <w:highlight w:val="none"/>
          <w:lang w:val="en-US" w:eastAsia="zh-CN"/>
        </w:rPr>
        <w:t>，提升城市人防防护体系建设，推进新建人防工程与地下空间开发体系化建设</w:t>
      </w:r>
      <w:r>
        <w:rPr>
          <w:rFonts w:hint="eastAsia" w:ascii="仿宋_GB2312" w:hAnsi="仿宋_GB2312" w:eastAsia="仿宋_GB2312" w:cs="仿宋_GB2312"/>
          <w:b w:val="0"/>
          <w:bCs w:val="0"/>
          <w:sz w:val="32"/>
          <w:szCs w:val="32"/>
          <w:highlight w:val="none"/>
          <w:lang w:val="en-US" w:eastAsia="zh-CN"/>
        </w:rPr>
        <w:t>。</w:t>
      </w:r>
      <w:r>
        <w:rPr>
          <w:rFonts w:hint="eastAsia" w:cs="仿宋_GB2312"/>
          <w:b w:val="0"/>
          <w:bCs w:val="0"/>
          <w:sz w:val="32"/>
          <w:szCs w:val="32"/>
          <w:highlight w:val="none"/>
          <w:lang w:val="en-US" w:eastAsia="zh-CN"/>
        </w:rPr>
        <w:t>加强政治安全风险排查、化解、处置，深化反颠覆反渗透反间谍反邪教反恐怖斗争，坚决防范抵御境内外敌对势力渗透破坏活动，依法严厉打击邪教组织违法犯罪活动，牢牢守住不发生暴恐案件底线。严格落实党委（党组）意识形态工作责任制，加强阵地建设管理，牢牢掌握意识形态主动权。</w:t>
      </w:r>
    </w:p>
    <w:bookmarkEnd w:id="77"/>
    <w:p w14:paraId="54162A1F">
      <w:pPr>
        <w:keepNext w:val="0"/>
        <w:keepLines w:val="0"/>
        <w:widowControl/>
        <w:suppressLineNumbers w:val="0"/>
        <w:jc w:val="left"/>
        <w:rPr>
          <w:rFonts w:hint="eastAsia" w:ascii="仿宋_GB2312" w:hAnsi="仿宋_GB2312" w:eastAsia="仿宋_GB2312" w:cs="仿宋_GB2312"/>
          <w:color w:val="000000"/>
          <w:sz w:val="32"/>
          <w:szCs w:val="32"/>
        </w:rPr>
      </w:pPr>
      <w:bookmarkStart w:id="78" w:name="_Toc30669"/>
      <w:r>
        <w:rPr>
          <w:rFonts w:hint="eastAsia" w:cs="仿宋_GB2312"/>
          <w:b/>
          <w:bCs/>
          <w:sz w:val="32"/>
          <w:szCs w:val="32"/>
          <w:highlight w:val="none"/>
          <w:lang w:val="en-US" w:eastAsia="zh-CN"/>
        </w:rPr>
        <w:t>提高防范化解重点领域风险能力。</w:t>
      </w:r>
      <w:r>
        <w:rPr>
          <w:rFonts w:hint="eastAsia" w:ascii="仿宋_GB2312" w:hAnsi="仿宋_GB2312" w:eastAsia="仿宋_GB2312" w:cs="仿宋_GB2312"/>
          <w:color w:val="000000"/>
          <w:sz w:val="32"/>
          <w:szCs w:val="32"/>
        </w:rPr>
        <w:t>全力保障人民生命安全，严格落实安全生产责任制，持续开展安全生产“审计式”监督检查，加强安全生产监管执法，有效遏制建筑施工、消防、道路交通、食品药品等重特大安全事故。</w:t>
      </w:r>
      <w:r>
        <w:rPr>
          <w:rFonts w:hint="eastAsia" w:ascii="仿宋_GB2312" w:hAnsi="仿宋_GB2312" w:eastAsia="仿宋_GB2312" w:cs="仿宋_GB2312"/>
          <w:b w:val="0"/>
          <w:bCs w:val="0"/>
          <w:color w:val="auto"/>
          <w:kern w:val="0"/>
          <w:sz w:val="32"/>
          <w:szCs w:val="32"/>
          <w:highlight w:val="none"/>
          <w:u w:val="none" w:color="auto"/>
          <w:lang w:val="en-US" w:eastAsia="zh-CN" w:bidi="ar-SA"/>
        </w:rPr>
        <w:t>持续推进公共卫生体系和医疗应急能力建设。</w:t>
      </w:r>
      <w:r>
        <w:rPr>
          <w:rFonts w:hint="eastAsia" w:ascii="仿宋_GB2312" w:hAnsi="仿宋_GB2312" w:eastAsia="仿宋_GB2312" w:cs="仿宋_GB2312"/>
          <w:color w:val="000000"/>
          <w:sz w:val="32"/>
          <w:szCs w:val="32"/>
        </w:rPr>
        <w:t>牢牢守住经济安全底线，</w:t>
      </w:r>
      <w:r>
        <w:rPr>
          <w:rFonts w:hint="eastAsia" w:ascii="仿宋_GB2312" w:hAnsi="仿宋_GB2312" w:eastAsia="仿宋_GB2312" w:cs="仿宋_GB2312"/>
          <w:b w:val="0"/>
          <w:bCs w:val="0"/>
          <w:sz w:val="32"/>
          <w:szCs w:val="32"/>
          <w:highlight w:val="none"/>
          <w:lang w:val="en-US" w:eastAsia="zh-CN"/>
        </w:rPr>
        <w:t>加强经济安全风险预警、防控机制和能力建设，确保粮食、能源资源、重要产业链供应链、基础设施等安全可控。守牢金融安全底线，严厉打击各类非法金融活动。统筹推进房地产</w:t>
      </w:r>
      <w:r>
        <w:rPr>
          <w:rFonts w:hint="eastAsia" w:ascii="仿宋_GB2312" w:hAnsi="仿宋_GB2312" w:eastAsia="仿宋_GB2312" w:cs="仿宋_GB2312"/>
          <w:color w:val="000000"/>
          <w:sz w:val="32"/>
          <w:szCs w:val="32"/>
        </w:rPr>
        <w:t>、地方政府债务、中小金融机构等风险有序化解，健全“白名单”融资常态化机制，完善政府债务常态化监测和风险预警机制，加快融资平台和城投公司改革转型，严防系统性风险。</w:t>
      </w:r>
    </w:p>
    <w:p w14:paraId="6EFF58B9">
      <w:pPr>
        <w:keepLines w:val="0"/>
        <w:pageBreakBefore w:val="0"/>
        <w:widowControl w:val="0"/>
        <w:kinsoku/>
        <w:wordWrap/>
        <w:overflowPunct w:val="0"/>
        <w:topLinePunct w:val="0"/>
        <w:autoSpaceDE/>
        <w:autoSpaceDN/>
        <w:bidi w:val="0"/>
        <w:adjustRightInd w:val="0"/>
        <w:snapToGrid w:val="0"/>
        <w:spacing w:line="570" w:lineRule="exac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rPr>
        <w:t>持续维护社会安全稳定</w:t>
      </w:r>
      <w:r>
        <w:rPr>
          <w:rFonts w:hint="eastAsia" w:cs="仿宋_GB2312"/>
          <w:b/>
          <w:bCs/>
          <w:color w:val="000000"/>
          <w:sz w:val="32"/>
          <w:szCs w:val="32"/>
          <w:lang w:eastAsia="zh-CN"/>
        </w:rPr>
        <w:t>。</w:t>
      </w:r>
      <w:r>
        <w:rPr>
          <w:rFonts w:hint="eastAsia" w:ascii="仿宋_GB2312" w:hAnsi="仿宋_GB2312" w:eastAsia="仿宋_GB2312" w:cs="仿宋_GB2312"/>
          <w:color w:val="000000"/>
          <w:sz w:val="32"/>
          <w:szCs w:val="32"/>
        </w:rPr>
        <w:t>落实重大决策社会稳定风险评估机制，有效防范和妥善处置群体性事件，加强重大舆情和突发事件舆论引导。健全社会治安防控体系，依法打击各类违法犯罪活动，常态化开展扫黑除恶斗争，</w:t>
      </w:r>
      <w:r>
        <w:rPr>
          <w:rFonts w:hint="eastAsia" w:cs="仿宋_GB2312"/>
          <w:color w:val="000000"/>
          <w:sz w:val="32"/>
          <w:szCs w:val="32"/>
          <w:lang w:eastAsia="zh-CN"/>
        </w:rPr>
        <w:t>加大预防和打击电信诈骗力度，</w:t>
      </w:r>
      <w:r>
        <w:rPr>
          <w:rFonts w:hint="eastAsia" w:ascii="仿宋_GB2312" w:hAnsi="仿宋_GB2312" w:eastAsia="仿宋_GB2312" w:cs="仿宋_GB2312"/>
          <w:color w:val="000000"/>
          <w:sz w:val="32"/>
          <w:szCs w:val="32"/>
        </w:rPr>
        <w:t>加强综治中心规范化建设。</w:t>
      </w:r>
      <w:r>
        <w:rPr>
          <w:rFonts w:hint="eastAsia" w:ascii="仿宋_GB2312" w:hAnsi="仿宋_GB2312" w:eastAsia="仿宋_GB2312" w:cs="仿宋_GB2312"/>
          <w:color w:val="000000"/>
          <w:sz w:val="32"/>
          <w:szCs w:val="32"/>
          <w:lang w:val="en-US" w:eastAsia="zh-CN"/>
        </w:rPr>
        <w:t>加强禁毒工作，深入开展毒品预防教育</w:t>
      </w:r>
      <w:r>
        <w:rPr>
          <w:rFonts w:hint="eastAsia" w:cs="仿宋_GB2312"/>
          <w:color w:val="000000"/>
          <w:sz w:val="32"/>
          <w:szCs w:val="32"/>
          <w:lang w:val="en-US" w:eastAsia="zh-CN"/>
        </w:rPr>
        <w:t>。</w:t>
      </w:r>
    </w:p>
    <w:p w14:paraId="3729B40C">
      <w:pPr>
        <w:keepLines w:val="0"/>
        <w:pageBreakBefore w:val="0"/>
        <w:widowControl w:val="0"/>
        <w:kinsoku/>
        <w:wordWrap/>
        <w:overflowPunct w:val="0"/>
        <w:topLinePunct w:val="0"/>
        <w:autoSpaceDE/>
        <w:autoSpaceDN/>
        <w:bidi w:val="0"/>
        <w:adjustRightInd w:val="0"/>
        <w:snapToGrid w:val="0"/>
        <w:spacing w:line="570" w:lineRule="exact"/>
        <w:ind w:left="0" w:leftChars="0" w:firstLine="0" w:firstLineChars="0"/>
        <w:textAlignment w:val="auto"/>
        <w:rPr>
          <w:rFonts w:hint="eastAsia" w:cs="仿宋_GB2312"/>
          <w:b/>
          <w:bCs/>
          <w:sz w:val="32"/>
          <w:szCs w:val="32"/>
          <w:highlight w:val="none"/>
          <w:lang w:val="en-US" w:eastAsia="zh-CN"/>
        </w:rPr>
      </w:pPr>
      <w:r>
        <w:rPr>
          <w:rFonts w:hint="eastAsia" w:ascii="仿宋_GB2312" w:hAnsi="仿宋_GB2312" w:eastAsia="仿宋_GB2312" w:cs="仿宋_GB2312"/>
          <w:i w:val="0"/>
          <w:iCs w:val="0"/>
          <w:caps w:val="0"/>
          <w:color w:val="auto"/>
          <w:spacing w:val="0"/>
          <w:sz w:val="32"/>
          <w:szCs w:val="32"/>
          <w:highlight w:val="none"/>
          <w:shd w:val="clear" w:fill="auto"/>
        </w:rPr>
        <w:t>健全完善应急管理体系，</w:t>
      </w:r>
      <w:r>
        <w:rPr>
          <w:rFonts w:hint="eastAsia" w:ascii="仿宋_GB2312" w:hAnsi="仿宋_GB2312" w:eastAsia="仿宋_GB2312" w:cs="仿宋_GB2312"/>
          <w:b w:val="0"/>
          <w:bCs w:val="0"/>
          <w:sz w:val="32"/>
          <w:szCs w:val="32"/>
          <w:highlight w:val="none"/>
          <w:lang w:val="en-US" w:eastAsia="zh-CN"/>
        </w:rPr>
        <w:t>强化防灾减灾救灾和重大突发公共事件处置保障</w:t>
      </w:r>
      <w:r>
        <w:rPr>
          <w:rFonts w:hint="eastAsia" w:cs="仿宋_GB2312"/>
          <w:b w:val="0"/>
          <w:bCs w:val="0"/>
          <w:sz w:val="32"/>
          <w:szCs w:val="32"/>
          <w:highlight w:val="none"/>
          <w:lang w:val="en-US" w:eastAsia="zh-CN"/>
        </w:rPr>
        <w:t>，</w:t>
      </w:r>
      <w:r>
        <w:rPr>
          <w:rFonts w:hint="eastAsia" w:ascii="仿宋_GB2312" w:hAnsi="仿宋_GB2312" w:eastAsia="仿宋_GB2312" w:cs="仿宋_GB2312"/>
          <w:color w:val="000000"/>
          <w:sz w:val="32"/>
          <w:szCs w:val="32"/>
        </w:rPr>
        <w:t>推进全民应急演练，加强应急救援指挥中心、基层救援能力</w:t>
      </w:r>
      <w:r>
        <w:rPr>
          <w:rFonts w:hint="eastAsia" w:cs="仿宋_GB2312"/>
          <w:color w:val="000000"/>
          <w:sz w:val="32"/>
          <w:szCs w:val="32"/>
          <w:lang w:eastAsia="zh-CN"/>
        </w:rPr>
        <w:t>、</w:t>
      </w:r>
      <w:r>
        <w:rPr>
          <w:rFonts w:hint="eastAsia" w:ascii="仿宋_GB2312" w:hAnsi="仿宋_GB2312" w:eastAsia="仿宋_GB2312" w:cs="仿宋_GB2312"/>
          <w:color w:val="000000"/>
          <w:sz w:val="32"/>
          <w:szCs w:val="32"/>
        </w:rPr>
        <w:t>物资保障</w:t>
      </w:r>
      <w:r>
        <w:rPr>
          <w:rFonts w:hint="eastAsia" w:cs="仿宋_GB2312"/>
          <w:color w:val="000000"/>
          <w:sz w:val="32"/>
          <w:szCs w:val="32"/>
          <w:lang w:eastAsia="zh-CN"/>
        </w:rPr>
        <w:t>及</w:t>
      </w:r>
      <w:r>
        <w:rPr>
          <w:rFonts w:hint="default" w:ascii="仿宋_GB2312" w:hAnsi="仿宋_GB2312" w:eastAsia="仿宋_GB2312" w:cs="仿宋_GB2312"/>
          <w:b w:val="0"/>
          <w:bCs w:val="0"/>
          <w:sz w:val="32"/>
          <w:szCs w:val="32"/>
          <w:highlight w:val="none"/>
          <w:lang w:val="en-US" w:eastAsia="zh-CN"/>
        </w:rPr>
        <w:t>“平急两用”公共基础设施</w:t>
      </w:r>
      <w:r>
        <w:rPr>
          <w:rFonts w:hint="eastAsia" w:ascii="仿宋_GB2312" w:hAnsi="仿宋_GB2312" w:eastAsia="仿宋_GB2312" w:cs="仿宋_GB2312"/>
          <w:color w:val="000000"/>
          <w:sz w:val="32"/>
          <w:szCs w:val="32"/>
        </w:rPr>
        <w:t>建设。</w:t>
      </w:r>
      <w:r>
        <w:rPr>
          <w:rFonts w:hint="eastAsia" w:ascii="仿宋_GB2312" w:hAnsi="仿宋_GB2312" w:eastAsia="仿宋_GB2312" w:cs="仿宋_GB2312"/>
          <w:sz w:val="32"/>
          <w:szCs w:val="32"/>
        </w:rPr>
        <w:t>推进消防站科学化布局建设</w:t>
      </w:r>
      <w:r>
        <w:rPr>
          <w:rFonts w:hint="eastAsia" w:cs="仿宋_GB2312"/>
          <w:sz w:val="32"/>
          <w:szCs w:val="32"/>
          <w:lang w:eastAsia="zh-CN"/>
        </w:rPr>
        <w:t>，</w:t>
      </w:r>
      <w:r>
        <w:rPr>
          <w:rFonts w:hint="eastAsia" w:ascii="仿宋_GB2312" w:hAnsi="仿宋_GB2312" w:eastAsia="仿宋_GB2312" w:cs="仿宋_GB2312"/>
          <w:sz w:val="32"/>
          <w:szCs w:val="32"/>
        </w:rPr>
        <w:t>深化消火栓标准化建设与运维</w:t>
      </w:r>
      <w:r>
        <w:rPr>
          <w:rFonts w:hint="eastAsia" w:cs="仿宋_GB2312"/>
          <w:sz w:val="32"/>
          <w:szCs w:val="32"/>
          <w:lang w:eastAsia="zh-CN"/>
        </w:rPr>
        <w:t>，</w:t>
      </w:r>
      <w:r>
        <w:rPr>
          <w:rFonts w:hint="eastAsia" w:ascii="仿宋_GB2312" w:hAnsi="仿宋_GB2312" w:eastAsia="仿宋_GB2312" w:cs="仿宋_GB2312"/>
          <w:sz w:val="32"/>
          <w:szCs w:val="32"/>
        </w:rPr>
        <w:t>强化消防救援装备体系化升级</w:t>
      </w:r>
      <w:r>
        <w:rPr>
          <w:rFonts w:hint="eastAsia" w:cs="仿宋_GB2312"/>
          <w:sz w:val="32"/>
          <w:szCs w:val="32"/>
          <w:lang w:eastAsia="zh-CN"/>
        </w:rPr>
        <w:t>。</w:t>
      </w:r>
      <w:r>
        <w:rPr>
          <w:rFonts w:hint="eastAsia"/>
          <w:lang w:val="en-US" w:eastAsia="zh-CN"/>
        </w:rPr>
        <w:t>深化未成年人违法犯罪有效预防和综合治理。</w:t>
      </w:r>
    </w:p>
    <w:bookmarkEnd w:id="78"/>
    <w:p w14:paraId="5BBCFE3D">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70" w:lineRule="exact"/>
        <w:ind w:left="0" w:leftChars="0" w:firstLine="0" w:firstLineChars="0"/>
        <w:jc w:val="center"/>
        <w:textAlignment w:val="auto"/>
        <w:rPr>
          <w:rFonts w:hint="eastAsia"/>
          <w:b w:val="0"/>
          <w:bCs w:val="0"/>
          <w:sz w:val="32"/>
          <w:szCs w:val="32"/>
          <w:u w:val="none"/>
          <w:lang w:val="en-US" w:eastAsia="zh-CN"/>
        </w:rPr>
      </w:pPr>
      <w:bookmarkStart w:id="79" w:name="_Toc304496974"/>
      <w:r>
        <w:rPr>
          <w:rFonts w:hint="eastAsia"/>
          <w:b w:val="0"/>
          <w:bCs w:val="0"/>
          <w:sz w:val="32"/>
          <w:szCs w:val="32"/>
          <w:u w:val="none"/>
          <w:lang w:val="en-US" w:eastAsia="zh-CN"/>
        </w:rPr>
        <w:t>第二节  扎实推进全面依法治区</w:t>
      </w:r>
      <w:bookmarkEnd w:id="79"/>
    </w:p>
    <w:p w14:paraId="5B24ECDE">
      <w:pPr>
        <w:keepNext w:val="0"/>
        <w:keepLines w:val="0"/>
        <w:pageBreakBefore w:val="0"/>
        <w:widowControl w:val="0"/>
        <w:kinsoku/>
        <w:wordWrap/>
        <w:overflowPunct w:val="0"/>
        <w:topLinePunct w:val="0"/>
        <w:autoSpaceDE/>
        <w:autoSpaceDN/>
        <w:bidi w:val="0"/>
        <w:adjustRightInd w:val="0"/>
        <w:snapToGrid w:val="0"/>
        <w:spacing w:line="570" w:lineRule="exact"/>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深入学习贯彻习近平法治思想，坚持</w:t>
      </w:r>
      <w:r>
        <w:rPr>
          <w:rFonts w:hint="eastAsia" w:cs="仿宋_GB2312"/>
          <w:b w:val="0"/>
          <w:bCs w:val="0"/>
          <w:sz w:val="32"/>
          <w:szCs w:val="32"/>
          <w:highlight w:val="none"/>
          <w:lang w:val="en-US" w:eastAsia="zh-CN"/>
        </w:rPr>
        <w:t>以</w:t>
      </w:r>
      <w:r>
        <w:rPr>
          <w:rFonts w:hint="eastAsia" w:ascii="仿宋_GB2312" w:hAnsi="仿宋_GB2312" w:eastAsia="仿宋_GB2312" w:cs="仿宋_GB2312"/>
          <w:b w:val="0"/>
          <w:bCs w:val="0"/>
          <w:sz w:val="32"/>
          <w:szCs w:val="32"/>
          <w:highlight w:val="none"/>
          <w:lang w:val="en-US" w:eastAsia="zh-CN"/>
        </w:rPr>
        <w:t>全面依法治区</w:t>
      </w:r>
      <w:r>
        <w:rPr>
          <w:rFonts w:hint="eastAsia" w:cs="仿宋_GB2312"/>
          <w:b w:val="0"/>
          <w:bCs w:val="0"/>
          <w:sz w:val="32"/>
          <w:szCs w:val="32"/>
          <w:highlight w:val="none"/>
          <w:lang w:val="en-US" w:eastAsia="zh-CN"/>
        </w:rPr>
        <w:t>为</w:t>
      </w:r>
      <w:r>
        <w:rPr>
          <w:rFonts w:hint="eastAsia" w:ascii="仿宋_GB2312" w:hAnsi="仿宋_GB2312" w:eastAsia="仿宋_GB2312" w:cs="仿宋_GB2312"/>
          <w:b w:val="0"/>
          <w:bCs w:val="0"/>
          <w:sz w:val="32"/>
          <w:szCs w:val="32"/>
          <w:highlight w:val="none"/>
          <w:lang w:val="en-US" w:eastAsia="zh-CN"/>
        </w:rPr>
        <w:t>主线，</w:t>
      </w:r>
      <w:r>
        <w:rPr>
          <w:rFonts w:hint="eastAsia" w:cs="仿宋_GB2312"/>
          <w:b w:val="0"/>
          <w:bCs w:val="0"/>
          <w:sz w:val="32"/>
          <w:szCs w:val="32"/>
          <w:highlight w:val="none"/>
          <w:lang w:val="en-US" w:eastAsia="zh-CN"/>
        </w:rPr>
        <w:t>深化法治建设，</w:t>
      </w:r>
      <w:r>
        <w:rPr>
          <w:rFonts w:hint="eastAsia" w:ascii="仿宋_GB2312" w:hAnsi="仿宋_GB2312" w:eastAsia="仿宋_GB2312" w:cs="仿宋_GB2312"/>
          <w:b w:val="0"/>
          <w:bCs w:val="0"/>
          <w:sz w:val="32"/>
          <w:szCs w:val="32"/>
          <w:highlight w:val="none"/>
          <w:lang w:val="en-US" w:eastAsia="zh-CN"/>
        </w:rPr>
        <w:t>协同推进严格执法、公正司法、全民守法。</w:t>
      </w:r>
    </w:p>
    <w:p w14:paraId="4B2B2C5F">
      <w:pPr>
        <w:keepNext w:val="0"/>
        <w:keepLines w:val="0"/>
        <w:pageBreakBefore w:val="0"/>
        <w:widowControl w:val="0"/>
        <w:kinsoku/>
        <w:wordWrap/>
        <w:overflowPunct w:val="0"/>
        <w:topLinePunct w:val="0"/>
        <w:autoSpaceDE/>
        <w:autoSpaceDN/>
        <w:bidi w:val="0"/>
        <w:adjustRightInd w:val="0"/>
        <w:snapToGrid w:val="0"/>
        <w:spacing w:line="570" w:lineRule="exact"/>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深化法治政府建设</w:t>
      </w:r>
      <w:r>
        <w:rPr>
          <w:rFonts w:hint="eastAsia" w:cs="仿宋_GB2312"/>
          <w:b/>
          <w:bCs/>
          <w:sz w:val="32"/>
          <w:szCs w:val="32"/>
          <w:highlight w:val="none"/>
          <w:lang w:val="en-US" w:eastAsia="zh-CN"/>
        </w:rPr>
        <w:t>。</w:t>
      </w:r>
      <w:r>
        <w:rPr>
          <w:rFonts w:hint="eastAsia" w:ascii="仿宋_GB2312" w:hAnsi="仿宋_GB2312" w:eastAsia="仿宋_GB2312" w:cs="仿宋_GB2312"/>
          <w:color w:val="000000"/>
          <w:sz w:val="32"/>
          <w:szCs w:val="32"/>
        </w:rPr>
        <w:t>完善重大行政决策制度体系，全面落实行政规范性文件备案审查，推进行政执法体制机制改革，健全实质性化解行政争议机制。推进政法工作数字化平台建设，强化跨部门执法司法协同与监督</w:t>
      </w:r>
      <w:r>
        <w:rPr>
          <w:rFonts w:hint="eastAsia" w:cs="仿宋_GB2312"/>
          <w:color w:val="000000"/>
          <w:sz w:val="32"/>
          <w:szCs w:val="32"/>
          <w:lang w:eastAsia="zh-CN"/>
        </w:rPr>
        <w:t>，</w:t>
      </w:r>
      <w:r>
        <w:rPr>
          <w:rFonts w:hint="eastAsia" w:ascii="仿宋_GB2312" w:hAnsi="仿宋_GB2312" w:eastAsia="仿宋_GB2312" w:cs="仿宋_GB2312"/>
          <w:b w:val="0"/>
          <w:bCs w:val="0"/>
          <w:sz w:val="32"/>
          <w:szCs w:val="32"/>
          <w:highlight w:val="none"/>
          <w:lang w:val="en-US" w:eastAsia="zh-CN"/>
        </w:rPr>
        <w:t>进一步规范涉企行政检查。</w:t>
      </w:r>
      <w:r>
        <w:rPr>
          <w:rFonts w:hint="eastAsia" w:ascii="仿宋_GB2312" w:hAnsi="仿宋_GB2312" w:eastAsia="仿宋_GB2312" w:cs="仿宋_GB2312"/>
          <w:color w:val="000000"/>
          <w:sz w:val="32"/>
          <w:szCs w:val="32"/>
        </w:rPr>
        <w:t>规范司法权力运行，</w:t>
      </w:r>
      <w:r>
        <w:rPr>
          <w:rFonts w:hint="eastAsia" w:ascii="仿宋_GB2312" w:hAnsi="仿宋_GB2312" w:eastAsia="仿宋_GB2312" w:cs="仿宋_GB2312"/>
          <w:b w:val="0"/>
          <w:bCs w:val="0"/>
          <w:sz w:val="32"/>
          <w:szCs w:val="32"/>
          <w:highlight w:val="none"/>
          <w:lang w:val="en-US" w:eastAsia="zh-CN"/>
        </w:rPr>
        <w:t>支持人大依法开展监督，</w:t>
      </w:r>
      <w:r>
        <w:rPr>
          <w:rFonts w:hint="eastAsia" w:ascii="仿宋_GB2312" w:hAnsi="仿宋_GB2312" w:eastAsia="仿宋_GB2312" w:cs="仿宋_GB2312"/>
          <w:color w:val="000000"/>
          <w:sz w:val="32"/>
          <w:szCs w:val="32"/>
        </w:rPr>
        <w:t>提高司法裁判公正性，强化检察监督，加强公益诉讼。</w:t>
      </w:r>
      <w:r>
        <w:rPr>
          <w:rFonts w:hint="eastAsia" w:cs="仿宋_GB2312"/>
          <w:b w:val="0"/>
          <w:bCs w:val="0"/>
          <w:sz w:val="32"/>
          <w:szCs w:val="32"/>
          <w:highlight w:val="none"/>
          <w:lang w:val="en-US" w:eastAsia="zh-CN"/>
        </w:rPr>
        <w:t>健全完善</w:t>
      </w:r>
      <w:r>
        <w:rPr>
          <w:rFonts w:hint="eastAsia" w:ascii="仿宋_GB2312" w:hAnsi="仿宋_GB2312" w:eastAsia="仿宋_GB2312" w:cs="仿宋_GB2312"/>
          <w:b w:val="0"/>
          <w:bCs w:val="0"/>
          <w:sz w:val="32"/>
          <w:szCs w:val="32"/>
          <w:highlight w:val="none"/>
          <w:lang w:val="en-US" w:eastAsia="zh-CN"/>
        </w:rPr>
        <w:t>行政复议体制</w:t>
      </w:r>
      <w:r>
        <w:rPr>
          <w:rFonts w:hint="eastAsia" w:cs="仿宋_GB2312"/>
          <w:b w:val="0"/>
          <w:bCs w:val="0"/>
          <w:sz w:val="32"/>
          <w:szCs w:val="32"/>
          <w:highlight w:val="none"/>
          <w:lang w:val="en-US" w:eastAsia="zh-CN"/>
        </w:rPr>
        <w:t>机制</w:t>
      </w:r>
      <w:r>
        <w:rPr>
          <w:rFonts w:hint="eastAsia" w:ascii="仿宋_GB2312" w:hAnsi="仿宋_GB2312" w:eastAsia="仿宋_GB2312" w:cs="仿宋_GB2312"/>
          <w:b w:val="0"/>
          <w:bCs w:val="0"/>
          <w:sz w:val="32"/>
          <w:szCs w:val="32"/>
          <w:highlight w:val="none"/>
          <w:lang w:val="en-US" w:eastAsia="zh-CN"/>
        </w:rPr>
        <w:t>，</w:t>
      </w:r>
      <w:r>
        <w:rPr>
          <w:rFonts w:hint="eastAsia" w:cs="仿宋_GB2312"/>
          <w:b w:val="0"/>
          <w:bCs w:val="0"/>
          <w:sz w:val="32"/>
          <w:szCs w:val="32"/>
          <w:highlight w:val="none"/>
          <w:lang w:val="en-US" w:eastAsia="zh-CN"/>
        </w:rPr>
        <w:t>提升实质性化解行政复议能力。</w:t>
      </w:r>
    </w:p>
    <w:p w14:paraId="17F5EBAD">
      <w:pPr>
        <w:keepNext w:val="0"/>
        <w:keepLines w:val="0"/>
        <w:pageBreakBefore w:val="0"/>
        <w:widowControl w:val="0"/>
        <w:kinsoku/>
        <w:wordWrap/>
        <w:overflowPunct/>
        <w:topLinePunct w:val="0"/>
        <w:autoSpaceDE/>
        <w:autoSpaceDN/>
        <w:bidi w:val="0"/>
        <w:adjustRightInd/>
        <w:snapToGrid/>
        <w:spacing w:line="590" w:lineRule="exact"/>
        <w:ind w:firstLine="643"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深化法治社会建设。</w:t>
      </w:r>
      <w:r>
        <w:rPr>
          <w:rFonts w:hint="eastAsia" w:ascii="仿宋_GB2312" w:hAnsi="仿宋_GB2312" w:eastAsia="仿宋_GB2312" w:cs="仿宋_GB2312"/>
          <w:b w:val="0"/>
          <w:bCs w:val="0"/>
          <w:sz w:val="32"/>
          <w:szCs w:val="32"/>
          <w:highlight w:val="none"/>
          <w:lang w:val="en-US" w:eastAsia="zh-CN"/>
        </w:rPr>
        <w:t>完善公共法律服务体系，</w:t>
      </w:r>
      <w:r>
        <w:rPr>
          <w:rFonts w:hint="eastAsia" w:cs="仿宋_GB2312"/>
          <w:b w:val="0"/>
          <w:bCs w:val="0"/>
          <w:sz w:val="32"/>
          <w:szCs w:val="32"/>
          <w:highlight w:val="none"/>
          <w:lang w:val="en-US" w:eastAsia="zh-CN"/>
        </w:rPr>
        <w:t>深化律师制度、公证制度、调解制度管理体制改革，</w:t>
      </w:r>
      <w:r>
        <w:rPr>
          <w:rFonts w:hint="eastAsia" w:ascii="仿宋_GB2312" w:hAnsi="仿宋_GB2312" w:eastAsia="仿宋_GB2312" w:cs="仿宋_GB2312"/>
          <w:sz w:val="32"/>
          <w:szCs w:val="32"/>
          <w:lang w:val="en-US" w:eastAsia="zh-CN"/>
        </w:rPr>
        <w:t>强化对农民工、下岗失业人员、困难职工、新就业形态劳动者、妇女、未成年人、老年人、残疾人、军人军属等重点群体法律援助</w:t>
      </w:r>
      <w:r>
        <w:rPr>
          <w:rFonts w:hint="eastAsia" w:cs="仿宋_GB2312"/>
          <w:sz w:val="32"/>
          <w:szCs w:val="32"/>
          <w:lang w:val="en-US" w:eastAsia="zh-CN"/>
        </w:rPr>
        <w:t>。</w:t>
      </w:r>
      <w:r>
        <w:rPr>
          <w:rFonts w:hint="eastAsia" w:ascii="仿宋_GB2312" w:hAnsi="仿宋_GB2312" w:eastAsia="仿宋_GB2312" w:cs="仿宋_GB2312"/>
          <w:b w:val="0"/>
          <w:bCs w:val="0"/>
          <w:sz w:val="32"/>
          <w:szCs w:val="32"/>
          <w:highlight w:val="none"/>
          <w:lang w:val="en-US" w:eastAsia="zh-CN"/>
        </w:rPr>
        <w:t>深化法律援助“一群体一品牌”建设。</w:t>
      </w:r>
      <w:r>
        <w:rPr>
          <w:rFonts w:hint="eastAsia" w:cs="仿宋_GB2312"/>
          <w:b w:val="0"/>
          <w:bCs w:val="0"/>
          <w:sz w:val="32"/>
          <w:szCs w:val="32"/>
          <w:highlight w:val="none"/>
          <w:lang w:val="en-US" w:eastAsia="zh-CN"/>
        </w:rPr>
        <w:t>健全尊法、学法、守法、用法推进机制，深入开展法治宣传教育，</w:t>
      </w:r>
      <w:r>
        <w:rPr>
          <w:rFonts w:hint="eastAsia" w:ascii="仿宋_GB2312" w:hAnsi="仿宋_GB2312" w:eastAsia="仿宋_GB2312" w:cs="仿宋_GB2312"/>
          <w:color w:val="000000"/>
          <w:sz w:val="32"/>
          <w:szCs w:val="32"/>
        </w:rPr>
        <w:t>增强干部群众法治意识和法治素养，弘扬社会主义法治精神。</w:t>
      </w:r>
    </w:p>
    <w:p w14:paraId="23C56CE5">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90" w:lineRule="exact"/>
        <w:ind w:left="0" w:leftChars="0" w:firstLine="0" w:firstLineChars="0"/>
        <w:jc w:val="center"/>
        <w:textAlignment w:val="auto"/>
        <w:rPr>
          <w:rFonts w:hint="eastAsia"/>
          <w:b w:val="0"/>
          <w:bCs w:val="0"/>
          <w:sz w:val="32"/>
          <w:szCs w:val="32"/>
          <w:u w:val="none"/>
          <w:lang w:val="en-US" w:eastAsia="zh-CN"/>
        </w:rPr>
      </w:pPr>
      <w:bookmarkStart w:id="80" w:name="_Toc995448134"/>
      <w:r>
        <w:rPr>
          <w:rFonts w:hint="eastAsia"/>
          <w:b w:val="0"/>
          <w:bCs w:val="0"/>
          <w:sz w:val="32"/>
          <w:szCs w:val="32"/>
          <w:u w:val="none"/>
          <w:lang w:val="en-US" w:eastAsia="zh-CN"/>
        </w:rPr>
        <w:t>第三节  加强和创新社会治理</w:t>
      </w:r>
      <w:bookmarkEnd w:id="80"/>
    </w:p>
    <w:p w14:paraId="6D629A35">
      <w:pPr>
        <w:keepNext w:val="0"/>
        <w:keepLines w:val="0"/>
        <w:pageBreakBefore w:val="0"/>
        <w:widowControl w:val="0"/>
        <w:kinsoku/>
        <w:wordWrap/>
        <w:topLinePunct w:val="0"/>
        <w:autoSpaceDE/>
        <w:autoSpaceDN/>
        <w:bidi w:val="0"/>
        <w:spacing w:line="590" w:lineRule="exact"/>
        <w:textAlignment w:val="auto"/>
        <w:rPr>
          <w:rFonts w:hint="eastAsia" w:ascii="仿宋_GB2312" w:hAnsi="仿宋_GB2312" w:eastAsia="仿宋_GB2312" w:cs="仿宋_GB2312"/>
          <w:b w:val="0"/>
          <w:bCs w:val="0"/>
          <w:sz w:val="32"/>
          <w:szCs w:val="32"/>
          <w:highlight w:val="none"/>
          <w:lang w:val="en-US" w:eastAsia="zh-CN"/>
        </w:rPr>
      </w:pPr>
      <w:bookmarkStart w:id="81" w:name="_Toc27517"/>
      <w:r>
        <w:rPr>
          <w:rFonts w:hint="eastAsia" w:ascii="仿宋_GB2312" w:hAnsi="仿宋_GB2312" w:eastAsia="仿宋_GB2312" w:cs="仿宋_GB2312"/>
          <w:b w:val="0"/>
          <w:bCs w:val="0"/>
          <w:sz w:val="32"/>
          <w:szCs w:val="32"/>
          <w:highlight w:val="none"/>
          <w:lang w:val="en-US" w:eastAsia="zh-CN"/>
        </w:rPr>
        <w:t>坚持系统治理、依法治理、综合治理、源头治理，完善共建共治共享的社会治理制度，推进社会治理现代化。</w:t>
      </w:r>
      <w:bookmarkEnd w:id="81"/>
    </w:p>
    <w:p w14:paraId="7AFFBAE0">
      <w:pPr>
        <w:keepNext w:val="0"/>
        <w:keepLines w:val="0"/>
        <w:pageBreakBefore w:val="0"/>
        <w:widowControl w:val="0"/>
        <w:kinsoku/>
        <w:wordWrap/>
        <w:overflowPunct w:val="0"/>
        <w:topLinePunct w:val="0"/>
        <w:autoSpaceDE/>
        <w:autoSpaceDN/>
        <w:bidi w:val="0"/>
        <w:adjustRightInd w:val="0"/>
        <w:snapToGrid w:val="0"/>
        <w:spacing w:beforeLines="0" w:afterLines="0" w:line="590" w:lineRule="exact"/>
        <w:ind w:left="0" w:leftChars="0" w:firstLine="643" w:firstLineChars="200"/>
        <w:jc w:val="left"/>
        <w:textAlignment w:val="auto"/>
        <w:outlineLvl w:val="9"/>
        <w:rPr>
          <w:rFonts w:hint="default" w:ascii="仿宋_GB2312" w:hAnsi="仿宋_GB2312" w:eastAsia="仿宋_GB2312" w:cs="仿宋_GB2312"/>
          <w:b w:val="0"/>
          <w:bCs w:val="0"/>
          <w:sz w:val="32"/>
          <w:szCs w:val="32"/>
          <w:highlight w:val="none"/>
          <w:lang w:val="en-US" w:eastAsia="zh-CN" w:bidi="ar-SA"/>
        </w:rPr>
      </w:pPr>
      <w:bookmarkStart w:id="82" w:name="_Toc1564296300"/>
      <w:bookmarkStart w:id="83" w:name="_Toc4569"/>
      <w:r>
        <w:rPr>
          <w:rFonts w:hint="eastAsia" w:ascii="仿宋_GB2312" w:hAnsi="仿宋_GB2312" w:eastAsia="仿宋_GB2312" w:cs="仿宋_GB2312"/>
          <w:b/>
          <w:bCs/>
          <w:sz w:val="32"/>
          <w:szCs w:val="32"/>
          <w:highlight w:val="none"/>
          <w:lang w:val="en-US" w:eastAsia="zh-CN" w:bidi="ar-SA"/>
        </w:rPr>
        <w:t>构建城市治理共同体。</w:t>
      </w:r>
      <w:r>
        <w:rPr>
          <w:rFonts w:hint="eastAsia" w:ascii="仿宋_GB2312" w:hAnsi="仿宋_GB2312" w:eastAsia="仿宋_GB2312" w:cs="仿宋_GB2312"/>
          <w:b w:val="0"/>
          <w:bCs w:val="0"/>
          <w:sz w:val="32"/>
          <w:szCs w:val="32"/>
          <w:highlight w:val="none"/>
          <w:lang w:val="en-US" w:eastAsia="zh-CN" w:bidi="ar-SA"/>
        </w:rPr>
        <w:t>建立健全城市管理统筹协调机制，加强部门协同和服务集成，实现跨领域、跨部门城市管理重大事项一体化推进，推动城市管理由专业管理、部门管理走向综合管理、协同管理。发挥群团组织和社会组织作用，丰富拓展共建共治平台载体，调动人民群众参与城市治理的积极性、主动性、创造性。建立网格动态优化调整管理机制，构建高效集成的“全要素”网格服务管理体系，实现资源力量精准配置，提升网格治理科学化、精准化水平。</w:t>
      </w:r>
      <w:bookmarkEnd w:id="82"/>
    </w:p>
    <w:p w14:paraId="02A9F00D">
      <w:pPr>
        <w:keepNext w:val="0"/>
        <w:keepLines w:val="0"/>
        <w:pageBreakBefore w:val="0"/>
        <w:widowControl w:val="0"/>
        <w:kinsoku/>
        <w:wordWrap/>
        <w:overflowPunct/>
        <w:topLinePunct w:val="0"/>
        <w:autoSpaceDE/>
        <w:autoSpaceDN/>
        <w:bidi w:val="0"/>
        <w:adjustRightInd/>
        <w:snapToGrid/>
        <w:spacing w:line="590" w:lineRule="exact"/>
        <w:ind w:firstLine="643" w:firstLineChars="200"/>
        <w:jc w:val="both"/>
        <w:textAlignment w:val="auto"/>
        <w:rPr>
          <w:rFonts w:hint="eastAsia" w:ascii="方正小标宋简体" w:hAnsi="方正小标宋简体" w:eastAsia="方正小标宋简体" w:cs="方正小标宋简体"/>
          <w:b w:val="0"/>
          <w:bCs w:val="0"/>
          <w:spacing w:val="-6"/>
          <w:kern w:val="2"/>
          <w:sz w:val="32"/>
          <w:szCs w:val="32"/>
          <w:highlight w:val="none"/>
          <w:u w:val="none"/>
          <w:lang w:val="en-US" w:eastAsia="zh-CN" w:bidi="ar-SA"/>
        </w:rPr>
      </w:pPr>
      <w:r>
        <w:rPr>
          <w:rFonts w:hint="eastAsia" w:cs="仿宋_GB2312"/>
          <w:b/>
          <w:bCs/>
          <w:sz w:val="32"/>
          <w:szCs w:val="32"/>
          <w:highlight w:val="none"/>
          <w:lang w:val="en-US" w:eastAsia="zh-CN"/>
        </w:rPr>
        <w:t>加强基层治理。</w:t>
      </w:r>
      <w:bookmarkEnd w:id="83"/>
      <w:r>
        <w:rPr>
          <w:rFonts w:hint="eastAsia" w:ascii="仿宋_GB2312" w:hAnsi="仿宋_GB2312" w:eastAsia="仿宋_GB2312" w:cs="仿宋_GB2312"/>
          <w:color w:val="000000"/>
          <w:sz w:val="32"/>
          <w:szCs w:val="32"/>
        </w:rPr>
        <w:t>加强党建引领基层治理和基层政权建设，完善共建共治共享的社会治理制度。全面实施街道履行职责事项清单，健全村（社区）工作事项准入制度，切实整治形式主义为基层减负。推动党群服务中心迭代升级，加强基层服务管理力量配置。坚持和发展新时代“枫桥经验”，发挥市民公约、村规民约等作用，加强家庭家教家风建设，推进移风易俗。突出抓好新经济组织、新社会组织、新就业群体党的建设，加强社会组织培育管理，推动行业协会商会改革发展。加强社会工作者队伍建设，着重培养一批优秀村（社区）治理带头人。完善凝聚服务群众工作机制，加强对各类社会群体的思想政治引领和服务管理，强化市民热线等公共服务平台功能，健全社会心理服务体系和危机干预机制。健全完善人民建议征集和矛盾纠纷预防和多元化解机制，推进信访工作法治化。加强志愿服务组织管理，提升“益路天桥”志愿服务品牌号召力。</w:t>
      </w:r>
    </w:p>
    <w:p w14:paraId="4751FA11">
      <w:pPr>
        <w:keepLines w:val="0"/>
        <w:pageBreakBefore w:val="0"/>
        <w:widowControl w:val="0"/>
        <w:kinsoku/>
        <w:wordWrap/>
        <w:topLinePunct w:val="0"/>
        <w:autoSpaceDE/>
        <w:autoSpaceDN/>
        <w:bidi w:val="0"/>
        <w:spacing w:line="590" w:lineRule="exact"/>
        <w:textAlignment w:val="auto"/>
        <w:rPr>
          <w:rFonts w:hint="eastAsia" w:ascii="方正小标宋简体" w:hAnsi="方正小标宋简体" w:eastAsia="方正小标宋简体" w:cs="方正小标宋简体"/>
          <w:b w:val="0"/>
          <w:bCs w:val="0"/>
          <w:spacing w:val="-6"/>
          <w:kern w:val="2"/>
          <w:sz w:val="32"/>
          <w:szCs w:val="32"/>
          <w:highlight w:val="none"/>
          <w:u w:val="none"/>
          <w:lang w:val="en-US" w:eastAsia="zh-CN" w:bidi="ar-SA"/>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0DFA5B4C">
      <w:pPr>
        <w:pStyle w:val="2"/>
        <w:keepNext/>
        <w:keepLines w:val="0"/>
        <w:pageBreakBefore w:val="0"/>
        <w:widowControl w:val="0"/>
        <w:kinsoku/>
        <w:wordWrap/>
        <w:overflowPunct w:val="0"/>
        <w:topLinePunct w:val="0"/>
        <w:autoSpaceDE/>
        <w:autoSpaceDN/>
        <w:bidi w:val="0"/>
        <w:adjustRightInd w:val="0"/>
        <w:snapToGrid w:val="0"/>
        <w:spacing w:before="313" w:beforeLines="100" w:after="313" w:afterLines="100" w:line="580" w:lineRule="exact"/>
        <w:ind w:left="0" w:leftChars="0" w:firstLine="0" w:firstLineChars="0"/>
        <w:jc w:val="center"/>
        <w:textAlignment w:val="auto"/>
        <w:outlineLvl w:val="0"/>
        <w:rPr>
          <w:rFonts w:hint="eastAsia" w:ascii="方正小标宋简体" w:hAnsi="方正小标宋简体" w:eastAsia="方正小标宋简体" w:cs="方正小标宋简体"/>
          <w:b w:val="0"/>
          <w:bCs w:val="0"/>
          <w:spacing w:val="-6"/>
          <w:kern w:val="2"/>
          <w:sz w:val="32"/>
          <w:szCs w:val="32"/>
          <w:highlight w:val="none"/>
          <w:u w:val="none"/>
          <w:lang w:val="en-US" w:eastAsia="zh-CN" w:bidi="ar-SA"/>
        </w:rPr>
      </w:pPr>
      <w:bookmarkStart w:id="84" w:name="_Toc2124535544"/>
      <w:r>
        <w:rPr>
          <w:rFonts w:hint="eastAsia" w:ascii="方正小标宋简体" w:hAnsi="方正小标宋简体" w:eastAsia="方正小标宋简体" w:cs="方正小标宋简体"/>
          <w:b w:val="0"/>
          <w:bCs w:val="0"/>
          <w:spacing w:val="-6"/>
          <w:kern w:val="2"/>
          <w:sz w:val="32"/>
          <w:szCs w:val="32"/>
          <w:highlight w:val="none"/>
          <w:u w:val="none"/>
          <w:lang w:val="en-US" w:eastAsia="zh-CN" w:bidi="ar-SA"/>
        </w:rPr>
        <w:t>第十三章  保障措施</w:t>
      </w:r>
      <w:bookmarkEnd w:id="84"/>
    </w:p>
    <w:p w14:paraId="581820E8">
      <w:pPr>
        <w:keepNext w:val="0"/>
        <w:keepLines w:val="0"/>
        <w:pageBreakBefore w:val="0"/>
        <w:widowControl w:val="0"/>
        <w:kinsoku/>
        <w:wordWrap/>
        <w:overflowPunct w:val="0"/>
        <w:topLinePunct w:val="0"/>
        <w:autoSpaceDE/>
        <w:autoSpaceDN/>
        <w:bidi w:val="0"/>
        <w:adjustRightInd w:val="0"/>
        <w:snapToGrid w:val="0"/>
        <w:spacing w:beforeLines="0" w:afterLines="0" w:line="580" w:lineRule="exact"/>
        <w:ind w:left="0" w:lef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bidi="ar-SA"/>
        </w:rPr>
      </w:pPr>
      <w:bookmarkStart w:id="85" w:name="_Toc30222"/>
      <w:bookmarkStart w:id="86" w:name="_Toc13233"/>
      <w:bookmarkStart w:id="87" w:name="_Toc13818"/>
      <w:bookmarkStart w:id="88" w:name="_Toc1950390904"/>
      <w:bookmarkStart w:id="89" w:name="_Toc936388931"/>
      <w:bookmarkStart w:id="90" w:name="_Toc22684"/>
      <w:r>
        <w:rPr>
          <w:rFonts w:hint="eastAsia" w:ascii="仿宋_GB2312" w:hAnsi="仿宋_GB2312" w:eastAsia="仿宋_GB2312" w:cs="仿宋_GB2312"/>
          <w:color w:val="auto"/>
          <w:sz w:val="32"/>
          <w:szCs w:val="32"/>
          <w:highlight w:val="none"/>
          <w:lang w:val="en-US" w:eastAsia="zh-CN" w:bidi="ar-SA"/>
        </w:rPr>
        <w:t>认真落实新时代党的建设总要求，坚持和加强党的全面领导、纵深推进全面从严治党、广泛凝聚社会合力、健全完善落实机制，为建设新时代社会主义现代化强区凝聚磅礴力量。</w:t>
      </w:r>
      <w:bookmarkEnd w:id="85"/>
      <w:bookmarkEnd w:id="86"/>
      <w:bookmarkEnd w:id="87"/>
      <w:bookmarkEnd w:id="88"/>
      <w:bookmarkEnd w:id="89"/>
      <w:bookmarkEnd w:id="90"/>
    </w:p>
    <w:p w14:paraId="2D295032">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91" w:name="_Toc74015307"/>
      <w:r>
        <w:rPr>
          <w:rFonts w:hint="eastAsia"/>
          <w:b w:val="0"/>
          <w:bCs w:val="0"/>
          <w:sz w:val="32"/>
          <w:szCs w:val="32"/>
          <w:u w:val="none"/>
          <w:lang w:val="en-US" w:eastAsia="zh-CN"/>
        </w:rPr>
        <w:t>第一节  坚持和加强党的全面领导</w:t>
      </w:r>
      <w:bookmarkEnd w:id="91"/>
    </w:p>
    <w:p w14:paraId="2827639E">
      <w:pPr>
        <w:keepLines w:val="0"/>
        <w:pageBreakBefore w:val="0"/>
        <w:widowControl w:val="0"/>
        <w:kinsoku/>
        <w:wordWrap/>
        <w:topLinePunct w:val="0"/>
        <w:autoSpaceDE/>
        <w:autoSpaceDN/>
        <w:bidi w:val="0"/>
        <w:spacing w:line="580" w:lineRule="exact"/>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color w:val="000000"/>
          <w:sz w:val="32"/>
          <w:szCs w:val="32"/>
          <w:lang w:eastAsia="zh-CN"/>
        </w:rPr>
        <w:t>坚定维护党中央权威和集中统一领导，</w:t>
      </w:r>
      <w:r>
        <w:rPr>
          <w:rFonts w:hint="eastAsia" w:ascii="仿宋_GB2312" w:hAnsi="仿宋_GB2312" w:eastAsia="仿宋_GB2312" w:cs="仿宋_GB2312"/>
          <w:color w:val="000000"/>
          <w:sz w:val="32"/>
          <w:szCs w:val="32"/>
        </w:rPr>
        <w:t>认真落实新时代党的建设总要求，深入学习贯彻习近平新时代中国特色社会主义思想，</w:t>
      </w:r>
      <w:r>
        <w:rPr>
          <w:rFonts w:hint="eastAsia" w:ascii="仿宋_GB2312" w:hAnsi="仿宋_GB2312" w:eastAsia="仿宋_GB2312" w:cs="仿宋_GB2312"/>
          <w:color w:val="000000"/>
          <w:sz w:val="32"/>
          <w:szCs w:val="32"/>
          <w:lang w:eastAsia="zh-CN"/>
        </w:rPr>
        <w:t>坚持用党的创新理论统一思想、统一意志、统一行动，</w:t>
      </w:r>
      <w:r>
        <w:rPr>
          <w:rFonts w:hint="eastAsia" w:ascii="仿宋_GB2312" w:hAnsi="仿宋_GB2312" w:eastAsia="仿宋_GB2312" w:cs="仿宋_GB2312"/>
          <w:color w:val="000000"/>
          <w:sz w:val="32"/>
          <w:szCs w:val="32"/>
        </w:rPr>
        <w:t>坚定拥护“两个确立”、坚决做到“两个维护”。健全和落实民主集中制，</w:t>
      </w:r>
      <w:r>
        <w:rPr>
          <w:rFonts w:hint="eastAsia" w:ascii="仿宋_GB2312" w:hAnsi="仿宋_GB2312" w:eastAsia="仿宋_GB2312" w:cs="仿宋_GB2312"/>
          <w:color w:val="000000"/>
          <w:sz w:val="32"/>
          <w:szCs w:val="32"/>
          <w:lang w:eastAsia="zh-CN"/>
        </w:rPr>
        <w:t>严格执行重大事项请示报告制度，推进科学决策、民主决策、依法决策</w:t>
      </w:r>
      <w:r>
        <w:rPr>
          <w:rFonts w:hint="eastAsia" w:ascii="仿宋_GB2312" w:hAnsi="仿宋_GB2312" w:eastAsia="仿宋_GB2312" w:cs="仿宋_GB2312"/>
          <w:color w:val="000000"/>
          <w:sz w:val="32"/>
          <w:szCs w:val="32"/>
        </w:rPr>
        <w:t>。坚持正确用人导向，把政治标准放在首位，重担当、重实干、重实绩。树立和践行正确政绩观，完善干部考核评价机制，推进领导干部能上能下常态化。强化教育培训和实践锻炼，分级分类提升干部专业能力，着力提高现代化建设本领。细化落实“三个区分开来”，准确运用“四种形态”，激励引导干部在遵规守纪前提下安心工作、放手干事。统筹推进各领域基层党组织建设，增强党组织政治功能和组织功能，发挥党员先锋模范作用。</w:t>
      </w:r>
    </w:p>
    <w:p w14:paraId="27ECA1B7">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92" w:name="_Toc1198085223"/>
      <w:r>
        <w:rPr>
          <w:rFonts w:hint="eastAsia"/>
          <w:b w:val="0"/>
          <w:bCs w:val="0"/>
          <w:sz w:val="32"/>
          <w:szCs w:val="32"/>
          <w:u w:val="none"/>
          <w:lang w:val="en-US" w:eastAsia="zh-CN"/>
        </w:rPr>
        <w:t>第二节  纵深推进全面从严治党</w:t>
      </w:r>
      <w:bookmarkEnd w:id="92"/>
    </w:p>
    <w:p w14:paraId="6498D2D6">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坚持用改革精神和严的标准管党治党，</w:t>
      </w:r>
      <w:r>
        <w:rPr>
          <w:rFonts w:hint="eastAsia" w:ascii="仿宋_GB2312" w:hAnsi="仿宋_GB2312" w:eastAsia="仿宋_GB2312" w:cs="仿宋_GB2312"/>
          <w:color w:val="000000"/>
          <w:sz w:val="32"/>
          <w:szCs w:val="32"/>
        </w:rPr>
        <w:t>探索深化各类监督贯通协调有效路径，</w:t>
      </w:r>
      <w:r>
        <w:rPr>
          <w:rFonts w:hint="eastAsia" w:cs="仿宋_GB2312"/>
          <w:b w:val="0"/>
          <w:bCs w:val="0"/>
          <w:sz w:val="32"/>
          <w:szCs w:val="32"/>
          <w:highlight w:val="none"/>
          <w:lang w:val="en-US" w:eastAsia="zh-CN"/>
        </w:rPr>
        <w:t>深化公权力大数据监督，加强对权力配置、运行的规范和监督，</w:t>
      </w:r>
      <w:r>
        <w:rPr>
          <w:rFonts w:hint="eastAsia" w:ascii="仿宋_GB2312" w:hAnsi="仿宋_GB2312" w:eastAsia="仿宋_GB2312" w:cs="仿宋_GB2312"/>
          <w:color w:val="000000"/>
          <w:sz w:val="32"/>
          <w:szCs w:val="32"/>
        </w:rPr>
        <w:t>推动政治监督具体化精准化常态化。深入推进党风廉政建设和反腐败斗争，锲而不舍落实中央八项规定及其实施细则精神，</w:t>
      </w:r>
      <w:r>
        <w:rPr>
          <w:rFonts w:hint="eastAsia" w:cs="仿宋_GB2312"/>
          <w:b w:val="0"/>
          <w:bCs w:val="0"/>
          <w:sz w:val="32"/>
          <w:szCs w:val="32"/>
          <w:highlight w:val="none"/>
          <w:lang w:val="en-US" w:eastAsia="zh-CN"/>
        </w:rPr>
        <w:t>推进党政机关厉行节约反对浪费，</w:t>
      </w:r>
      <w:r>
        <w:rPr>
          <w:rFonts w:hint="eastAsia" w:ascii="仿宋_GB2312" w:hAnsi="仿宋_GB2312" w:eastAsia="仿宋_GB2312" w:cs="仿宋_GB2312"/>
          <w:color w:val="000000"/>
          <w:sz w:val="32"/>
          <w:szCs w:val="32"/>
          <w:lang w:eastAsia="zh-CN"/>
        </w:rPr>
        <w:t>深入推进</w:t>
      </w:r>
      <w:r>
        <w:rPr>
          <w:rFonts w:hint="eastAsia" w:ascii="仿宋_GB2312" w:hAnsi="仿宋_GB2312" w:eastAsia="仿宋_GB2312" w:cs="仿宋_GB2312"/>
          <w:color w:val="000000"/>
          <w:sz w:val="32"/>
          <w:szCs w:val="32"/>
        </w:rPr>
        <w:t>整治形式主义为基层减负</w:t>
      </w:r>
      <w:r>
        <w:rPr>
          <w:rFonts w:hint="eastAsia" w:ascii="仿宋_GB2312" w:hAnsi="仿宋_GB2312" w:eastAsia="仿宋_GB2312" w:cs="仿宋_GB2312"/>
          <w:color w:val="000000"/>
          <w:sz w:val="32"/>
          <w:szCs w:val="32"/>
          <w:lang w:eastAsia="zh-CN"/>
        </w:rPr>
        <w:t>。始终保持反腐败高压态势，</w:t>
      </w:r>
      <w:r>
        <w:rPr>
          <w:rFonts w:hint="eastAsia" w:ascii="仿宋_GB2312" w:hAnsi="仿宋_GB2312" w:eastAsia="仿宋_GB2312" w:cs="仿宋_GB2312"/>
          <w:color w:val="000000"/>
          <w:sz w:val="32"/>
          <w:szCs w:val="32"/>
        </w:rPr>
        <w:t>一体推进不敢腐、不能腐、不想腐</w:t>
      </w:r>
      <w:r>
        <w:rPr>
          <w:rFonts w:hint="eastAsia" w:ascii="仿宋_GB2312" w:hAnsi="仿宋_GB2312" w:eastAsia="仿宋_GB2312" w:cs="仿宋_GB2312"/>
          <w:color w:val="000000"/>
          <w:sz w:val="32"/>
          <w:szCs w:val="32"/>
          <w:lang w:eastAsia="zh-CN"/>
        </w:rPr>
        <w:t>，</w:t>
      </w:r>
      <w:r>
        <w:rPr>
          <w:rFonts w:hint="eastAsia" w:cs="仿宋_GB2312"/>
          <w:b w:val="0"/>
          <w:bCs w:val="0"/>
          <w:sz w:val="32"/>
          <w:szCs w:val="32"/>
          <w:highlight w:val="none"/>
          <w:lang w:val="en-US" w:eastAsia="zh-CN"/>
        </w:rPr>
        <w:t>强化风腐同查同治，深化整治权力集中、资金密集、资源富集领域腐败，精准查处新型腐败和隐性腐败，</w:t>
      </w:r>
      <w:r>
        <w:rPr>
          <w:rFonts w:hint="eastAsia" w:ascii="仿宋_GB2312" w:hAnsi="仿宋_GB2312" w:eastAsia="仿宋_GB2312" w:cs="仿宋_GB2312"/>
          <w:color w:val="000000"/>
          <w:sz w:val="32"/>
          <w:szCs w:val="32"/>
        </w:rPr>
        <w:t>持续深化整治群众身边不正之风和腐败问题，</w:t>
      </w:r>
      <w:r>
        <w:rPr>
          <w:rFonts w:hint="eastAsia" w:ascii="仿宋_GB2312" w:hAnsi="仿宋_GB2312" w:eastAsia="仿宋_GB2312" w:cs="仿宋_GB2312"/>
          <w:color w:val="000000"/>
          <w:sz w:val="32"/>
          <w:szCs w:val="32"/>
          <w:lang w:eastAsia="zh-CN"/>
        </w:rPr>
        <w:t>加强</w:t>
      </w:r>
      <w:r>
        <w:rPr>
          <w:rFonts w:hint="eastAsia" w:ascii="仿宋_GB2312" w:hAnsi="仿宋_GB2312" w:eastAsia="仿宋_GB2312" w:cs="仿宋_GB2312"/>
          <w:color w:val="000000"/>
          <w:sz w:val="32"/>
          <w:szCs w:val="32"/>
        </w:rPr>
        <w:t>清廉天桥建设，</w:t>
      </w:r>
      <w:r>
        <w:rPr>
          <w:rFonts w:hint="eastAsia" w:cs="仿宋_GB2312"/>
          <w:b w:val="0"/>
          <w:bCs w:val="0"/>
          <w:sz w:val="32"/>
          <w:szCs w:val="32"/>
          <w:highlight w:val="none"/>
          <w:lang w:val="en-US" w:eastAsia="zh-CN"/>
        </w:rPr>
        <w:t>深化构建亲清政商关系，</w:t>
      </w:r>
      <w:r>
        <w:rPr>
          <w:rFonts w:hint="eastAsia" w:ascii="仿宋_GB2312" w:hAnsi="仿宋_GB2312" w:eastAsia="仿宋_GB2312" w:cs="仿宋_GB2312"/>
          <w:color w:val="000000"/>
          <w:sz w:val="32"/>
          <w:szCs w:val="32"/>
        </w:rPr>
        <w:t>营造风清气正的良好政治生态。</w:t>
      </w:r>
    </w:p>
    <w:p w14:paraId="2E49C363">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93" w:name="_Toc1314405102"/>
      <w:r>
        <w:rPr>
          <w:rFonts w:hint="eastAsia"/>
          <w:b w:val="0"/>
          <w:bCs w:val="0"/>
          <w:sz w:val="32"/>
          <w:szCs w:val="32"/>
          <w:u w:val="none"/>
          <w:lang w:val="en-US" w:eastAsia="zh-CN"/>
        </w:rPr>
        <w:t>第三节  广泛凝聚社会合力</w:t>
      </w:r>
      <w:bookmarkEnd w:id="93"/>
    </w:p>
    <w:p w14:paraId="1C7C1C44">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走好新时代党的群众路线，创新互联网时代群众工作方式，增强人民群众心系天桥的归属感、热爱天桥的荣誉感、建设天桥的责任感。充分发挥人大代表“当先锋、做表率”的示范作用，用好政协“商量”品牌优势。发挥工会、共青团、妇联等人民团体作用，落实产业工人队伍建设、青少年发展、妇女儿童事业发展政策保障。完善大统战工作格局，发挥民主党派、工商联和无党派人士作用，加强</w:t>
      </w:r>
      <w:r>
        <w:rPr>
          <w:rFonts w:hint="eastAsia" w:ascii="仿宋_GB2312" w:hAnsi="仿宋_GB2312" w:eastAsia="仿宋_GB2312" w:cs="仿宋_GB2312"/>
          <w:color w:val="000000"/>
          <w:sz w:val="32"/>
          <w:szCs w:val="32"/>
          <w:lang w:eastAsia="zh-CN"/>
        </w:rPr>
        <w:t>党外知识分子、</w:t>
      </w:r>
      <w:r>
        <w:rPr>
          <w:rFonts w:hint="eastAsia" w:ascii="仿宋_GB2312" w:hAnsi="仿宋_GB2312" w:eastAsia="仿宋_GB2312" w:cs="仿宋_GB2312"/>
          <w:color w:val="000000"/>
          <w:sz w:val="32"/>
          <w:szCs w:val="32"/>
        </w:rPr>
        <w:t>民营经济、新的社会阶层人士、港澳台侨和海外统战工作。</w:t>
      </w:r>
      <w:r>
        <w:rPr>
          <w:rFonts w:hint="eastAsia" w:ascii="仿宋_GB2312" w:hAnsi="仿宋_GB2312" w:eastAsia="仿宋_GB2312" w:cs="仿宋_GB2312"/>
          <w:color w:val="000000"/>
          <w:sz w:val="32"/>
          <w:szCs w:val="32"/>
          <w:lang w:eastAsia="zh-CN"/>
        </w:rPr>
        <w:t>铸牢中华民族共同体意识，</w:t>
      </w:r>
      <w:r>
        <w:rPr>
          <w:rFonts w:hint="eastAsia" w:ascii="仿宋_GB2312" w:hAnsi="仿宋_GB2312" w:eastAsia="仿宋_GB2312" w:cs="仿宋_GB2312"/>
          <w:color w:val="000000"/>
          <w:sz w:val="32"/>
          <w:szCs w:val="32"/>
        </w:rPr>
        <w:t>坚持我国宗教中国化方向，加强宗教事务治理法治化。切实做好网络统战工作。</w:t>
      </w:r>
    </w:p>
    <w:p w14:paraId="17710B8A">
      <w:pPr>
        <w:pStyle w:val="3"/>
        <w:keepNext/>
        <w:keepLines w:val="0"/>
        <w:pageBreakBefore w:val="0"/>
        <w:widowControl w:val="0"/>
        <w:kinsoku/>
        <w:wordWrap/>
        <w:overflowPunct w:val="0"/>
        <w:topLinePunct w:val="0"/>
        <w:autoSpaceDE/>
        <w:autoSpaceDN/>
        <w:bidi w:val="0"/>
        <w:adjustRightInd w:val="0"/>
        <w:snapToGrid w:val="0"/>
        <w:spacing w:before="157" w:beforeLines="50" w:after="157" w:afterLines="50" w:line="580" w:lineRule="exact"/>
        <w:ind w:left="0" w:leftChars="0" w:firstLine="0" w:firstLineChars="0"/>
        <w:jc w:val="center"/>
        <w:textAlignment w:val="auto"/>
        <w:rPr>
          <w:rFonts w:hint="eastAsia"/>
          <w:b w:val="0"/>
          <w:bCs w:val="0"/>
          <w:sz w:val="32"/>
          <w:szCs w:val="32"/>
          <w:u w:val="none"/>
          <w:lang w:val="en-US" w:eastAsia="zh-CN"/>
        </w:rPr>
      </w:pPr>
      <w:bookmarkStart w:id="94" w:name="_Toc704497584"/>
      <w:r>
        <w:rPr>
          <w:rFonts w:hint="eastAsia"/>
          <w:b w:val="0"/>
          <w:bCs w:val="0"/>
          <w:sz w:val="32"/>
          <w:szCs w:val="32"/>
          <w:u w:val="none"/>
          <w:lang w:val="en-US" w:eastAsia="zh-CN"/>
        </w:rPr>
        <w:t>第四节  健全完善落实机制</w:t>
      </w:r>
      <w:bookmarkEnd w:id="94"/>
    </w:p>
    <w:p w14:paraId="7DAF04F5">
      <w:pPr>
        <w:keepNext w:val="0"/>
        <w:keepLines w:val="0"/>
        <w:pageBreakBefore w:val="0"/>
        <w:widowControl/>
        <w:kinsoku/>
        <w:wordWrap/>
        <w:overflowPunct/>
        <w:topLinePunct w:val="0"/>
        <w:autoSpaceDE/>
        <w:autoSpaceDN/>
        <w:bidi w:val="0"/>
        <w:adjustRightInd/>
        <w:snapToGrid/>
        <w:spacing w:line="580" w:lineRule="exact"/>
        <w:ind w:firstLine="640" w:firstLineChars="0"/>
        <w:jc w:val="left"/>
        <w:textAlignment w:val="auto"/>
        <w:rPr>
          <w:rFonts w:hint="default"/>
          <w:lang w:val="en-US" w:eastAsia="zh-CN"/>
        </w:rPr>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cs="仿宋_GB2312"/>
          <w:b w:val="0"/>
          <w:bCs w:val="0"/>
          <w:sz w:val="32"/>
          <w:szCs w:val="32"/>
          <w:highlight w:val="none"/>
          <w:lang w:val="en-US" w:eastAsia="zh-CN"/>
        </w:rPr>
        <w:t>强化经济社会发展规划战略导向作用，严格落实国家和省、市关于建立统一规划体系的总体要求，</w:t>
      </w:r>
      <w:r>
        <w:rPr>
          <w:rFonts w:hint="eastAsia" w:ascii="仿宋_GB2312" w:hAnsi="仿宋_GB2312" w:eastAsia="仿宋_GB2312" w:cs="仿宋_GB2312"/>
          <w:b w:val="0"/>
          <w:bCs w:val="0"/>
          <w:sz w:val="32"/>
          <w:szCs w:val="32"/>
          <w:highlight w:val="none"/>
          <w:lang w:val="en-US" w:eastAsia="zh-CN"/>
        </w:rPr>
        <w:t>建立健全以本规划纲要为统领，以国土空间规划为基础，定位准确、边界清晰、功能互补、统一衔接的规划体系。</w:t>
      </w:r>
      <w:r>
        <w:rPr>
          <w:rFonts w:hint="eastAsia" w:cs="仿宋_GB2312"/>
          <w:color w:val="000000" w:themeColor="text1"/>
          <w:sz w:val="32"/>
          <w:szCs w:val="24"/>
          <w:highlight w:val="none"/>
          <w:lang w:val="en-US" w:eastAsia="zh-CN"/>
          <w14:textFill>
            <w14:solidFill>
              <w14:schemeClr w14:val="tx1"/>
            </w14:solidFill>
          </w14:textFill>
        </w:rPr>
        <w:t>加强规划统筹，从严控制专项规划数量。</w:t>
      </w:r>
      <w:r>
        <w:rPr>
          <w:rFonts w:hint="eastAsia" w:ascii="仿宋_GB2312" w:hAnsi="仿宋_GB2312" w:eastAsia="仿宋_GB2312" w:cs="仿宋_GB2312"/>
          <w:b w:val="0"/>
          <w:bCs w:val="0"/>
          <w:sz w:val="32"/>
          <w:szCs w:val="32"/>
          <w:highlight w:val="none"/>
          <w:lang w:val="en-US" w:eastAsia="zh-CN"/>
        </w:rPr>
        <w:t>以本规划纲要为依据，制定年度国民经济和社会发展计划，结合进展情况，合理设置年度目标并做好年度间综合平衡。制定可操作可评估的落实方案,明确实施路径,细化具体措施,科学制定政策和配置公共资源,采取强有力措施加以落实</w:t>
      </w:r>
      <w:r>
        <w:rPr>
          <w:rFonts w:hint="eastAsia" w:cs="仿宋_GB2312"/>
          <w:b w:val="0"/>
          <w:bCs w:val="0"/>
          <w:sz w:val="32"/>
          <w:szCs w:val="32"/>
          <w:highlight w:val="none"/>
          <w:lang w:val="en-US" w:eastAsia="zh-CN"/>
        </w:rPr>
        <w:t>。</w:t>
      </w:r>
      <w:r>
        <w:rPr>
          <w:rFonts w:hint="eastAsia" w:ascii="仿宋_GB2312" w:hAnsi="仿宋_GB2312" w:eastAsia="仿宋_GB2312" w:cs="仿宋_GB2312"/>
          <w:color w:val="000000"/>
          <w:sz w:val="32"/>
          <w:szCs w:val="32"/>
        </w:rPr>
        <w:t>健全政策协调和工作协同机制，强化规划评估监测、跟踪问效、督促检查，确保各项目标任务落到实处、圆满完成。</w:t>
      </w:r>
    </w:p>
    <w:tbl>
      <w:tblPr>
        <w:tblStyle w:val="23"/>
        <w:tblpPr w:leftFromText="180" w:rightFromText="180" w:vertAnchor="text" w:horzAnchor="page" w:tblpX="1466" w:tblpY="10113"/>
        <w:tblOverlap w:val="never"/>
        <w:tblW w:w="900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000"/>
      </w:tblGrid>
      <w:tr w14:paraId="1428C53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979" w:hRule="exact"/>
        </w:trPr>
        <w:tc>
          <w:tcPr>
            <w:tcW w:w="8152" w:type="dxa"/>
            <w:tcBorders>
              <w:top w:val="single" w:color="000000" w:sz="2" w:space="0"/>
              <w:bottom w:val="single" w:color="000000" w:sz="2" w:space="0"/>
            </w:tcBorders>
            <w:vAlign w:val="center"/>
          </w:tcPr>
          <w:p w14:paraId="60092D45">
            <w:pPr>
              <w:keepNext w:val="0"/>
              <w:keepLines w:val="0"/>
              <w:pageBreakBefore w:val="0"/>
              <w:widowControl/>
              <w:suppressLineNumbers w:val="0"/>
              <w:kinsoku/>
              <w:wordWrap/>
              <w:overflowPunct w:val="0"/>
              <w:topLinePunct w:val="0"/>
              <w:autoSpaceDE/>
              <w:autoSpaceDN/>
              <w:bidi w:val="0"/>
              <w:adjustRightInd w:val="0"/>
              <w:snapToGrid w:val="0"/>
              <w:spacing w:before="157" w:beforeLines="50" w:line="560" w:lineRule="exact"/>
              <w:ind w:left="1237" w:leftChars="96" w:hanging="930" w:hangingChars="300"/>
              <w:jc w:val="left"/>
              <w:textAlignment w:val="auto"/>
              <w:rPr>
                <w:rFonts w:hint="eastAsia" w:cs="仿宋_GB2312"/>
                <w:color w:val="000000"/>
                <w:kern w:val="0"/>
                <w:sz w:val="31"/>
                <w:szCs w:val="31"/>
                <w:lang w:val="en-US" w:eastAsia="zh-CN" w:bidi="ar"/>
              </w:rPr>
            </w:pPr>
            <w:r>
              <w:rPr>
                <w:rFonts w:ascii="仿宋_GB2312" w:hAnsi="仿宋_GB2312" w:eastAsia="仿宋_GB2312" w:cs="仿宋_GB2312"/>
                <w:color w:val="000000"/>
                <w:kern w:val="0"/>
                <w:sz w:val="31"/>
                <w:szCs w:val="31"/>
                <w:lang w:val="en-US" w:eastAsia="zh-CN" w:bidi="ar"/>
              </w:rPr>
              <w:t>抄送：区委各部门，区人大办，区政协办，区监委，</w:t>
            </w:r>
            <w:r>
              <w:rPr>
                <w:lang w:val="en-US" w:eastAsia="zh-CN"/>
              </w:rPr>
              <w:t>区人武部，区</w:t>
            </w:r>
            <w:r>
              <w:rPr>
                <w:rFonts w:ascii="仿宋_GB2312" w:hAnsi="仿宋_GB2312" w:eastAsia="仿宋_GB2312" w:cs="仿宋_GB2312"/>
                <w:color w:val="000000"/>
                <w:kern w:val="0"/>
                <w:sz w:val="31"/>
                <w:szCs w:val="31"/>
                <w:lang w:val="en-US" w:eastAsia="zh-CN" w:bidi="ar"/>
              </w:rPr>
              <w:t>法院，区检察院</w:t>
            </w:r>
            <w:r>
              <w:rPr>
                <w:rFonts w:hint="eastAsia" w:cs="仿宋_GB2312"/>
                <w:color w:val="000000"/>
                <w:kern w:val="0"/>
                <w:sz w:val="31"/>
                <w:szCs w:val="31"/>
                <w:lang w:val="en-US" w:eastAsia="zh-CN" w:bidi="ar"/>
              </w:rPr>
              <w:t>。</w:t>
            </w:r>
          </w:p>
          <w:p w14:paraId="040E5B72">
            <w:pPr>
              <w:keepNext w:val="0"/>
              <w:keepLines w:val="0"/>
              <w:pageBreakBefore w:val="0"/>
              <w:widowControl/>
              <w:suppressLineNumbers w:val="0"/>
              <w:kinsoku/>
              <w:wordWrap/>
              <w:overflowPunct w:val="0"/>
              <w:topLinePunct w:val="0"/>
              <w:autoSpaceDE/>
              <w:autoSpaceDN/>
              <w:bidi w:val="0"/>
              <w:adjustRightInd w:val="0"/>
              <w:snapToGrid w:val="0"/>
              <w:spacing w:line="560" w:lineRule="exact"/>
              <w:ind w:left="1229" w:leftChars="384" w:firstLine="0" w:firstLineChars="0"/>
              <w:jc w:val="left"/>
              <w:textAlignment w:val="auto"/>
              <w:rPr>
                <w:rFonts w:hint="default" w:cs="仿宋_GB2312"/>
                <w:color w:val="000000"/>
                <w:kern w:val="0"/>
                <w:sz w:val="31"/>
                <w:szCs w:val="31"/>
                <w:lang w:val="en-US" w:eastAsia="zh-CN" w:bidi="ar"/>
              </w:rPr>
            </w:pPr>
            <w:r>
              <w:rPr>
                <w:rFonts w:hint="eastAsia" w:cs="仿宋_GB2312"/>
                <w:color w:val="000000"/>
                <w:kern w:val="0"/>
                <w:sz w:val="31"/>
                <w:szCs w:val="31"/>
                <w:lang w:val="en-US" w:eastAsia="zh-CN" w:bidi="ar"/>
              </w:rPr>
              <w:t>各民主党派区级组织，驻区有关单位。</w:t>
            </w:r>
          </w:p>
          <w:p w14:paraId="0EDCBD9C">
            <w:pPr>
              <w:keepNext w:val="0"/>
              <w:keepLines w:val="0"/>
              <w:pageBreakBefore w:val="0"/>
              <w:widowControl/>
              <w:suppressLineNumbers w:val="0"/>
              <w:kinsoku/>
              <w:wordWrap/>
              <w:overflowPunct w:val="0"/>
              <w:topLinePunct w:val="0"/>
              <w:autoSpaceDE/>
              <w:autoSpaceDN/>
              <w:bidi w:val="0"/>
              <w:adjustRightInd w:val="0"/>
              <w:snapToGrid w:val="0"/>
              <w:spacing w:before="157" w:beforeLines="50"/>
              <w:ind w:left="1237" w:leftChars="96" w:hanging="930" w:hangingChars="300"/>
              <w:jc w:val="left"/>
              <w:textAlignment w:val="auto"/>
              <w:rPr>
                <w:rFonts w:ascii="仿宋_GB2312" w:hAnsi="仿宋_GB2312" w:eastAsia="仿宋_GB2312" w:cs="仿宋_GB2312"/>
                <w:color w:val="000000"/>
                <w:kern w:val="0"/>
                <w:sz w:val="31"/>
                <w:szCs w:val="31"/>
                <w:lang w:val="en-US" w:eastAsia="zh-CN" w:bidi="ar"/>
              </w:rPr>
            </w:pPr>
            <w:r>
              <w:rPr>
                <w:rFonts w:ascii="仿宋_GB2312" w:hAnsi="仿宋_GB2312" w:eastAsia="仿宋_GB2312" w:cs="仿宋_GB2312"/>
                <w:color w:val="000000"/>
                <w:kern w:val="0"/>
                <w:sz w:val="31"/>
                <w:szCs w:val="31"/>
                <w:lang w:val="en-US" w:eastAsia="zh-CN" w:bidi="ar"/>
              </w:rPr>
              <w:t>区各人民团体，驻区有关单位。</w:t>
            </w:r>
          </w:p>
          <w:p w14:paraId="2A1FF32E">
            <w:pPr>
              <w:keepNext w:val="0"/>
              <w:keepLines w:val="0"/>
              <w:widowControl/>
              <w:suppressLineNumbers w:val="0"/>
              <w:ind w:left="1267" w:leftChars="96" w:hanging="960" w:hangingChars="300"/>
              <w:jc w:val="left"/>
              <w:rPr>
                <w:rFonts w:hint="eastAsia" w:ascii="仿宋_GB2312" w:hAnsi="仿宋_GB2312" w:eastAsia="仿宋_GB2312" w:cs="仿宋_GB2312"/>
                <w:sz w:val="28"/>
                <w:szCs w:val="28"/>
              </w:rPr>
            </w:pPr>
            <w:r>
              <w:rPr>
                <w:rFonts w:hint="eastAsia"/>
                <w:lang w:val="en-US" w:eastAsia="zh-CN"/>
              </w:rPr>
              <w:t>。</w:t>
            </w:r>
          </w:p>
        </w:tc>
      </w:tr>
      <w:tr w14:paraId="37B9C23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4" w:hRule="exact"/>
        </w:trPr>
        <w:tc>
          <w:tcPr>
            <w:tcW w:w="9000" w:type="dxa"/>
            <w:tcBorders>
              <w:top w:val="single" w:color="000000" w:sz="2" w:space="0"/>
              <w:bottom w:val="single" w:color="000000" w:sz="6" w:space="0"/>
            </w:tcBorders>
            <w:vAlign w:val="center"/>
          </w:tcPr>
          <w:p w14:paraId="28FD6C71">
            <w:pPr>
              <w:bidi w:val="0"/>
              <w:ind w:left="0" w:leftChars="0" w:firstLine="292" w:firstLineChars="100"/>
              <w:rPr>
                <w:rFonts w:hint="eastAsia" w:ascii="仿宋_GB2312" w:hAnsi="仿宋_GB2312" w:eastAsia="仿宋_GB2312" w:cs="仿宋_GB2312"/>
                <w:spacing w:val="-14"/>
                <w:sz w:val="32"/>
                <w:szCs w:val="32"/>
                <w:lang w:val="en-US" w:eastAsia="zh-CN"/>
              </w:rPr>
            </w:pPr>
            <w:r>
              <w:rPr>
                <w:rFonts w:hint="eastAsia" w:ascii="仿宋_GB2312" w:hAnsi="仿宋_GB2312" w:eastAsia="仿宋_GB2312" w:cs="仿宋_GB2312"/>
                <w:spacing w:val="-14"/>
                <w:sz w:val="32"/>
                <w:szCs w:val="32"/>
                <w:lang w:val="en-US" w:eastAsia="zh-CN"/>
              </w:rPr>
              <w:t>济南市天桥区人民政府办公室</w:t>
            </w:r>
            <w:r>
              <w:rPr>
                <w:rFonts w:hint="eastAsia" w:cs="仿宋_GB2312"/>
                <w:spacing w:val="-14"/>
                <w:sz w:val="32"/>
                <w:szCs w:val="32"/>
                <w:lang w:val="en-US" w:eastAsia="zh-CN"/>
              </w:rPr>
              <w:t xml:space="preserve">                </w:t>
            </w:r>
            <w:r>
              <w:rPr>
                <w:rFonts w:hint="eastAsia" w:ascii="仿宋_GB2312" w:hAnsi="仿宋_GB2312" w:eastAsia="仿宋_GB2312" w:cs="仿宋_GB2312"/>
                <w:spacing w:val="-14"/>
                <w:sz w:val="32"/>
                <w:szCs w:val="32"/>
              </w:rPr>
              <w:t>202</w:t>
            </w:r>
            <w:r>
              <w:rPr>
                <w:rFonts w:hint="eastAsia" w:ascii="仿宋_GB2312" w:hAnsi="仿宋_GB2312" w:eastAsia="仿宋_GB2312" w:cs="仿宋_GB2312"/>
                <w:spacing w:val="-14"/>
                <w:sz w:val="32"/>
                <w:szCs w:val="32"/>
                <w:lang w:val="en-US" w:eastAsia="zh-CN"/>
              </w:rPr>
              <w:t>6</w:t>
            </w:r>
            <w:r>
              <w:rPr>
                <w:rFonts w:hint="eastAsia" w:ascii="仿宋_GB2312" w:hAnsi="仿宋_GB2312" w:eastAsia="仿宋_GB2312" w:cs="仿宋_GB2312"/>
                <w:spacing w:val="-14"/>
                <w:sz w:val="32"/>
                <w:szCs w:val="32"/>
              </w:rPr>
              <w:t>年</w:t>
            </w:r>
            <w:r>
              <w:rPr>
                <w:rFonts w:hint="eastAsia" w:cs="仿宋_GB2312"/>
                <w:spacing w:val="-14"/>
                <w:sz w:val="32"/>
                <w:szCs w:val="32"/>
                <w:lang w:val="en-US" w:eastAsia="zh-CN"/>
              </w:rPr>
              <w:t>8</w:t>
            </w:r>
            <w:r>
              <w:rPr>
                <w:rFonts w:hint="eastAsia" w:ascii="仿宋_GB2312" w:hAnsi="仿宋_GB2312" w:eastAsia="仿宋_GB2312" w:cs="仿宋_GB2312"/>
                <w:spacing w:val="-14"/>
                <w:sz w:val="32"/>
                <w:szCs w:val="32"/>
              </w:rPr>
              <w:t>月</w:t>
            </w:r>
            <w:r>
              <w:rPr>
                <w:rFonts w:hint="eastAsia" w:cs="仿宋_GB2312"/>
                <w:spacing w:val="-14"/>
                <w:sz w:val="32"/>
                <w:szCs w:val="32"/>
                <w:lang w:val="en-US" w:eastAsia="zh-CN"/>
              </w:rPr>
              <w:t>24</w:t>
            </w:r>
            <w:r>
              <w:rPr>
                <w:rFonts w:hint="eastAsia" w:ascii="仿宋_GB2312" w:hAnsi="仿宋_GB2312" w:eastAsia="仿宋_GB2312" w:cs="仿宋_GB2312"/>
                <w:spacing w:val="-14"/>
                <w:sz w:val="32"/>
                <w:szCs w:val="32"/>
              </w:rPr>
              <w:t>日印发</w:t>
            </w:r>
          </w:p>
        </w:tc>
      </w:tr>
    </w:tbl>
    <w:p w14:paraId="78D26AD2">
      <w:pPr>
        <w:ind w:left="0" w:leftChars="0" w:firstLine="0" w:firstLineChars="0"/>
        <w:rPr>
          <w:rFonts w:hint="default"/>
          <w:lang w:val="en-US" w:eastAsia="zh-CN"/>
        </w:rPr>
      </w:pPr>
    </w:p>
    <w:p w14:paraId="65F5253B">
      <w:pPr>
        <w:keepNext w:val="0"/>
        <w:keepLines w:val="0"/>
        <w:widowControl/>
        <w:suppressLineNumbers w:val="0"/>
        <w:jc w:val="left"/>
        <w:rPr>
          <w:rFonts w:ascii="仿宋_GB2312" w:hAnsi="仿宋_GB2312" w:eastAsia="仿宋_GB2312" w:cs="仿宋_GB2312"/>
          <w:color w:val="000000"/>
          <w:kern w:val="0"/>
          <w:sz w:val="31"/>
          <w:szCs w:val="31"/>
          <w:lang w:val="en-US" w:eastAsia="zh-CN" w:bidi="ar"/>
        </w:rPr>
      </w:pPr>
    </w:p>
    <w:p w14:paraId="5C7795C7">
      <w:pPr>
        <w:keepNext w:val="0"/>
        <w:keepLines w:val="0"/>
        <w:widowControl/>
        <w:suppressLineNumbers w:val="0"/>
        <w:jc w:val="left"/>
        <w:rPr>
          <w:rFonts w:ascii="仿宋_GB2312" w:hAnsi="仿宋_GB2312" w:eastAsia="仿宋_GB2312" w:cs="仿宋_GB2312"/>
          <w:color w:val="000000"/>
          <w:kern w:val="0"/>
          <w:sz w:val="31"/>
          <w:szCs w:val="31"/>
          <w:lang w:val="en-US" w:eastAsia="zh-CN" w:bidi="ar"/>
        </w:rPr>
      </w:pPr>
    </w:p>
    <w:p w14:paraId="2619F354">
      <w:pPr>
        <w:keepNext w:val="0"/>
        <w:keepLines w:val="0"/>
        <w:widowControl/>
        <w:suppressLineNumbers w:val="0"/>
        <w:jc w:val="left"/>
        <w:rPr>
          <w:rFonts w:ascii="仿宋_GB2312" w:hAnsi="仿宋_GB2312" w:eastAsia="仿宋_GB2312" w:cs="仿宋_GB2312"/>
          <w:color w:val="000000"/>
          <w:kern w:val="0"/>
          <w:sz w:val="31"/>
          <w:szCs w:val="31"/>
          <w:lang w:val="en-US" w:eastAsia="zh-CN" w:bidi="ar"/>
        </w:rPr>
      </w:pPr>
    </w:p>
    <w:p w14:paraId="2984D1FE">
      <w:pPr>
        <w:keepNext w:val="0"/>
        <w:keepLines w:val="0"/>
        <w:widowControl/>
        <w:suppressLineNumbers w:val="0"/>
        <w:jc w:val="left"/>
        <w:rPr>
          <w:rFonts w:ascii="仿宋_GB2312" w:hAnsi="仿宋_GB2312" w:eastAsia="仿宋_GB2312" w:cs="仿宋_GB2312"/>
          <w:color w:val="000000"/>
          <w:kern w:val="0"/>
          <w:sz w:val="31"/>
          <w:szCs w:val="31"/>
          <w:lang w:val="en-US" w:eastAsia="zh-CN" w:bidi="ar"/>
        </w:rPr>
      </w:pPr>
    </w:p>
    <w:p w14:paraId="1C627FA8">
      <w:pPr>
        <w:keepNext w:val="0"/>
        <w:keepLines w:val="0"/>
        <w:widowControl/>
        <w:suppressLineNumbers w:val="0"/>
        <w:jc w:val="left"/>
        <w:rPr>
          <w:rFonts w:ascii="仿宋_GB2312" w:hAnsi="仿宋_GB2312" w:eastAsia="仿宋_GB2312" w:cs="仿宋_GB2312"/>
          <w:color w:val="000000"/>
          <w:kern w:val="0"/>
          <w:sz w:val="31"/>
          <w:szCs w:val="31"/>
          <w:lang w:val="en-US" w:eastAsia="zh-CN" w:bidi="ar"/>
        </w:rPr>
      </w:pPr>
    </w:p>
    <w:p w14:paraId="52874AB0">
      <w:pPr>
        <w:keepNext w:val="0"/>
        <w:keepLines w:val="0"/>
        <w:widowControl/>
        <w:suppressLineNumbers w:val="0"/>
        <w:jc w:val="left"/>
        <w:rPr>
          <w:rFonts w:hint="default" w:ascii="仿宋_GB2312" w:hAnsi="仿宋_GB2312" w:eastAsia="仿宋_GB2312" w:cs="仿宋_GB2312"/>
          <w:color w:val="000000"/>
          <w:kern w:val="0"/>
          <w:sz w:val="31"/>
          <w:szCs w:val="31"/>
          <w:lang w:val="en-US" w:eastAsia="zh-CN" w:bidi="ar"/>
        </w:rPr>
      </w:pPr>
    </w:p>
    <w:sectPr>
      <w:pgSz w:w="11906" w:h="16838"/>
      <w:pgMar w:top="1984" w:right="1502" w:bottom="1814" w:left="1502"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V Boli">
    <w:altName w:val="DejaVu Math TeX Gyre"/>
    <w:panose1 w:val="02000500030200090000"/>
    <w:charset w:val="00"/>
    <w:family w:val="auto"/>
    <w:pitch w:val="default"/>
    <w:sig w:usb0="00000000" w:usb1="00000000" w:usb2="00000100" w:usb3="00000000" w:csb0="00000001" w:csb1="00000000"/>
  </w:font>
  <w:font w:name="DejaVu Math TeX Gyre">
    <w:panose1 w:val="02000503000000000000"/>
    <w:charset w:val="00"/>
    <w:family w:val="auto"/>
    <w:pitch w:val="default"/>
    <w:sig w:usb0="A10000EF" w:usb1="4201F9EE" w:usb2="02000000" w:usb3="00000000" w:csb0="60000193" w:csb1="0DD40000"/>
  </w:font>
  <w:font w:name="..ì.">
    <w:altName w:val="黑体"/>
    <w:panose1 w:val="00000000000000000000"/>
    <w:charset w:val="86"/>
    <w:family w:val="modern"/>
    <w:pitch w:val="default"/>
    <w:sig w:usb0="00000000" w:usb1="00000000" w:usb2="00000010" w:usb3="00000000" w:csb0="00040000" w:csb1="00000000"/>
  </w:font>
  <w:font w:name="方正小标宋_GBK">
    <w:panose1 w:val="02000000000000000000"/>
    <w:charset w:val="86"/>
    <w:family w:val="auto"/>
    <w:pitch w:val="default"/>
    <w:sig w:usb0="00000001" w:usb1="08000000" w:usb2="00000000" w:usb3="00000000" w:csb0="00040000" w:csb1="00000000"/>
  </w:font>
  <w:font w:name="文星标宋">
    <w:altName w:val="方正书宋_GBK"/>
    <w:panose1 w:val="00000000000000000000"/>
    <w:charset w:val="00"/>
    <w:family w:val="auto"/>
    <w:pitch w:val="default"/>
    <w:sig w:usb0="00000000" w:usb1="00000000" w:usb2="00000010"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D0EB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04A49">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5F319">
    <w:pPr>
      <w:pStyle w:val="9"/>
      <w:keepNext w:val="0"/>
      <w:keepLines w:val="0"/>
      <w:pageBreakBefore w:val="0"/>
      <w:widowControl w:val="0"/>
      <w:kinsoku/>
      <w:wordWrap/>
      <w:overflowPunct w:val="0"/>
      <w:topLinePunct w:val="0"/>
      <w:bidi w:val="0"/>
      <w:adjustRightInd/>
      <w:snapToGrid/>
      <w:spacing w:line="240" w:lineRule="auto"/>
      <w:ind w:left="0" w:leftChars="0" w:right="0" w:rightChars="0" w:firstLine="0" w:firstLineChars="0"/>
      <w:textAlignment w:val="auto"/>
      <w:rPr>
        <w:rFonts w:ascii="宋体" w:hAnsi="宋体" w:eastAsia="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58E8E33">
                          <w:pPr>
                            <w:pStyle w:val="9"/>
                            <w:keepNext w:val="0"/>
                            <w:keepLines w:val="0"/>
                            <w:pageBreakBefore w:val="0"/>
                            <w:widowControl w:val="0"/>
                            <w:kinsoku/>
                            <w:wordWrap/>
                            <w:overflowPunct w:val="0"/>
                            <w:topLinePunct w:val="0"/>
                            <w:bidi w:val="0"/>
                            <w:adjustRightInd/>
                            <w:snapToGrid/>
                            <w:spacing w:line="240" w:lineRule="auto"/>
                            <w:ind w:firstLine="0" w:firstLineChars="0"/>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eastAsia="zh-CN"/>
                            </w:rPr>
                            <w:t>—</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158E8E33">
                    <w:pPr>
                      <w:pStyle w:val="9"/>
                      <w:keepNext w:val="0"/>
                      <w:keepLines w:val="0"/>
                      <w:pageBreakBefore w:val="0"/>
                      <w:widowControl w:val="0"/>
                      <w:kinsoku/>
                      <w:wordWrap/>
                      <w:overflowPunct w:val="0"/>
                      <w:topLinePunct w:val="0"/>
                      <w:bidi w:val="0"/>
                      <w:adjustRightInd/>
                      <w:snapToGrid/>
                      <w:spacing w:line="240" w:lineRule="auto"/>
                      <w:ind w:firstLine="0" w:firstLineChars="0"/>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eastAsia="zh-CN"/>
                      </w:rPr>
                      <w:t>—</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021D6">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C5E9E0">
                          <w:pPr>
                            <w:pStyle w:val="9"/>
                            <w:keepNext w:val="0"/>
                            <w:keepLines w:val="0"/>
                            <w:pageBreakBefore w:val="0"/>
                            <w:widowControl w:val="0"/>
                            <w:kinsoku/>
                            <w:wordWrap/>
                            <w:overflowPunct w:val="0"/>
                            <w:topLinePunct w:val="0"/>
                            <w:bidi w:val="0"/>
                            <w:adjustRightInd w:val="0"/>
                            <w:snapToGrid w:val="0"/>
                            <w:ind w:firstLine="0" w:firstLineChars="0"/>
                            <w:textAlignment w:val="auto"/>
                            <w:rPr>
                              <w:rFonts w:hint="default" w:ascii="Times New Roman" w:hAnsi="Times New Roman" w:eastAsia="仿宋_GB2312" w:cs="Times New Roman"/>
                              <w:sz w:val="28"/>
                            </w:rPr>
                          </w:pPr>
                          <w:r>
                            <w:rPr>
                              <w:rFonts w:hint="default" w:ascii="Times New Roman" w:hAnsi="Times New Roman" w:cs="Times New Roman"/>
                              <w:sz w:val="28"/>
                            </w:rPr>
                            <w:t xml:space="preserve">— </w:t>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  \* MERGEFORMAT </w:instrText>
                          </w:r>
                          <w:r>
                            <w:rPr>
                              <w:rFonts w:hint="default" w:ascii="Times New Roman" w:hAnsi="Times New Roman" w:cs="Times New Roman"/>
                              <w:sz w:val="28"/>
                            </w:rPr>
                            <w:fldChar w:fldCharType="separate"/>
                          </w:r>
                          <w:r>
                            <w:rPr>
                              <w:rFonts w:hint="default" w:ascii="Times New Roman" w:hAnsi="Times New Roman" w:cs="Times New Roman"/>
                              <w:sz w:val="28"/>
                            </w:rPr>
                            <w:t>1</w:t>
                          </w:r>
                          <w:r>
                            <w:rPr>
                              <w:rFonts w:hint="default" w:ascii="Times New Roman" w:hAnsi="Times New Roman" w:cs="Times New Roman"/>
                              <w:sz w:val="28"/>
                            </w:rPr>
                            <w:fldChar w:fldCharType="end"/>
                          </w:r>
                          <w:r>
                            <w:rPr>
                              <w:rFonts w:hint="default" w:ascii="Times New Roman" w:hAnsi="Times New Roman" w:cs="Times New Roman"/>
                              <w:sz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7C5E9E0">
                    <w:pPr>
                      <w:pStyle w:val="9"/>
                      <w:keepNext w:val="0"/>
                      <w:keepLines w:val="0"/>
                      <w:pageBreakBefore w:val="0"/>
                      <w:widowControl w:val="0"/>
                      <w:kinsoku/>
                      <w:wordWrap/>
                      <w:overflowPunct w:val="0"/>
                      <w:topLinePunct w:val="0"/>
                      <w:bidi w:val="0"/>
                      <w:adjustRightInd w:val="0"/>
                      <w:snapToGrid w:val="0"/>
                      <w:ind w:firstLine="0" w:firstLineChars="0"/>
                      <w:textAlignment w:val="auto"/>
                      <w:rPr>
                        <w:rFonts w:hint="default" w:ascii="Times New Roman" w:hAnsi="Times New Roman" w:eastAsia="仿宋_GB2312" w:cs="Times New Roman"/>
                        <w:sz w:val="28"/>
                      </w:rPr>
                    </w:pPr>
                    <w:r>
                      <w:rPr>
                        <w:rFonts w:hint="default" w:ascii="Times New Roman" w:hAnsi="Times New Roman" w:cs="Times New Roman"/>
                        <w:sz w:val="28"/>
                      </w:rPr>
                      <w:t xml:space="preserve">— </w:t>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  \* MERGEFORMAT </w:instrText>
                    </w:r>
                    <w:r>
                      <w:rPr>
                        <w:rFonts w:hint="default" w:ascii="Times New Roman" w:hAnsi="Times New Roman" w:cs="Times New Roman"/>
                        <w:sz w:val="28"/>
                      </w:rPr>
                      <w:fldChar w:fldCharType="separate"/>
                    </w:r>
                    <w:r>
                      <w:rPr>
                        <w:rFonts w:hint="default" w:ascii="Times New Roman" w:hAnsi="Times New Roman" w:cs="Times New Roman"/>
                        <w:sz w:val="28"/>
                      </w:rPr>
                      <w:t>1</w:t>
                    </w:r>
                    <w:r>
                      <w:rPr>
                        <w:rFonts w:hint="default" w:ascii="Times New Roman" w:hAnsi="Times New Roman" w:cs="Times New Roman"/>
                        <w:sz w:val="28"/>
                      </w:rPr>
                      <w:fldChar w:fldCharType="end"/>
                    </w:r>
                    <w:r>
                      <w:rPr>
                        <w:rFonts w:hint="default" w:ascii="Times New Roman" w:hAnsi="Times New Roman" w:cs="Times New Roman"/>
                        <w:sz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0D9E3">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9B2156">
                          <w:pPr>
                            <w:pStyle w:val="9"/>
                            <w:keepNext w:val="0"/>
                            <w:keepLines w:val="0"/>
                            <w:pageBreakBefore w:val="0"/>
                            <w:widowControl w:val="0"/>
                            <w:kinsoku/>
                            <w:wordWrap/>
                            <w:overflowPunct w:val="0"/>
                            <w:topLinePunct w:val="0"/>
                            <w:bidi w:val="0"/>
                            <w:adjustRightInd w:val="0"/>
                            <w:snapToGrid w:val="0"/>
                            <w:ind w:firstLine="0" w:firstLineChars="0"/>
                            <w:textAlignment w:val="auto"/>
                            <w:rPr>
                              <w:rFonts w:hint="default" w:ascii="Times New Roman" w:hAnsi="Times New Roman" w:eastAsia="仿宋_GB2312" w:cs="Times New Roman"/>
                              <w:sz w:val="28"/>
                            </w:rPr>
                          </w:pPr>
                          <w:r>
                            <w:rPr>
                              <w:rFonts w:hint="default" w:ascii="Times New Roman" w:hAnsi="Times New Roman" w:cs="Times New Roman"/>
                              <w:sz w:val="28"/>
                            </w:rPr>
                            <w:t xml:space="preserve">— </w:t>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  \* MERGEFORMAT </w:instrText>
                          </w:r>
                          <w:r>
                            <w:rPr>
                              <w:rFonts w:hint="default" w:ascii="Times New Roman" w:hAnsi="Times New Roman" w:cs="Times New Roman"/>
                              <w:sz w:val="28"/>
                            </w:rPr>
                            <w:fldChar w:fldCharType="separate"/>
                          </w:r>
                          <w:r>
                            <w:rPr>
                              <w:rFonts w:hint="default" w:ascii="Times New Roman" w:hAnsi="Times New Roman" w:cs="Times New Roman"/>
                              <w:sz w:val="28"/>
                            </w:rPr>
                            <w:t>1</w:t>
                          </w:r>
                          <w:r>
                            <w:rPr>
                              <w:rFonts w:hint="default" w:ascii="Times New Roman" w:hAnsi="Times New Roman" w:cs="Times New Roman"/>
                              <w:sz w:val="28"/>
                            </w:rPr>
                            <w:fldChar w:fldCharType="end"/>
                          </w:r>
                          <w:r>
                            <w:rPr>
                              <w:rFonts w:hint="default" w:ascii="Times New Roman" w:hAnsi="Times New Roman" w:cs="Times New Roman"/>
                              <w:sz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C9B2156">
                    <w:pPr>
                      <w:pStyle w:val="9"/>
                      <w:keepNext w:val="0"/>
                      <w:keepLines w:val="0"/>
                      <w:pageBreakBefore w:val="0"/>
                      <w:widowControl w:val="0"/>
                      <w:kinsoku/>
                      <w:wordWrap/>
                      <w:overflowPunct w:val="0"/>
                      <w:topLinePunct w:val="0"/>
                      <w:bidi w:val="0"/>
                      <w:adjustRightInd w:val="0"/>
                      <w:snapToGrid w:val="0"/>
                      <w:ind w:firstLine="0" w:firstLineChars="0"/>
                      <w:textAlignment w:val="auto"/>
                      <w:rPr>
                        <w:rFonts w:hint="default" w:ascii="Times New Roman" w:hAnsi="Times New Roman" w:eastAsia="仿宋_GB2312" w:cs="Times New Roman"/>
                        <w:sz w:val="28"/>
                      </w:rPr>
                    </w:pPr>
                    <w:r>
                      <w:rPr>
                        <w:rFonts w:hint="default" w:ascii="Times New Roman" w:hAnsi="Times New Roman" w:cs="Times New Roman"/>
                        <w:sz w:val="28"/>
                      </w:rPr>
                      <w:t xml:space="preserve">— </w:t>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  \* MERGEFORMAT </w:instrText>
                    </w:r>
                    <w:r>
                      <w:rPr>
                        <w:rFonts w:hint="default" w:ascii="Times New Roman" w:hAnsi="Times New Roman" w:cs="Times New Roman"/>
                        <w:sz w:val="28"/>
                      </w:rPr>
                      <w:fldChar w:fldCharType="separate"/>
                    </w:r>
                    <w:r>
                      <w:rPr>
                        <w:rFonts w:hint="default" w:ascii="Times New Roman" w:hAnsi="Times New Roman" w:cs="Times New Roman"/>
                        <w:sz w:val="28"/>
                      </w:rPr>
                      <w:t>1</w:t>
                    </w:r>
                    <w:r>
                      <w:rPr>
                        <w:rFonts w:hint="default" w:ascii="Times New Roman" w:hAnsi="Times New Roman" w:cs="Times New Roman"/>
                        <w:sz w:val="28"/>
                      </w:rPr>
                      <w:fldChar w:fldCharType="end"/>
                    </w:r>
                    <w:r>
                      <w:rPr>
                        <w:rFonts w:hint="default" w:ascii="Times New Roman" w:hAnsi="Times New Roman" w:cs="Times New Roman"/>
                        <w:sz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D4BE4"/>
    <w:rsid w:val="000C3DA7"/>
    <w:rsid w:val="00417EF4"/>
    <w:rsid w:val="005319D6"/>
    <w:rsid w:val="005714C6"/>
    <w:rsid w:val="007813AE"/>
    <w:rsid w:val="008B1170"/>
    <w:rsid w:val="009B17A0"/>
    <w:rsid w:val="00E2266C"/>
    <w:rsid w:val="00F44F67"/>
    <w:rsid w:val="00F66F31"/>
    <w:rsid w:val="014C4DA3"/>
    <w:rsid w:val="01565C22"/>
    <w:rsid w:val="0160084E"/>
    <w:rsid w:val="01626782"/>
    <w:rsid w:val="016A347B"/>
    <w:rsid w:val="01DE2469"/>
    <w:rsid w:val="023A2E4D"/>
    <w:rsid w:val="027AAF6C"/>
    <w:rsid w:val="02951644"/>
    <w:rsid w:val="02AD8487"/>
    <w:rsid w:val="02C44E0D"/>
    <w:rsid w:val="02F330C6"/>
    <w:rsid w:val="03123DCA"/>
    <w:rsid w:val="03195159"/>
    <w:rsid w:val="031B3B28"/>
    <w:rsid w:val="031E451D"/>
    <w:rsid w:val="032DAD7C"/>
    <w:rsid w:val="0334789D"/>
    <w:rsid w:val="035166A0"/>
    <w:rsid w:val="03561F09"/>
    <w:rsid w:val="03B1713F"/>
    <w:rsid w:val="043240EC"/>
    <w:rsid w:val="046248DD"/>
    <w:rsid w:val="04779374"/>
    <w:rsid w:val="049C7DEF"/>
    <w:rsid w:val="04EF9BAA"/>
    <w:rsid w:val="051200B1"/>
    <w:rsid w:val="05191440"/>
    <w:rsid w:val="053401F4"/>
    <w:rsid w:val="05393890"/>
    <w:rsid w:val="05AD05DE"/>
    <w:rsid w:val="05B11678"/>
    <w:rsid w:val="05C869C2"/>
    <w:rsid w:val="05CF8C76"/>
    <w:rsid w:val="063D4CBA"/>
    <w:rsid w:val="06B31420"/>
    <w:rsid w:val="06DF2215"/>
    <w:rsid w:val="06F52C86"/>
    <w:rsid w:val="07697DBA"/>
    <w:rsid w:val="07774101"/>
    <w:rsid w:val="0790350F"/>
    <w:rsid w:val="07AE9D87"/>
    <w:rsid w:val="07BED31A"/>
    <w:rsid w:val="07BFA2FD"/>
    <w:rsid w:val="07C733D5"/>
    <w:rsid w:val="07F5F891"/>
    <w:rsid w:val="07F670C9"/>
    <w:rsid w:val="07F95559"/>
    <w:rsid w:val="07FFCD9D"/>
    <w:rsid w:val="07FFE687"/>
    <w:rsid w:val="08163A93"/>
    <w:rsid w:val="084F6ECC"/>
    <w:rsid w:val="08640C7F"/>
    <w:rsid w:val="087D1CE6"/>
    <w:rsid w:val="088F37C7"/>
    <w:rsid w:val="096E640A"/>
    <w:rsid w:val="097F4121"/>
    <w:rsid w:val="098D41AA"/>
    <w:rsid w:val="09976DD7"/>
    <w:rsid w:val="09C676BC"/>
    <w:rsid w:val="09C917B0"/>
    <w:rsid w:val="09CE61B9"/>
    <w:rsid w:val="09E55D95"/>
    <w:rsid w:val="09EF276F"/>
    <w:rsid w:val="09EF6C13"/>
    <w:rsid w:val="09F307D3"/>
    <w:rsid w:val="0A026946"/>
    <w:rsid w:val="0A252635"/>
    <w:rsid w:val="0A3E36F7"/>
    <w:rsid w:val="0AB13EC9"/>
    <w:rsid w:val="0B3D575C"/>
    <w:rsid w:val="0B776545"/>
    <w:rsid w:val="0BDD5864"/>
    <w:rsid w:val="0BE232C5"/>
    <w:rsid w:val="0BF24799"/>
    <w:rsid w:val="0BFC6523"/>
    <w:rsid w:val="0BFCFFD6"/>
    <w:rsid w:val="0BFF03E0"/>
    <w:rsid w:val="0BFF7947"/>
    <w:rsid w:val="0C2228AF"/>
    <w:rsid w:val="0C37664F"/>
    <w:rsid w:val="0C6C454B"/>
    <w:rsid w:val="0C851169"/>
    <w:rsid w:val="0CA2078F"/>
    <w:rsid w:val="0CA3F5A4"/>
    <w:rsid w:val="0CAA5073"/>
    <w:rsid w:val="0CAC6900"/>
    <w:rsid w:val="0CB88814"/>
    <w:rsid w:val="0CBE28CD"/>
    <w:rsid w:val="0CC55A09"/>
    <w:rsid w:val="0CCE0D62"/>
    <w:rsid w:val="0CDD0FA5"/>
    <w:rsid w:val="0CFD33F5"/>
    <w:rsid w:val="0CFFCD5C"/>
    <w:rsid w:val="0D377926"/>
    <w:rsid w:val="0DF754A5"/>
    <w:rsid w:val="0DFAC56C"/>
    <w:rsid w:val="0E27454B"/>
    <w:rsid w:val="0E325320"/>
    <w:rsid w:val="0E6F20D1"/>
    <w:rsid w:val="0E7BAB49"/>
    <w:rsid w:val="0E9E1473"/>
    <w:rsid w:val="0EA5DE66"/>
    <w:rsid w:val="0ECF491D"/>
    <w:rsid w:val="0EEA6A9B"/>
    <w:rsid w:val="0EEF1AC3"/>
    <w:rsid w:val="0EF9B3E9"/>
    <w:rsid w:val="0EFB12E5"/>
    <w:rsid w:val="0EFF407F"/>
    <w:rsid w:val="0F1FD8C6"/>
    <w:rsid w:val="0F486334"/>
    <w:rsid w:val="0F4B4978"/>
    <w:rsid w:val="0F4C2412"/>
    <w:rsid w:val="0F563291"/>
    <w:rsid w:val="0F5B003E"/>
    <w:rsid w:val="0F5E7313"/>
    <w:rsid w:val="0F7F3942"/>
    <w:rsid w:val="0F7FA5BE"/>
    <w:rsid w:val="0FA1275E"/>
    <w:rsid w:val="0FA7D100"/>
    <w:rsid w:val="0FA9DCA8"/>
    <w:rsid w:val="0FAF89E2"/>
    <w:rsid w:val="0FAF96B2"/>
    <w:rsid w:val="0FB5DB42"/>
    <w:rsid w:val="0FBDF15F"/>
    <w:rsid w:val="0FBE6D2E"/>
    <w:rsid w:val="0FBF6EE2"/>
    <w:rsid w:val="0FD799F0"/>
    <w:rsid w:val="0FE64614"/>
    <w:rsid w:val="0FE663C2"/>
    <w:rsid w:val="0FF77CBE"/>
    <w:rsid w:val="0FFBE5D7"/>
    <w:rsid w:val="0FFEAF30"/>
    <w:rsid w:val="0FFF435B"/>
    <w:rsid w:val="0FFF496E"/>
    <w:rsid w:val="0FFF90D7"/>
    <w:rsid w:val="0FFFA8AA"/>
    <w:rsid w:val="100D7DF3"/>
    <w:rsid w:val="100F5919"/>
    <w:rsid w:val="106519DD"/>
    <w:rsid w:val="108D4A90"/>
    <w:rsid w:val="10BE2E9B"/>
    <w:rsid w:val="10F67FD2"/>
    <w:rsid w:val="10F906B9"/>
    <w:rsid w:val="10FDAB7F"/>
    <w:rsid w:val="10FEF0F4"/>
    <w:rsid w:val="110E4174"/>
    <w:rsid w:val="114BF084"/>
    <w:rsid w:val="116E6670"/>
    <w:rsid w:val="1178129C"/>
    <w:rsid w:val="117F5695"/>
    <w:rsid w:val="11812847"/>
    <w:rsid w:val="11916802"/>
    <w:rsid w:val="11CE5360"/>
    <w:rsid w:val="11D861DF"/>
    <w:rsid w:val="129E1DE1"/>
    <w:rsid w:val="12DFECD5"/>
    <w:rsid w:val="135EBA5B"/>
    <w:rsid w:val="136B3B16"/>
    <w:rsid w:val="136C3083"/>
    <w:rsid w:val="136E7221"/>
    <w:rsid w:val="13763F01"/>
    <w:rsid w:val="13AB3BAB"/>
    <w:rsid w:val="13B30CB1"/>
    <w:rsid w:val="13B9D3F3"/>
    <w:rsid w:val="13D4CEFD"/>
    <w:rsid w:val="13E5A681"/>
    <w:rsid w:val="13EE810A"/>
    <w:rsid w:val="13F36F84"/>
    <w:rsid w:val="13FA9CF2"/>
    <w:rsid w:val="13FF5CA5"/>
    <w:rsid w:val="1441006B"/>
    <w:rsid w:val="14A01236"/>
    <w:rsid w:val="14B95E54"/>
    <w:rsid w:val="15127C5A"/>
    <w:rsid w:val="1542409B"/>
    <w:rsid w:val="1585042C"/>
    <w:rsid w:val="159A093F"/>
    <w:rsid w:val="159D5D53"/>
    <w:rsid w:val="15A21120"/>
    <w:rsid w:val="15B7C1EB"/>
    <w:rsid w:val="15D66A4B"/>
    <w:rsid w:val="15EFC425"/>
    <w:rsid w:val="15F46CC4"/>
    <w:rsid w:val="15F8BE64"/>
    <w:rsid w:val="15F8F47D"/>
    <w:rsid w:val="15FF0419"/>
    <w:rsid w:val="15FF3F87"/>
    <w:rsid w:val="15FF8ABE"/>
    <w:rsid w:val="15FF983C"/>
    <w:rsid w:val="16062499"/>
    <w:rsid w:val="161812A0"/>
    <w:rsid w:val="1658169C"/>
    <w:rsid w:val="16612C47"/>
    <w:rsid w:val="166149F5"/>
    <w:rsid w:val="166F2A52"/>
    <w:rsid w:val="16753FFC"/>
    <w:rsid w:val="1683BC53"/>
    <w:rsid w:val="16926D2E"/>
    <w:rsid w:val="16BF0DD6"/>
    <w:rsid w:val="16CE0407"/>
    <w:rsid w:val="16DB543E"/>
    <w:rsid w:val="16E64F04"/>
    <w:rsid w:val="16F49A95"/>
    <w:rsid w:val="16FE5339"/>
    <w:rsid w:val="173711F7"/>
    <w:rsid w:val="17620A24"/>
    <w:rsid w:val="176314A9"/>
    <w:rsid w:val="1773E4A3"/>
    <w:rsid w:val="17793FC0"/>
    <w:rsid w:val="177F3876"/>
    <w:rsid w:val="179DFBFD"/>
    <w:rsid w:val="17AF6DF0"/>
    <w:rsid w:val="17BB1EE3"/>
    <w:rsid w:val="17BB7868"/>
    <w:rsid w:val="17BBB55E"/>
    <w:rsid w:val="17BF2FCD"/>
    <w:rsid w:val="17CD7E49"/>
    <w:rsid w:val="17DA7B66"/>
    <w:rsid w:val="17DD0408"/>
    <w:rsid w:val="17F635AF"/>
    <w:rsid w:val="17F7A063"/>
    <w:rsid w:val="17FDF3F3"/>
    <w:rsid w:val="17FF6652"/>
    <w:rsid w:val="17FF6CBE"/>
    <w:rsid w:val="1811244B"/>
    <w:rsid w:val="183A4152"/>
    <w:rsid w:val="1869193F"/>
    <w:rsid w:val="1895D010"/>
    <w:rsid w:val="189F6908"/>
    <w:rsid w:val="18A46E1B"/>
    <w:rsid w:val="18CA2244"/>
    <w:rsid w:val="18EF453A"/>
    <w:rsid w:val="18F714A9"/>
    <w:rsid w:val="18FFE562"/>
    <w:rsid w:val="190F1452"/>
    <w:rsid w:val="1967F73C"/>
    <w:rsid w:val="19A03A86"/>
    <w:rsid w:val="19B906A4"/>
    <w:rsid w:val="19BD4E82"/>
    <w:rsid w:val="19BE1607"/>
    <w:rsid w:val="19CC3257"/>
    <w:rsid w:val="19D6D3CF"/>
    <w:rsid w:val="19FA57F9"/>
    <w:rsid w:val="19FF0056"/>
    <w:rsid w:val="1A226249"/>
    <w:rsid w:val="1A411D4B"/>
    <w:rsid w:val="1A466C29"/>
    <w:rsid w:val="1A644AB4"/>
    <w:rsid w:val="1AB6CE84"/>
    <w:rsid w:val="1ADE92D6"/>
    <w:rsid w:val="1AE54FEB"/>
    <w:rsid w:val="1AF68DFE"/>
    <w:rsid w:val="1AF79952"/>
    <w:rsid w:val="1AFD3D0F"/>
    <w:rsid w:val="1AFF465D"/>
    <w:rsid w:val="1B2F3575"/>
    <w:rsid w:val="1B3F32D2"/>
    <w:rsid w:val="1B3F36EA"/>
    <w:rsid w:val="1B488976"/>
    <w:rsid w:val="1B4A3CA9"/>
    <w:rsid w:val="1B4F5839"/>
    <w:rsid w:val="1B544B28"/>
    <w:rsid w:val="1B574618"/>
    <w:rsid w:val="1B634D6B"/>
    <w:rsid w:val="1B7C407F"/>
    <w:rsid w:val="1B9CE96D"/>
    <w:rsid w:val="1BA3B58E"/>
    <w:rsid w:val="1BBBC96D"/>
    <w:rsid w:val="1BBBEA54"/>
    <w:rsid w:val="1BBE6445"/>
    <w:rsid w:val="1BBEAEDA"/>
    <w:rsid w:val="1BCBA6A5"/>
    <w:rsid w:val="1BEE7BD7"/>
    <w:rsid w:val="1BF1345F"/>
    <w:rsid w:val="1BF3763C"/>
    <w:rsid w:val="1BF71D6D"/>
    <w:rsid w:val="1BFBE233"/>
    <w:rsid w:val="1BFD8244"/>
    <w:rsid w:val="1BFF52D8"/>
    <w:rsid w:val="1BFFCDC4"/>
    <w:rsid w:val="1C16002F"/>
    <w:rsid w:val="1C3D736A"/>
    <w:rsid w:val="1C63CFE4"/>
    <w:rsid w:val="1C6C40F3"/>
    <w:rsid w:val="1C71170A"/>
    <w:rsid w:val="1C7C265A"/>
    <w:rsid w:val="1C7DDA49"/>
    <w:rsid w:val="1C7F65A8"/>
    <w:rsid w:val="1CBF5B0D"/>
    <w:rsid w:val="1CDD4343"/>
    <w:rsid w:val="1CFF9282"/>
    <w:rsid w:val="1D03DBDC"/>
    <w:rsid w:val="1D0E51AB"/>
    <w:rsid w:val="1D1FF838"/>
    <w:rsid w:val="1D5B5B9E"/>
    <w:rsid w:val="1D5F0E8A"/>
    <w:rsid w:val="1D6D00F3"/>
    <w:rsid w:val="1D76522A"/>
    <w:rsid w:val="1D7C24FC"/>
    <w:rsid w:val="1D7C3EC2"/>
    <w:rsid w:val="1D7C7380"/>
    <w:rsid w:val="1D7E7AB5"/>
    <w:rsid w:val="1DB96EC4"/>
    <w:rsid w:val="1DCE41AD"/>
    <w:rsid w:val="1DD991ED"/>
    <w:rsid w:val="1DD9AF03"/>
    <w:rsid w:val="1DDB3ED2"/>
    <w:rsid w:val="1DDFF8D3"/>
    <w:rsid w:val="1DDFFB7D"/>
    <w:rsid w:val="1DE859FC"/>
    <w:rsid w:val="1DEA52D0"/>
    <w:rsid w:val="1DEFE0CC"/>
    <w:rsid w:val="1DF7B1AA"/>
    <w:rsid w:val="1DFBA17C"/>
    <w:rsid w:val="1DFCFB55"/>
    <w:rsid w:val="1DFEFAA1"/>
    <w:rsid w:val="1DFF4B99"/>
    <w:rsid w:val="1E0D0AA5"/>
    <w:rsid w:val="1E124B9D"/>
    <w:rsid w:val="1E334EC9"/>
    <w:rsid w:val="1E5D8029"/>
    <w:rsid w:val="1E6D7CAF"/>
    <w:rsid w:val="1E7775FF"/>
    <w:rsid w:val="1E7B5EA6"/>
    <w:rsid w:val="1E7FDF47"/>
    <w:rsid w:val="1EA880C9"/>
    <w:rsid w:val="1EBEBE0C"/>
    <w:rsid w:val="1ECB324C"/>
    <w:rsid w:val="1EDE833A"/>
    <w:rsid w:val="1EE9CABF"/>
    <w:rsid w:val="1EEF965C"/>
    <w:rsid w:val="1EF6056A"/>
    <w:rsid w:val="1EFD54D7"/>
    <w:rsid w:val="1EFD578E"/>
    <w:rsid w:val="1EFF10CD"/>
    <w:rsid w:val="1EFF6D78"/>
    <w:rsid w:val="1EFFD8B1"/>
    <w:rsid w:val="1F067363"/>
    <w:rsid w:val="1F174A85"/>
    <w:rsid w:val="1F275000"/>
    <w:rsid w:val="1F36FB53"/>
    <w:rsid w:val="1F3DB255"/>
    <w:rsid w:val="1F4B0D5F"/>
    <w:rsid w:val="1F5D2358"/>
    <w:rsid w:val="1F767B9B"/>
    <w:rsid w:val="1F7F106D"/>
    <w:rsid w:val="1FA29ECB"/>
    <w:rsid w:val="1FAF117D"/>
    <w:rsid w:val="1FB2EC9A"/>
    <w:rsid w:val="1FB6F16E"/>
    <w:rsid w:val="1FBBEA16"/>
    <w:rsid w:val="1FBD74CE"/>
    <w:rsid w:val="1FBEB045"/>
    <w:rsid w:val="1FC009DE"/>
    <w:rsid w:val="1FDB87ED"/>
    <w:rsid w:val="1FDC4BE5"/>
    <w:rsid w:val="1FDF1FEB"/>
    <w:rsid w:val="1FDF3F00"/>
    <w:rsid w:val="1FDFC70E"/>
    <w:rsid w:val="1FED72F9"/>
    <w:rsid w:val="1FEF6066"/>
    <w:rsid w:val="1FEF8F86"/>
    <w:rsid w:val="1FEFE2E5"/>
    <w:rsid w:val="1FF3786F"/>
    <w:rsid w:val="1FF4A824"/>
    <w:rsid w:val="1FF624E0"/>
    <w:rsid w:val="1FF65135"/>
    <w:rsid w:val="1FF77FEF"/>
    <w:rsid w:val="1FF7ED2D"/>
    <w:rsid w:val="1FFAAC20"/>
    <w:rsid w:val="1FFB5BAB"/>
    <w:rsid w:val="1FFB5BF2"/>
    <w:rsid w:val="1FFBD6A5"/>
    <w:rsid w:val="1FFBD95F"/>
    <w:rsid w:val="1FFD3E66"/>
    <w:rsid w:val="1FFD65AB"/>
    <w:rsid w:val="1FFDD4FA"/>
    <w:rsid w:val="1FFF47A8"/>
    <w:rsid w:val="1FFF4DDF"/>
    <w:rsid w:val="1FFF8D65"/>
    <w:rsid w:val="202076CF"/>
    <w:rsid w:val="208A2D9A"/>
    <w:rsid w:val="20914128"/>
    <w:rsid w:val="20A0611A"/>
    <w:rsid w:val="20C22534"/>
    <w:rsid w:val="20D504B9"/>
    <w:rsid w:val="20DF3608"/>
    <w:rsid w:val="21076199"/>
    <w:rsid w:val="211F7986"/>
    <w:rsid w:val="2139EAE5"/>
    <w:rsid w:val="2150434B"/>
    <w:rsid w:val="21553A3C"/>
    <w:rsid w:val="216E446A"/>
    <w:rsid w:val="21C10A3D"/>
    <w:rsid w:val="21D544E9"/>
    <w:rsid w:val="21FF744F"/>
    <w:rsid w:val="227F6C9B"/>
    <w:rsid w:val="22A34EAB"/>
    <w:rsid w:val="22C769D7"/>
    <w:rsid w:val="22D36C7A"/>
    <w:rsid w:val="22D447A0"/>
    <w:rsid w:val="22DD18A7"/>
    <w:rsid w:val="22E97207"/>
    <w:rsid w:val="22F2E5A1"/>
    <w:rsid w:val="22FC8B8A"/>
    <w:rsid w:val="23273266"/>
    <w:rsid w:val="23671818"/>
    <w:rsid w:val="237D77A5"/>
    <w:rsid w:val="239D13BB"/>
    <w:rsid w:val="239F85AF"/>
    <w:rsid w:val="239FD48B"/>
    <w:rsid w:val="23C7BB41"/>
    <w:rsid w:val="23F52C20"/>
    <w:rsid w:val="23F728FE"/>
    <w:rsid w:val="23FF6F1A"/>
    <w:rsid w:val="24286F4E"/>
    <w:rsid w:val="24305A06"/>
    <w:rsid w:val="24413C97"/>
    <w:rsid w:val="24717218"/>
    <w:rsid w:val="24EFC414"/>
    <w:rsid w:val="24F84634"/>
    <w:rsid w:val="24FA6740"/>
    <w:rsid w:val="250749B9"/>
    <w:rsid w:val="25363F29"/>
    <w:rsid w:val="254F010E"/>
    <w:rsid w:val="256AB666"/>
    <w:rsid w:val="256B319A"/>
    <w:rsid w:val="257A518B"/>
    <w:rsid w:val="2584425C"/>
    <w:rsid w:val="25AD2F7A"/>
    <w:rsid w:val="25BF34E6"/>
    <w:rsid w:val="25CF7D57"/>
    <w:rsid w:val="25EFAB50"/>
    <w:rsid w:val="267B66D4"/>
    <w:rsid w:val="269E8244"/>
    <w:rsid w:val="26B80661"/>
    <w:rsid w:val="26B948D1"/>
    <w:rsid w:val="26E2C830"/>
    <w:rsid w:val="26E7C199"/>
    <w:rsid w:val="26EF1595"/>
    <w:rsid w:val="271F4A1B"/>
    <w:rsid w:val="272C4BAB"/>
    <w:rsid w:val="27352B31"/>
    <w:rsid w:val="273F32EE"/>
    <w:rsid w:val="27514612"/>
    <w:rsid w:val="275859A0"/>
    <w:rsid w:val="275E527C"/>
    <w:rsid w:val="276F260A"/>
    <w:rsid w:val="277327DA"/>
    <w:rsid w:val="278CA4CB"/>
    <w:rsid w:val="27BF123E"/>
    <w:rsid w:val="27CB6172"/>
    <w:rsid w:val="27CE7A10"/>
    <w:rsid w:val="27CF3997"/>
    <w:rsid w:val="27D31DFA"/>
    <w:rsid w:val="27D8263D"/>
    <w:rsid w:val="27E70558"/>
    <w:rsid w:val="27EE00B2"/>
    <w:rsid w:val="27EEF304"/>
    <w:rsid w:val="27F72854"/>
    <w:rsid w:val="27F9DA8F"/>
    <w:rsid w:val="27FE50E1"/>
    <w:rsid w:val="27FFA49E"/>
    <w:rsid w:val="27FFA5B5"/>
    <w:rsid w:val="28397580"/>
    <w:rsid w:val="28683122"/>
    <w:rsid w:val="28BE1833"/>
    <w:rsid w:val="28CA467C"/>
    <w:rsid w:val="28D64DCE"/>
    <w:rsid w:val="28FC235B"/>
    <w:rsid w:val="29226266"/>
    <w:rsid w:val="2939535D"/>
    <w:rsid w:val="296248B4"/>
    <w:rsid w:val="29954C89"/>
    <w:rsid w:val="29A7676B"/>
    <w:rsid w:val="29CAC68B"/>
    <w:rsid w:val="29FF0241"/>
    <w:rsid w:val="2A3D79B8"/>
    <w:rsid w:val="2A5769AE"/>
    <w:rsid w:val="2A647A65"/>
    <w:rsid w:val="2A7783AE"/>
    <w:rsid w:val="2ABE5B1A"/>
    <w:rsid w:val="2B0D6AA1"/>
    <w:rsid w:val="2B5EDD7E"/>
    <w:rsid w:val="2B683CD8"/>
    <w:rsid w:val="2B6B0A67"/>
    <w:rsid w:val="2B7DAE90"/>
    <w:rsid w:val="2B8F1406"/>
    <w:rsid w:val="2BB7B806"/>
    <w:rsid w:val="2BB87BA4"/>
    <w:rsid w:val="2BB9C10D"/>
    <w:rsid w:val="2BBAC621"/>
    <w:rsid w:val="2BBEED7B"/>
    <w:rsid w:val="2BBF8135"/>
    <w:rsid w:val="2BC2788C"/>
    <w:rsid w:val="2BCC1D7A"/>
    <w:rsid w:val="2BD29508"/>
    <w:rsid w:val="2BD575BF"/>
    <w:rsid w:val="2BD97F50"/>
    <w:rsid w:val="2BDFB7C4"/>
    <w:rsid w:val="2BE60588"/>
    <w:rsid w:val="2BEA9B50"/>
    <w:rsid w:val="2BEFE79B"/>
    <w:rsid w:val="2BF71AB4"/>
    <w:rsid w:val="2BFA393C"/>
    <w:rsid w:val="2BFD26F2"/>
    <w:rsid w:val="2BFF7124"/>
    <w:rsid w:val="2C016606"/>
    <w:rsid w:val="2C3167C0"/>
    <w:rsid w:val="2C3F9E4B"/>
    <w:rsid w:val="2C4604BD"/>
    <w:rsid w:val="2C79310F"/>
    <w:rsid w:val="2C923702"/>
    <w:rsid w:val="2C954FA0"/>
    <w:rsid w:val="2CD9402B"/>
    <w:rsid w:val="2CDC2BCF"/>
    <w:rsid w:val="2CDF725A"/>
    <w:rsid w:val="2CEB7EA4"/>
    <w:rsid w:val="2CF945F3"/>
    <w:rsid w:val="2CFE85E5"/>
    <w:rsid w:val="2CFFEA8B"/>
    <w:rsid w:val="2D281971"/>
    <w:rsid w:val="2D3C280C"/>
    <w:rsid w:val="2D67FAD0"/>
    <w:rsid w:val="2D769A7F"/>
    <w:rsid w:val="2D7B18E9"/>
    <w:rsid w:val="2D9153E2"/>
    <w:rsid w:val="2D940993"/>
    <w:rsid w:val="2D9A5229"/>
    <w:rsid w:val="2D9B65E7"/>
    <w:rsid w:val="2DAC07F4"/>
    <w:rsid w:val="2DAD7952"/>
    <w:rsid w:val="2DAF0247"/>
    <w:rsid w:val="2DBB6441"/>
    <w:rsid w:val="2DBE0822"/>
    <w:rsid w:val="2DDD275B"/>
    <w:rsid w:val="2DEF9C5C"/>
    <w:rsid w:val="2DF650ED"/>
    <w:rsid w:val="2DFE037C"/>
    <w:rsid w:val="2DFF1E10"/>
    <w:rsid w:val="2DFF9CD6"/>
    <w:rsid w:val="2DFFCF35"/>
    <w:rsid w:val="2E1F7A23"/>
    <w:rsid w:val="2E4FDB3B"/>
    <w:rsid w:val="2E72236E"/>
    <w:rsid w:val="2E7C6107"/>
    <w:rsid w:val="2E7DD55A"/>
    <w:rsid w:val="2E7F745F"/>
    <w:rsid w:val="2E7F7CB6"/>
    <w:rsid w:val="2EA63495"/>
    <w:rsid w:val="2EA6B532"/>
    <w:rsid w:val="2EB536D8"/>
    <w:rsid w:val="2EBF6305"/>
    <w:rsid w:val="2ECB6A40"/>
    <w:rsid w:val="2EDA4EED"/>
    <w:rsid w:val="2EDCDC32"/>
    <w:rsid w:val="2EED6478"/>
    <w:rsid w:val="2EEFF1CF"/>
    <w:rsid w:val="2EF02962"/>
    <w:rsid w:val="2EF29431"/>
    <w:rsid w:val="2EF6D371"/>
    <w:rsid w:val="2EF7FA05"/>
    <w:rsid w:val="2EFDA2EF"/>
    <w:rsid w:val="2EFF6D44"/>
    <w:rsid w:val="2EFFD0C3"/>
    <w:rsid w:val="2F0401BB"/>
    <w:rsid w:val="2F1FEB1E"/>
    <w:rsid w:val="2F2E0E4C"/>
    <w:rsid w:val="2F2FF442"/>
    <w:rsid w:val="2F5BB508"/>
    <w:rsid w:val="2F621AB6"/>
    <w:rsid w:val="2F6E6EDE"/>
    <w:rsid w:val="2F70E2B5"/>
    <w:rsid w:val="2F74E223"/>
    <w:rsid w:val="2F7B1BBA"/>
    <w:rsid w:val="2F7E7BE5"/>
    <w:rsid w:val="2F7F2AB8"/>
    <w:rsid w:val="2F7F8427"/>
    <w:rsid w:val="2F8C4439"/>
    <w:rsid w:val="2F8EEB2F"/>
    <w:rsid w:val="2F9796B6"/>
    <w:rsid w:val="2F9A7CCB"/>
    <w:rsid w:val="2F9ED8DD"/>
    <w:rsid w:val="2FA06136"/>
    <w:rsid w:val="2FABD7EB"/>
    <w:rsid w:val="2FAE34CF"/>
    <w:rsid w:val="2FAF21E3"/>
    <w:rsid w:val="2FB971F8"/>
    <w:rsid w:val="2FBB18D0"/>
    <w:rsid w:val="2FBD14E1"/>
    <w:rsid w:val="2FBD42C9"/>
    <w:rsid w:val="2FBE8DB2"/>
    <w:rsid w:val="2FBF2C9C"/>
    <w:rsid w:val="2FBF4CC9"/>
    <w:rsid w:val="2FBFBF02"/>
    <w:rsid w:val="2FC7C95E"/>
    <w:rsid w:val="2FC84A14"/>
    <w:rsid w:val="2FCC0E89"/>
    <w:rsid w:val="2FCCE992"/>
    <w:rsid w:val="2FCDCAC9"/>
    <w:rsid w:val="2FCFA74A"/>
    <w:rsid w:val="2FD3A911"/>
    <w:rsid w:val="2FD6DDFF"/>
    <w:rsid w:val="2FD7142C"/>
    <w:rsid w:val="2FD92703"/>
    <w:rsid w:val="2FD974DE"/>
    <w:rsid w:val="2FDBED5D"/>
    <w:rsid w:val="2FDD2EE6"/>
    <w:rsid w:val="2FDF3E53"/>
    <w:rsid w:val="2FDF6460"/>
    <w:rsid w:val="2FE4614F"/>
    <w:rsid w:val="2FED1ADC"/>
    <w:rsid w:val="2FF5FCAA"/>
    <w:rsid w:val="2FF6AFCF"/>
    <w:rsid w:val="2FF77292"/>
    <w:rsid w:val="2FF7EED7"/>
    <w:rsid w:val="2FF859C1"/>
    <w:rsid w:val="2FFB1636"/>
    <w:rsid w:val="2FFD4C5D"/>
    <w:rsid w:val="2FFE468C"/>
    <w:rsid w:val="2FFE9DD7"/>
    <w:rsid w:val="2FFEAD1F"/>
    <w:rsid w:val="2FFF522B"/>
    <w:rsid w:val="2FFF6F9B"/>
    <w:rsid w:val="2FFF7AC0"/>
    <w:rsid w:val="2FFF9EDA"/>
    <w:rsid w:val="2FFFA384"/>
    <w:rsid w:val="2FFFCA0E"/>
    <w:rsid w:val="301614A4"/>
    <w:rsid w:val="30185CCC"/>
    <w:rsid w:val="301B57BD"/>
    <w:rsid w:val="302208F9"/>
    <w:rsid w:val="302C6BAB"/>
    <w:rsid w:val="30474804"/>
    <w:rsid w:val="3047DF48"/>
    <w:rsid w:val="309D08C8"/>
    <w:rsid w:val="30E107B4"/>
    <w:rsid w:val="30F027A5"/>
    <w:rsid w:val="31104BF6"/>
    <w:rsid w:val="311F752F"/>
    <w:rsid w:val="31264EDF"/>
    <w:rsid w:val="312A44BB"/>
    <w:rsid w:val="313653F9"/>
    <w:rsid w:val="313A51B4"/>
    <w:rsid w:val="314B0324"/>
    <w:rsid w:val="314F6781"/>
    <w:rsid w:val="316997D3"/>
    <w:rsid w:val="319D4BE4"/>
    <w:rsid w:val="31AF145D"/>
    <w:rsid w:val="31C42E0A"/>
    <w:rsid w:val="31DBA9E3"/>
    <w:rsid w:val="31EEF7D5"/>
    <w:rsid w:val="31FED8C6"/>
    <w:rsid w:val="31FF75E9"/>
    <w:rsid w:val="31FFB23A"/>
    <w:rsid w:val="323111E8"/>
    <w:rsid w:val="32340DB8"/>
    <w:rsid w:val="32494863"/>
    <w:rsid w:val="327BA764"/>
    <w:rsid w:val="32A777DC"/>
    <w:rsid w:val="32B6486E"/>
    <w:rsid w:val="32EC51EE"/>
    <w:rsid w:val="32F26CA9"/>
    <w:rsid w:val="32FB2A91"/>
    <w:rsid w:val="32FF1B9A"/>
    <w:rsid w:val="32FF4F22"/>
    <w:rsid w:val="332E67FF"/>
    <w:rsid w:val="3357C1FA"/>
    <w:rsid w:val="336E20A7"/>
    <w:rsid w:val="337F42DD"/>
    <w:rsid w:val="337F4E0B"/>
    <w:rsid w:val="338F6184"/>
    <w:rsid w:val="339AF891"/>
    <w:rsid w:val="339E5E34"/>
    <w:rsid w:val="33A32BB7"/>
    <w:rsid w:val="33B9AA14"/>
    <w:rsid w:val="33BFD5A3"/>
    <w:rsid w:val="33C1667B"/>
    <w:rsid w:val="33CA3782"/>
    <w:rsid w:val="33CDA655"/>
    <w:rsid w:val="33CF8BF9"/>
    <w:rsid w:val="33D621A1"/>
    <w:rsid w:val="33E2F247"/>
    <w:rsid w:val="33EF0696"/>
    <w:rsid w:val="33EF865D"/>
    <w:rsid w:val="33EFC7B4"/>
    <w:rsid w:val="33F5CB12"/>
    <w:rsid w:val="33F9BECA"/>
    <w:rsid w:val="33FA2C51"/>
    <w:rsid w:val="33FB6940"/>
    <w:rsid w:val="33FBA887"/>
    <w:rsid w:val="33FBE0B4"/>
    <w:rsid w:val="33FE685A"/>
    <w:rsid w:val="33FED925"/>
    <w:rsid w:val="33FF74D1"/>
    <w:rsid w:val="348F03C1"/>
    <w:rsid w:val="34936269"/>
    <w:rsid w:val="34993154"/>
    <w:rsid w:val="34AFBD62"/>
    <w:rsid w:val="34CA6A01"/>
    <w:rsid w:val="34DF9CCC"/>
    <w:rsid w:val="34EC6244"/>
    <w:rsid w:val="34F0546A"/>
    <w:rsid w:val="34F84072"/>
    <w:rsid w:val="351A3CA4"/>
    <w:rsid w:val="353F3CFB"/>
    <w:rsid w:val="35777398"/>
    <w:rsid w:val="35777937"/>
    <w:rsid w:val="3577D2D7"/>
    <w:rsid w:val="357AEC7C"/>
    <w:rsid w:val="359027A9"/>
    <w:rsid w:val="3599BE89"/>
    <w:rsid w:val="35ADA68D"/>
    <w:rsid w:val="35AF8064"/>
    <w:rsid w:val="35BE1C1B"/>
    <w:rsid w:val="35C91817"/>
    <w:rsid w:val="35D70233"/>
    <w:rsid w:val="35DEF065"/>
    <w:rsid w:val="35DF3B4F"/>
    <w:rsid w:val="35E7548B"/>
    <w:rsid w:val="35EF6D18"/>
    <w:rsid w:val="35EF9942"/>
    <w:rsid w:val="35EFA215"/>
    <w:rsid w:val="35F01791"/>
    <w:rsid w:val="35F347E3"/>
    <w:rsid w:val="35F6AB16"/>
    <w:rsid w:val="35FF8605"/>
    <w:rsid w:val="360B0081"/>
    <w:rsid w:val="36439DB6"/>
    <w:rsid w:val="36592B9B"/>
    <w:rsid w:val="365B11E8"/>
    <w:rsid w:val="366959C8"/>
    <w:rsid w:val="36723C5D"/>
    <w:rsid w:val="3673F2C5"/>
    <w:rsid w:val="3675EA36"/>
    <w:rsid w:val="36775270"/>
    <w:rsid w:val="368F8C8E"/>
    <w:rsid w:val="3699743B"/>
    <w:rsid w:val="369FBD90"/>
    <w:rsid w:val="36B77E06"/>
    <w:rsid w:val="36BD6D39"/>
    <w:rsid w:val="36BDC5C1"/>
    <w:rsid w:val="36DB30E9"/>
    <w:rsid w:val="36DD1DEC"/>
    <w:rsid w:val="36EF968E"/>
    <w:rsid w:val="36F2C017"/>
    <w:rsid w:val="36F5C19F"/>
    <w:rsid w:val="36F739EF"/>
    <w:rsid w:val="36FAEBA7"/>
    <w:rsid w:val="36FF83D8"/>
    <w:rsid w:val="36FFD4CC"/>
    <w:rsid w:val="36FFEB05"/>
    <w:rsid w:val="371FCC3F"/>
    <w:rsid w:val="372E9459"/>
    <w:rsid w:val="373DCA29"/>
    <w:rsid w:val="37574214"/>
    <w:rsid w:val="3758A1B6"/>
    <w:rsid w:val="375EFADB"/>
    <w:rsid w:val="375F3DB2"/>
    <w:rsid w:val="37657843"/>
    <w:rsid w:val="3779B861"/>
    <w:rsid w:val="377BBEB8"/>
    <w:rsid w:val="377F61BC"/>
    <w:rsid w:val="377F6C50"/>
    <w:rsid w:val="379BC492"/>
    <w:rsid w:val="379EBCBD"/>
    <w:rsid w:val="37A37C10"/>
    <w:rsid w:val="37B5897C"/>
    <w:rsid w:val="37B5CA09"/>
    <w:rsid w:val="37B79AFE"/>
    <w:rsid w:val="37BA3D60"/>
    <w:rsid w:val="37BC1633"/>
    <w:rsid w:val="37BE02FC"/>
    <w:rsid w:val="37BE8A08"/>
    <w:rsid w:val="37BF6580"/>
    <w:rsid w:val="37BFF6CF"/>
    <w:rsid w:val="37C91FA2"/>
    <w:rsid w:val="37CEDF78"/>
    <w:rsid w:val="37D78924"/>
    <w:rsid w:val="37D7EAD5"/>
    <w:rsid w:val="37D8CBCB"/>
    <w:rsid w:val="37DDE702"/>
    <w:rsid w:val="37DF2256"/>
    <w:rsid w:val="37DF98F9"/>
    <w:rsid w:val="37EA72CB"/>
    <w:rsid w:val="37F38C19"/>
    <w:rsid w:val="37F72636"/>
    <w:rsid w:val="37F772AC"/>
    <w:rsid w:val="37F980F9"/>
    <w:rsid w:val="37FB446F"/>
    <w:rsid w:val="37FB8074"/>
    <w:rsid w:val="37FBAFB4"/>
    <w:rsid w:val="37FBD701"/>
    <w:rsid w:val="37FE8668"/>
    <w:rsid w:val="37FF0730"/>
    <w:rsid w:val="37FF0DF4"/>
    <w:rsid w:val="37FF84C7"/>
    <w:rsid w:val="37FF84E7"/>
    <w:rsid w:val="37FFD484"/>
    <w:rsid w:val="37FFF4FD"/>
    <w:rsid w:val="383939ED"/>
    <w:rsid w:val="38397128"/>
    <w:rsid w:val="384635F3"/>
    <w:rsid w:val="38B13162"/>
    <w:rsid w:val="38BC25B1"/>
    <w:rsid w:val="38BDC5C1"/>
    <w:rsid w:val="38DE5772"/>
    <w:rsid w:val="38F27425"/>
    <w:rsid w:val="38FA88F2"/>
    <w:rsid w:val="391B4A7F"/>
    <w:rsid w:val="392ECE64"/>
    <w:rsid w:val="392F69BC"/>
    <w:rsid w:val="397F7ACE"/>
    <w:rsid w:val="39D9E19D"/>
    <w:rsid w:val="39EFB820"/>
    <w:rsid w:val="39F23A32"/>
    <w:rsid w:val="39F5707E"/>
    <w:rsid w:val="39F628A4"/>
    <w:rsid w:val="39F82659"/>
    <w:rsid w:val="39FBD03E"/>
    <w:rsid w:val="39FCCA2C"/>
    <w:rsid w:val="39FD941E"/>
    <w:rsid w:val="39FEF349"/>
    <w:rsid w:val="3A251161"/>
    <w:rsid w:val="3A33BBEF"/>
    <w:rsid w:val="3A5F1589"/>
    <w:rsid w:val="3A6E8ACA"/>
    <w:rsid w:val="3A7D1E7B"/>
    <w:rsid w:val="3A7F4FE4"/>
    <w:rsid w:val="3ABB2AA5"/>
    <w:rsid w:val="3AC37A73"/>
    <w:rsid w:val="3ACF4ECD"/>
    <w:rsid w:val="3ACF60FF"/>
    <w:rsid w:val="3AD4A4F9"/>
    <w:rsid w:val="3AD5ABEF"/>
    <w:rsid w:val="3ADE3EC1"/>
    <w:rsid w:val="3ADE53E1"/>
    <w:rsid w:val="3ADFA156"/>
    <w:rsid w:val="3AE793ED"/>
    <w:rsid w:val="3AEF4165"/>
    <w:rsid w:val="3AF61873"/>
    <w:rsid w:val="3AF95588"/>
    <w:rsid w:val="3AFB290A"/>
    <w:rsid w:val="3AFEEC9B"/>
    <w:rsid w:val="3B07F272"/>
    <w:rsid w:val="3B0C28D2"/>
    <w:rsid w:val="3B0E5D65"/>
    <w:rsid w:val="3B36AFAC"/>
    <w:rsid w:val="3B3E0A0E"/>
    <w:rsid w:val="3B3FB880"/>
    <w:rsid w:val="3B4BB999"/>
    <w:rsid w:val="3B4D937C"/>
    <w:rsid w:val="3B5B9F34"/>
    <w:rsid w:val="3B5BC4F7"/>
    <w:rsid w:val="3B5F2F62"/>
    <w:rsid w:val="3B6E0A4B"/>
    <w:rsid w:val="3B74FB24"/>
    <w:rsid w:val="3B771656"/>
    <w:rsid w:val="3B787BBF"/>
    <w:rsid w:val="3B7E8B81"/>
    <w:rsid w:val="3B7F7B78"/>
    <w:rsid w:val="3B8DA458"/>
    <w:rsid w:val="3B8F66EA"/>
    <w:rsid w:val="3B9D95E9"/>
    <w:rsid w:val="3BBF9DD9"/>
    <w:rsid w:val="3BCB0097"/>
    <w:rsid w:val="3BCD02B3"/>
    <w:rsid w:val="3BD76127"/>
    <w:rsid w:val="3BD8235A"/>
    <w:rsid w:val="3BDD4E57"/>
    <w:rsid w:val="3BDD725A"/>
    <w:rsid w:val="3BDEF3BC"/>
    <w:rsid w:val="3BDF15A7"/>
    <w:rsid w:val="3BDF230A"/>
    <w:rsid w:val="3BDF3EB2"/>
    <w:rsid w:val="3BDF9C07"/>
    <w:rsid w:val="3BE90DD9"/>
    <w:rsid w:val="3BEF8766"/>
    <w:rsid w:val="3BEFE94A"/>
    <w:rsid w:val="3BF515B8"/>
    <w:rsid w:val="3BF75695"/>
    <w:rsid w:val="3BF7C53F"/>
    <w:rsid w:val="3BF7E27D"/>
    <w:rsid w:val="3BF8EB89"/>
    <w:rsid w:val="3BF98B73"/>
    <w:rsid w:val="3BFA8DD1"/>
    <w:rsid w:val="3BFB2317"/>
    <w:rsid w:val="3BFD3AA8"/>
    <w:rsid w:val="3BFD634C"/>
    <w:rsid w:val="3BFE0A0D"/>
    <w:rsid w:val="3BFF2F86"/>
    <w:rsid w:val="3BFF4A8A"/>
    <w:rsid w:val="3BFF5E5C"/>
    <w:rsid w:val="3BFF9C6D"/>
    <w:rsid w:val="3BFF9EA7"/>
    <w:rsid w:val="3BFFC5DF"/>
    <w:rsid w:val="3BFFF01E"/>
    <w:rsid w:val="3C250CAD"/>
    <w:rsid w:val="3C2D7E3A"/>
    <w:rsid w:val="3C3E2F5F"/>
    <w:rsid w:val="3C3E5EF7"/>
    <w:rsid w:val="3C3F0A85"/>
    <w:rsid w:val="3C6CD68C"/>
    <w:rsid w:val="3C8F7316"/>
    <w:rsid w:val="3CB60D47"/>
    <w:rsid w:val="3CC030C4"/>
    <w:rsid w:val="3CC505C3"/>
    <w:rsid w:val="3CD7CEE3"/>
    <w:rsid w:val="3CDB255C"/>
    <w:rsid w:val="3CEF32A6"/>
    <w:rsid w:val="3CEFBC7C"/>
    <w:rsid w:val="3CF63BEB"/>
    <w:rsid w:val="3CF783D1"/>
    <w:rsid w:val="3CF79796"/>
    <w:rsid w:val="3CF9BFCB"/>
    <w:rsid w:val="3CFE68E3"/>
    <w:rsid w:val="3CFFFA14"/>
    <w:rsid w:val="3D1F9F0E"/>
    <w:rsid w:val="3D22462E"/>
    <w:rsid w:val="3D31F6C1"/>
    <w:rsid w:val="3D320330"/>
    <w:rsid w:val="3D35CE1C"/>
    <w:rsid w:val="3D378200"/>
    <w:rsid w:val="3D3954D4"/>
    <w:rsid w:val="3D42172F"/>
    <w:rsid w:val="3D4F6EA2"/>
    <w:rsid w:val="3D5E2EC8"/>
    <w:rsid w:val="3D5EFC90"/>
    <w:rsid w:val="3D5FB8C8"/>
    <w:rsid w:val="3D5FF264"/>
    <w:rsid w:val="3D640D10"/>
    <w:rsid w:val="3D6D2EC4"/>
    <w:rsid w:val="3D6F8E63"/>
    <w:rsid w:val="3D775D7B"/>
    <w:rsid w:val="3D7B99D7"/>
    <w:rsid w:val="3D7D1067"/>
    <w:rsid w:val="3D7F1476"/>
    <w:rsid w:val="3D7F4881"/>
    <w:rsid w:val="3D7FFF47"/>
    <w:rsid w:val="3D8DD13E"/>
    <w:rsid w:val="3D8F6D31"/>
    <w:rsid w:val="3DA3D1A6"/>
    <w:rsid w:val="3DB7B083"/>
    <w:rsid w:val="3DB86D41"/>
    <w:rsid w:val="3DB8CB73"/>
    <w:rsid w:val="3DC10A4F"/>
    <w:rsid w:val="3DC762E3"/>
    <w:rsid w:val="3DC7917B"/>
    <w:rsid w:val="3DCE8424"/>
    <w:rsid w:val="3DCEC8B9"/>
    <w:rsid w:val="3DCFEA6B"/>
    <w:rsid w:val="3DDA9E4A"/>
    <w:rsid w:val="3DDB2E89"/>
    <w:rsid w:val="3DDD15AC"/>
    <w:rsid w:val="3DDE2886"/>
    <w:rsid w:val="3DDE91AD"/>
    <w:rsid w:val="3DDF8EAF"/>
    <w:rsid w:val="3DE75EDF"/>
    <w:rsid w:val="3DE76D17"/>
    <w:rsid w:val="3DE7D164"/>
    <w:rsid w:val="3DE96EFA"/>
    <w:rsid w:val="3DE9ED29"/>
    <w:rsid w:val="3DEC218D"/>
    <w:rsid w:val="3DEDDAB7"/>
    <w:rsid w:val="3DEE4B25"/>
    <w:rsid w:val="3DEF2DF5"/>
    <w:rsid w:val="3DF3F264"/>
    <w:rsid w:val="3DF60EF1"/>
    <w:rsid w:val="3DF71665"/>
    <w:rsid w:val="3DF7847D"/>
    <w:rsid w:val="3DF7A48B"/>
    <w:rsid w:val="3DF85B46"/>
    <w:rsid w:val="3DFB27D5"/>
    <w:rsid w:val="3DFB430B"/>
    <w:rsid w:val="3DFE236B"/>
    <w:rsid w:val="3DFE2D43"/>
    <w:rsid w:val="3DFE3BB9"/>
    <w:rsid w:val="3DFF0BA3"/>
    <w:rsid w:val="3DFF39E8"/>
    <w:rsid w:val="3DFF90C2"/>
    <w:rsid w:val="3DFFB9DA"/>
    <w:rsid w:val="3DFFE343"/>
    <w:rsid w:val="3E230537"/>
    <w:rsid w:val="3E2F89A8"/>
    <w:rsid w:val="3E3F083C"/>
    <w:rsid w:val="3E3F2FBE"/>
    <w:rsid w:val="3E57104E"/>
    <w:rsid w:val="3E67A89C"/>
    <w:rsid w:val="3E6D162C"/>
    <w:rsid w:val="3E6D3687"/>
    <w:rsid w:val="3E6D7B2B"/>
    <w:rsid w:val="3E6FE66E"/>
    <w:rsid w:val="3E776576"/>
    <w:rsid w:val="3E7B1B2D"/>
    <w:rsid w:val="3E7DD120"/>
    <w:rsid w:val="3E7F3FD0"/>
    <w:rsid w:val="3E7FA82E"/>
    <w:rsid w:val="3E961B20"/>
    <w:rsid w:val="3EAB8E14"/>
    <w:rsid w:val="3EAE0FAD"/>
    <w:rsid w:val="3EAF6FFA"/>
    <w:rsid w:val="3EBD0D34"/>
    <w:rsid w:val="3EBD7B82"/>
    <w:rsid w:val="3EBFE24C"/>
    <w:rsid w:val="3EC77934"/>
    <w:rsid w:val="3ECB4C92"/>
    <w:rsid w:val="3ECBB6D6"/>
    <w:rsid w:val="3ECF143C"/>
    <w:rsid w:val="3ED6747E"/>
    <w:rsid w:val="3ED7113E"/>
    <w:rsid w:val="3EDB8FB9"/>
    <w:rsid w:val="3EDEDB40"/>
    <w:rsid w:val="3EDF22E8"/>
    <w:rsid w:val="3EE56F5D"/>
    <w:rsid w:val="3EE73E74"/>
    <w:rsid w:val="3EE98AFA"/>
    <w:rsid w:val="3EE9989C"/>
    <w:rsid w:val="3EED60A9"/>
    <w:rsid w:val="3EF3F55A"/>
    <w:rsid w:val="3EF5A93D"/>
    <w:rsid w:val="3EFB2B7F"/>
    <w:rsid w:val="3EFB9CE4"/>
    <w:rsid w:val="3EFD69C9"/>
    <w:rsid w:val="3EFDD256"/>
    <w:rsid w:val="3EFE3B4C"/>
    <w:rsid w:val="3EFF3091"/>
    <w:rsid w:val="3EFF8D76"/>
    <w:rsid w:val="3EFFADF2"/>
    <w:rsid w:val="3EFFB0AB"/>
    <w:rsid w:val="3EFFE7BC"/>
    <w:rsid w:val="3EFFFFE7"/>
    <w:rsid w:val="3F0F40AA"/>
    <w:rsid w:val="3F1FFF7F"/>
    <w:rsid w:val="3F25E20B"/>
    <w:rsid w:val="3F276FDA"/>
    <w:rsid w:val="3F2D23B2"/>
    <w:rsid w:val="3F2F8AE8"/>
    <w:rsid w:val="3F2FC9A5"/>
    <w:rsid w:val="3F35B97A"/>
    <w:rsid w:val="3F3C91F3"/>
    <w:rsid w:val="3F3D3F73"/>
    <w:rsid w:val="3F4E2419"/>
    <w:rsid w:val="3F574F88"/>
    <w:rsid w:val="3F57B966"/>
    <w:rsid w:val="3F5F40FE"/>
    <w:rsid w:val="3F5F9E2C"/>
    <w:rsid w:val="3F5FFD4C"/>
    <w:rsid w:val="3F6944EE"/>
    <w:rsid w:val="3F6D6A51"/>
    <w:rsid w:val="3F6DD84B"/>
    <w:rsid w:val="3F6DE833"/>
    <w:rsid w:val="3F6EB362"/>
    <w:rsid w:val="3F6F2B00"/>
    <w:rsid w:val="3F6F6842"/>
    <w:rsid w:val="3F6F95FB"/>
    <w:rsid w:val="3F6FE7D8"/>
    <w:rsid w:val="3F72236F"/>
    <w:rsid w:val="3F7729E7"/>
    <w:rsid w:val="3F776A60"/>
    <w:rsid w:val="3F77A8E6"/>
    <w:rsid w:val="3F7B6150"/>
    <w:rsid w:val="3F7D373E"/>
    <w:rsid w:val="3F7D64D9"/>
    <w:rsid w:val="3F7DC0D4"/>
    <w:rsid w:val="3F7E45A6"/>
    <w:rsid w:val="3F7EB853"/>
    <w:rsid w:val="3F7ED29B"/>
    <w:rsid w:val="3F7F1A32"/>
    <w:rsid w:val="3F7F2208"/>
    <w:rsid w:val="3F7FC785"/>
    <w:rsid w:val="3F9479AD"/>
    <w:rsid w:val="3F9B14E9"/>
    <w:rsid w:val="3FA7EB91"/>
    <w:rsid w:val="3FAB6C72"/>
    <w:rsid w:val="3FABE91D"/>
    <w:rsid w:val="3FAFA74E"/>
    <w:rsid w:val="3FB6FD3C"/>
    <w:rsid w:val="3FB76C34"/>
    <w:rsid w:val="3FBBB564"/>
    <w:rsid w:val="3FBBD3EC"/>
    <w:rsid w:val="3FBC6833"/>
    <w:rsid w:val="3FBE00CB"/>
    <w:rsid w:val="3FBE35DB"/>
    <w:rsid w:val="3FBE57F2"/>
    <w:rsid w:val="3FBF1A35"/>
    <w:rsid w:val="3FBF66C4"/>
    <w:rsid w:val="3FC26718"/>
    <w:rsid w:val="3FC76A1E"/>
    <w:rsid w:val="3FCE173E"/>
    <w:rsid w:val="3FCF10BF"/>
    <w:rsid w:val="3FCF806F"/>
    <w:rsid w:val="3FCF96A8"/>
    <w:rsid w:val="3FD55E13"/>
    <w:rsid w:val="3FD6E231"/>
    <w:rsid w:val="3FD92F12"/>
    <w:rsid w:val="3FD9F767"/>
    <w:rsid w:val="3FDA608F"/>
    <w:rsid w:val="3FDB716D"/>
    <w:rsid w:val="3FDD320D"/>
    <w:rsid w:val="3FDD8E6C"/>
    <w:rsid w:val="3FDDBE3F"/>
    <w:rsid w:val="3FDE1B72"/>
    <w:rsid w:val="3FDEBDD6"/>
    <w:rsid w:val="3FDF225A"/>
    <w:rsid w:val="3FDF3813"/>
    <w:rsid w:val="3FDF40FF"/>
    <w:rsid w:val="3FDF55A6"/>
    <w:rsid w:val="3FDFEE4F"/>
    <w:rsid w:val="3FE39664"/>
    <w:rsid w:val="3FE71E9D"/>
    <w:rsid w:val="3FEA2057"/>
    <w:rsid w:val="3FEBED68"/>
    <w:rsid w:val="3FEC0DA4"/>
    <w:rsid w:val="3FEC868F"/>
    <w:rsid w:val="3FECBE35"/>
    <w:rsid w:val="3FECC100"/>
    <w:rsid w:val="3FED1B89"/>
    <w:rsid w:val="3FEDD9CE"/>
    <w:rsid w:val="3FEED01C"/>
    <w:rsid w:val="3FEEDF26"/>
    <w:rsid w:val="3FEF12C9"/>
    <w:rsid w:val="3FEFA9F7"/>
    <w:rsid w:val="3FEFC16B"/>
    <w:rsid w:val="3FEFE1DD"/>
    <w:rsid w:val="3FEFF2FB"/>
    <w:rsid w:val="3FF06D30"/>
    <w:rsid w:val="3FF27B22"/>
    <w:rsid w:val="3FF51251"/>
    <w:rsid w:val="3FF58972"/>
    <w:rsid w:val="3FF6826F"/>
    <w:rsid w:val="3FF6C52B"/>
    <w:rsid w:val="3FF7019D"/>
    <w:rsid w:val="3FF72F46"/>
    <w:rsid w:val="3FF72F85"/>
    <w:rsid w:val="3FF76239"/>
    <w:rsid w:val="3FF78F83"/>
    <w:rsid w:val="3FF7D324"/>
    <w:rsid w:val="3FF8B002"/>
    <w:rsid w:val="3FF90B26"/>
    <w:rsid w:val="3FF9ECFB"/>
    <w:rsid w:val="3FFA0A4E"/>
    <w:rsid w:val="3FFB16E2"/>
    <w:rsid w:val="3FFB2910"/>
    <w:rsid w:val="3FFB5370"/>
    <w:rsid w:val="3FFB5B34"/>
    <w:rsid w:val="3FFBA746"/>
    <w:rsid w:val="3FFBB150"/>
    <w:rsid w:val="3FFBB678"/>
    <w:rsid w:val="3FFBC9CF"/>
    <w:rsid w:val="3FFBF102"/>
    <w:rsid w:val="3FFBF648"/>
    <w:rsid w:val="3FFBFC22"/>
    <w:rsid w:val="3FFC00BE"/>
    <w:rsid w:val="3FFC11FE"/>
    <w:rsid w:val="3FFD03F2"/>
    <w:rsid w:val="3FFD1BC8"/>
    <w:rsid w:val="3FFD62F2"/>
    <w:rsid w:val="3FFD80EA"/>
    <w:rsid w:val="3FFDD1AC"/>
    <w:rsid w:val="3FFDFF5B"/>
    <w:rsid w:val="3FFE14A7"/>
    <w:rsid w:val="3FFE1DEC"/>
    <w:rsid w:val="3FFE5EA2"/>
    <w:rsid w:val="3FFE6C0C"/>
    <w:rsid w:val="3FFE711F"/>
    <w:rsid w:val="3FFEC69F"/>
    <w:rsid w:val="3FFED526"/>
    <w:rsid w:val="3FFEE902"/>
    <w:rsid w:val="3FFF0229"/>
    <w:rsid w:val="3FFF0A74"/>
    <w:rsid w:val="3FFF1BD8"/>
    <w:rsid w:val="3FFF500F"/>
    <w:rsid w:val="3FFF619C"/>
    <w:rsid w:val="3FFF6202"/>
    <w:rsid w:val="3FFF6EE6"/>
    <w:rsid w:val="3FFF8896"/>
    <w:rsid w:val="3FFF9E9F"/>
    <w:rsid w:val="3FFFAC05"/>
    <w:rsid w:val="3FFFB519"/>
    <w:rsid w:val="3FFFC1D1"/>
    <w:rsid w:val="3FFFD075"/>
    <w:rsid w:val="3FFFD1A2"/>
    <w:rsid w:val="3FFFD26C"/>
    <w:rsid w:val="3FFFD753"/>
    <w:rsid w:val="3FFFF60A"/>
    <w:rsid w:val="402D7572"/>
    <w:rsid w:val="404B3E9C"/>
    <w:rsid w:val="404B5C4A"/>
    <w:rsid w:val="408B6047"/>
    <w:rsid w:val="40AE25B2"/>
    <w:rsid w:val="413D1A37"/>
    <w:rsid w:val="41662610"/>
    <w:rsid w:val="41676AB4"/>
    <w:rsid w:val="41790595"/>
    <w:rsid w:val="41967935"/>
    <w:rsid w:val="41D13F2D"/>
    <w:rsid w:val="41DB2FFE"/>
    <w:rsid w:val="41F9103E"/>
    <w:rsid w:val="42010CB6"/>
    <w:rsid w:val="42072045"/>
    <w:rsid w:val="421D3616"/>
    <w:rsid w:val="421D7172"/>
    <w:rsid w:val="422F6EA6"/>
    <w:rsid w:val="426254CD"/>
    <w:rsid w:val="4262727B"/>
    <w:rsid w:val="42766D93"/>
    <w:rsid w:val="42884657"/>
    <w:rsid w:val="42925DB2"/>
    <w:rsid w:val="42DBAD8E"/>
    <w:rsid w:val="42E67EAC"/>
    <w:rsid w:val="42F38D2F"/>
    <w:rsid w:val="4305DE0E"/>
    <w:rsid w:val="431C38CE"/>
    <w:rsid w:val="434D1CD9"/>
    <w:rsid w:val="438C2802"/>
    <w:rsid w:val="43A713E9"/>
    <w:rsid w:val="43B30E27"/>
    <w:rsid w:val="43BF2B14"/>
    <w:rsid w:val="43BF34FE"/>
    <w:rsid w:val="43BF7FD9"/>
    <w:rsid w:val="43C653C5"/>
    <w:rsid w:val="43FB9903"/>
    <w:rsid w:val="43FF04A4"/>
    <w:rsid w:val="44BFD796"/>
    <w:rsid w:val="44E997E5"/>
    <w:rsid w:val="44F87A23"/>
    <w:rsid w:val="453D9416"/>
    <w:rsid w:val="45662325"/>
    <w:rsid w:val="458D1C9F"/>
    <w:rsid w:val="45997458"/>
    <w:rsid w:val="45BD4B2B"/>
    <w:rsid w:val="45D6112D"/>
    <w:rsid w:val="45D67607"/>
    <w:rsid w:val="45E6D30F"/>
    <w:rsid w:val="462C02CC"/>
    <w:rsid w:val="463D7DE3"/>
    <w:rsid w:val="46971BE9"/>
    <w:rsid w:val="46AF61A9"/>
    <w:rsid w:val="46C027C2"/>
    <w:rsid w:val="46E04149"/>
    <w:rsid w:val="46F72483"/>
    <w:rsid w:val="46FC37FA"/>
    <w:rsid w:val="46FEA743"/>
    <w:rsid w:val="46FF252B"/>
    <w:rsid w:val="47014566"/>
    <w:rsid w:val="471C3E9C"/>
    <w:rsid w:val="47264D1B"/>
    <w:rsid w:val="473236C0"/>
    <w:rsid w:val="473F3351"/>
    <w:rsid w:val="47433508"/>
    <w:rsid w:val="474B4782"/>
    <w:rsid w:val="477F28F6"/>
    <w:rsid w:val="47A520E4"/>
    <w:rsid w:val="47A6C1B7"/>
    <w:rsid w:val="47AF30C9"/>
    <w:rsid w:val="47AF9A02"/>
    <w:rsid w:val="47BD8F84"/>
    <w:rsid w:val="47D5B466"/>
    <w:rsid w:val="47E77DB9"/>
    <w:rsid w:val="47F25D7A"/>
    <w:rsid w:val="47FBC0FD"/>
    <w:rsid w:val="47FBF84E"/>
    <w:rsid w:val="47FEECEB"/>
    <w:rsid w:val="481728B6"/>
    <w:rsid w:val="483B2A48"/>
    <w:rsid w:val="485D4FC6"/>
    <w:rsid w:val="486C2C02"/>
    <w:rsid w:val="48883349"/>
    <w:rsid w:val="489A151D"/>
    <w:rsid w:val="48AD571B"/>
    <w:rsid w:val="48E46C3C"/>
    <w:rsid w:val="48F50E49"/>
    <w:rsid w:val="4939ECDF"/>
    <w:rsid w:val="4944775F"/>
    <w:rsid w:val="4950607F"/>
    <w:rsid w:val="49667651"/>
    <w:rsid w:val="496F540D"/>
    <w:rsid w:val="49724248"/>
    <w:rsid w:val="498B70B7"/>
    <w:rsid w:val="498E0956"/>
    <w:rsid w:val="499D34A4"/>
    <w:rsid w:val="49AB1508"/>
    <w:rsid w:val="49DF11B1"/>
    <w:rsid w:val="49EF3AEA"/>
    <w:rsid w:val="49F77CF5"/>
    <w:rsid w:val="4A317C5F"/>
    <w:rsid w:val="4A565917"/>
    <w:rsid w:val="4A77B32A"/>
    <w:rsid w:val="4A8F24D1"/>
    <w:rsid w:val="4AAF1F33"/>
    <w:rsid w:val="4AB60164"/>
    <w:rsid w:val="4ABF6168"/>
    <w:rsid w:val="4AD5598B"/>
    <w:rsid w:val="4AF66EE1"/>
    <w:rsid w:val="4AFDE2C0"/>
    <w:rsid w:val="4AFF5EE8"/>
    <w:rsid w:val="4B1070B3"/>
    <w:rsid w:val="4B447E66"/>
    <w:rsid w:val="4B46773A"/>
    <w:rsid w:val="4B4E2A92"/>
    <w:rsid w:val="4B5005B9"/>
    <w:rsid w:val="4B5FF4F3"/>
    <w:rsid w:val="4B6D9505"/>
    <w:rsid w:val="4B794C10"/>
    <w:rsid w:val="4B7F3459"/>
    <w:rsid w:val="4B8F79ED"/>
    <w:rsid w:val="4B94134C"/>
    <w:rsid w:val="4BA44460"/>
    <w:rsid w:val="4BAFE327"/>
    <w:rsid w:val="4BB62323"/>
    <w:rsid w:val="4BBB1C11"/>
    <w:rsid w:val="4BBF4EE5"/>
    <w:rsid w:val="4BE627D6"/>
    <w:rsid w:val="4BE7435B"/>
    <w:rsid w:val="4BE768F1"/>
    <w:rsid w:val="4BED7FAA"/>
    <w:rsid w:val="4BEED23C"/>
    <w:rsid w:val="4BF06213"/>
    <w:rsid w:val="4BF9D8D7"/>
    <w:rsid w:val="4BFDDB56"/>
    <w:rsid w:val="4BFED9E3"/>
    <w:rsid w:val="4BFF9C80"/>
    <w:rsid w:val="4BFFC64B"/>
    <w:rsid w:val="4BFFCE9D"/>
    <w:rsid w:val="4C172E84"/>
    <w:rsid w:val="4C1E06B7"/>
    <w:rsid w:val="4C4F0AEB"/>
    <w:rsid w:val="4C501913"/>
    <w:rsid w:val="4C6E432D"/>
    <w:rsid w:val="4C7CC79E"/>
    <w:rsid w:val="4C891FD4"/>
    <w:rsid w:val="4C8F3363"/>
    <w:rsid w:val="4C9B1D07"/>
    <w:rsid w:val="4CC4300C"/>
    <w:rsid w:val="4CCF1119"/>
    <w:rsid w:val="4CDF4817"/>
    <w:rsid w:val="4CEC2110"/>
    <w:rsid w:val="4CEEBBF6"/>
    <w:rsid w:val="4CFE86C8"/>
    <w:rsid w:val="4D1E2B24"/>
    <w:rsid w:val="4D225F85"/>
    <w:rsid w:val="4D2E492A"/>
    <w:rsid w:val="4D343B66"/>
    <w:rsid w:val="4D6B16DA"/>
    <w:rsid w:val="4D6F744B"/>
    <w:rsid w:val="4D762C02"/>
    <w:rsid w:val="4D7BE011"/>
    <w:rsid w:val="4D7F163F"/>
    <w:rsid w:val="4D7F3CBD"/>
    <w:rsid w:val="4D7FC06B"/>
    <w:rsid w:val="4DB52955"/>
    <w:rsid w:val="4DBFB005"/>
    <w:rsid w:val="4DCBDF7A"/>
    <w:rsid w:val="4DCCF594"/>
    <w:rsid w:val="4DD44975"/>
    <w:rsid w:val="4DDBFADD"/>
    <w:rsid w:val="4DDE3428"/>
    <w:rsid w:val="4DDF0C96"/>
    <w:rsid w:val="4DDFCCA4"/>
    <w:rsid w:val="4DEEDBD3"/>
    <w:rsid w:val="4DFA52A4"/>
    <w:rsid w:val="4DFF103F"/>
    <w:rsid w:val="4DFF50AC"/>
    <w:rsid w:val="4DFF5C13"/>
    <w:rsid w:val="4DFFC631"/>
    <w:rsid w:val="4E14FBA3"/>
    <w:rsid w:val="4E1753BE"/>
    <w:rsid w:val="4E3046D1"/>
    <w:rsid w:val="4E564138"/>
    <w:rsid w:val="4E6FB51B"/>
    <w:rsid w:val="4E7B3D24"/>
    <w:rsid w:val="4E7BCC97"/>
    <w:rsid w:val="4E7F2B0E"/>
    <w:rsid w:val="4E7FB51E"/>
    <w:rsid w:val="4EB768F0"/>
    <w:rsid w:val="4EBEBE87"/>
    <w:rsid w:val="4EBFF0D1"/>
    <w:rsid w:val="4ED6CD03"/>
    <w:rsid w:val="4EDEBC05"/>
    <w:rsid w:val="4EE51731"/>
    <w:rsid w:val="4EEF27CB"/>
    <w:rsid w:val="4EF77D2D"/>
    <w:rsid w:val="4EF78A3A"/>
    <w:rsid w:val="4EFDE7B3"/>
    <w:rsid w:val="4F127638"/>
    <w:rsid w:val="4F3855EC"/>
    <w:rsid w:val="4F3C1997"/>
    <w:rsid w:val="4F4DA83E"/>
    <w:rsid w:val="4F5A7C58"/>
    <w:rsid w:val="4F5B9CC8"/>
    <w:rsid w:val="4F5BDA44"/>
    <w:rsid w:val="4F5FD158"/>
    <w:rsid w:val="4F6544CE"/>
    <w:rsid w:val="4F672FB3"/>
    <w:rsid w:val="4F74239C"/>
    <w:rsid w:val="4F77EB32"/>
    <w:rsid w:val="4F7A840D"/>
    <w:rsid w:val="4F7CFE2B"/>
    <w:rsid w:val="4F7D7723"/>
    <w:rsid w:val="4F7E4DF4"/>
    <w:rsid w:val="4F7E7747"/>
    <w:rsid w:val="4F7F12A0"/>
    <w:rsid w:val="4F7F57BB"/>
    <w:rsid w:val="4F9FDF7C"/>
    <w:rsid w:val="4FAF2759"/>
    <w:rsid w:val="4FAF703B"/>
    <w:rsid w:val="4FB652E4"/>
    <w:rsid w:val="4FB7D45F"/>
    <w:rsid w:val="4FBA06F6"/>
    <w:rsid w:val="4FBFA4BA"/>
    <w:rsid w:val="4FBFAE9D"/>
    <w:rsid w:val="4FBFC57B"/>
    <w:rsid w:val="4FC275AB"/>
    <w:rsid w:val="4FC7AF56"/>
    <w:rsid w:val="4FDF0D5F"/>
    <w:rsid w:val="4FDF1D95"/>
    <w:rsid w:val="4FDF3E82"/>
    <w:rsid w:val="4FE3E2DD"/>
    <w:rsid w:val="4FE6FDCD"/>
    <w:rsid w:val="4FE997C6"/>
    <w:rsid w:val="4FEE2A01"/>
    <w:rsid w:val="4FF66BE5"/>
    <w:rsid w:val="4FF7B33E"/>
    <w:rsid w:val="4FFA19D3"/>
    <w:rsid w:val="4FFB3A25"/>
    <w:rsid w:val="4FFB9310"/>
    <w:rsid w:val="4FFBFE30"/>
    <w:rsid w:val="4FFC9868"/>
    <w:rsid w:val="4FFD06FE"/>
    <w:rsid w:val="4FFEE3BE"/>
    <w:rsid w:val="4FFF1755"/>
    <w:rsid w:val="4FFF6871"/>
    <w:rsid w:val="4FFF8777"/>
    <w:rsid w:val="4FFFCB08"/>
    <w:rsid w:val="4FFFDA45"/>
    <w:rsid w:val="50377DDE"/>
    <w:rsid w:val="507765E7"/>
    <w:rsid w:val="507BA12E"/>
    <w:rsid w:val="50834F8C"/>
    <w:rsid w:val="50AC44E3"/>
    <w:rsid w:val="50E7376D"/>
    <w:rsid w:val="50E7551B"/>
    <w:rsid w:val="50E83041"/>
    <w:rsid w:val="5116195C"/>
    <w:rsid w:val="51170E93"/>
    <w:rsid w:val="511A5E74"/>
    <w:rsid w:val="514651AA"/>
    <w:rsid w:val="517FDE5B"/>
    <w:rsid w:val="51A90295"/>
    <w:rsid w:val="51B2D3AC"/>
    <w:rsid w:val="51B75A63"/>
    <w:rsid w:val="51DC0DF8"/>
    <w:rsid w:val="51DDBCA3"/>
    <w:rsid w:val="51EE6435"/>
    <w:rsid w:val="51EF7105"/>
    <w:rsid w:val="51EFC028"/>
    <w:rsid w:val="51F70CD0"/>
    <w:rsid w:val="51FBE357"/>
    <w:rsid w:val="51FF146C"/>
    <w:rsid w:val="521F0CE5"/>
    <w:rsid w:val="521FB85C"/>
    <w:rsid w:val="523FC94D"/>
    <w:rsid w:val="52466271"/>
    <w:rsid w:val="52596711"/>
    <w:rsid w:val="525A1D1D"/>
    <w:rsid w:val="527DC769"/>
    <w:rsid w:val="527EEBBF"/>
    <w:rsid w:val="529BF316"/>
    <w:rsid w:val="52A15B9E"/>
    <w:rsid w:val="52BE04FE"/>
    <w:rsid w:val="52C5188C"/>
    <w:rsid w:val="52E635B0"/>
    <w:rsid w:val="52F3DE1D"/>
    <w:rsid w:val="52F711FA"/>
    <w:rsid w:val="53177C0E"/>
    <w:rsid w:val="533267F6"/>
    <w:rsid w:val="53640F9A"/>
    <w:rsid w:val="53778323"/>
    <w:rsid w:val="5378C91A"/>
    <w:rsid w:val="537F98D1"/>
    <w:rsid w:val="539117E0"/>
    <w:rsid w:val="53982AFD"/>
    <w:rsid w:val="539FCC67"/>
    <w:rsid w:val="53AF6559"/>
    <w:rsid w:val="53B51901"/>
    <w:rsid w:val="53B7E21D"/>
    <w:rsid w:val="53B8E590"/>
    <w:rsid w:val="53C77219"/>
    <w:rsid w:val="53C7CF99"/>
    <w:rsid w:val="53CDC415"/>
    <w:rsid w:val="53CE3704"/>
    <w:rsid w:val="53CF5762"/>
    <w:rsid w:val="53D741A1"/>
    <w:rsid w:val="53DD3FF0"/>
    <w:rsid w:val="53DF1710"/>
    <w:rsid w:val="53DFE7E2"/>
    <w:rsid w:val="53ED701E"/>
    <w:rsid w:val="53EF87F5"/>
    <w:rsid w:val="53EFBA32"/>
    <w:rsid w:val="53F7C9D8"/>
    <w:rsid w:val="53FEFB56"/>
    <w:rsid w:val="53FF396D"/>
    <w:rsid w:val="53FF3C45"/>
    <w:rsid w:val="53FF4276"/>
    <w:rsid w:val="53FF9345"/>
    <w:rsid w:val="53FFB44C"/>
    <w:rsid w:val="54251341"/>
    <w:rsid w:val="542FD5EB"/>
    <w:rsid w:val="54302D35"/>
    <w:rsid w:val="54446A80"/>
    <w:rsid w:val="544762D1"/>
    <w:rsid w:val="54907C78"/>
    <w:rsid w:val="54A92AE8"/>
    <w:rsid w:val="54AA6F8B"/>
    <w:rsid w:val="54EFA723"/>
    <w:rsid w:val="54F16968"/>
    <w:rsid w:val="54F5F1DF"/>
    <w:rsid w:val="54F6D5C8"/>
    <w:rsid w:val="54F98940"/>
    <w:rsid w:val="54FF8B10"/>
    <w:rsid w:val="54FFAE99"/>
    <w:rsid w:val="55107E78"/>
    <w:rsid w:val="551F09C2"/>
    <w:rsid w:val="553920BD"/>
    <w:rsid w:val="553F5B6B"/>
    <w:rsid w:val="553FF6E5"/>
    <w:rsid w:val="559EAE70"/>
    <w:rsid w:val="55A2332B"/>
    <w:rsid w:val="55AC087D"/>
    <w:rsid w:val="55C93441"/>
    <w:rsid w:val="55DA38A0"/>
    <w:rsid w:val="55EFE724"/>
    <w:rsid w:val="55FB2B6C"/>
    <w:rsid w:val="55FF19D1"/>
    <w:rsid w:val="561E1EBC"/>
    <w:rsid w:val="56505911"/>
    <w:rsid w:val="565F1C66"/>
    <w:rsid w:val="566F10A4"/>
    <w:rsid w:val="56890E23"/>
    <w:rsid w:val="56BA722E"/>
    <w:rsid w:val="56BBD83B"/>
    <w:rsid w:val="56BF769A"/>
    <w:rsid w:val="56C78E1D"/>
    <w:rsid w:val="56CDB692"/>
    <w:rsid w:val="56D71B8E"/>
    <w:rsid w:val="56DD320A"/>
    <w:rsid w:val="56E7FA97"/>
    <w:rsid w:val="56EAC62B"/>
    <w:rsid w:val="56ED37D7"/>
    <w:rsid w:val="56EF46B4"/>
    <w:rsid w:val="56EF5579"/>
    <w:rsid w:val="56F5BA27"/>
    <w:rsid w:val="56F79231"/>
    <w:rsid w:val="56FBBA19"/>
    <w:rsid w:val="56FD3309"/>
    <w:rsid w:val="56FD7DA1"/>
    <w:rsid w:val="56FDB3AA"/>
    <w:rsid w:val="572736C2"/>
    <w:rsid w:val="57472BD7"/>
    <w:rsid w:val="574E746E"/>
    <w:rsid w:val="574FDA5E"/>
    <w:rsid w:val="575B27BF"/>
    <w:rsid w:val="575F18F7"/>
    <w:rsid w:val="575FB31C"/>
    <w:rsid w:val="576645CF"/>
    <w:rsid w:val="576BDBDB"/>
    <w:rsid w:val="576D68CE"/>
    <w:rsid w:val="576DE2BB"/>
    <w:rsid w:val="576F04DD"/>
    <w:rsid w:val="57727B09"/>
    <w:rsid w:val="57727C8D"/>
    <w:rsid w:val="577B8644"/>
    <w:rsid w:val="577E7F8E"/>
    <w:rsid w:val="577FADC8"/>
    <w:rsid w:val="57847779"/>
    <w:rsid w:val="5793A2A7"/>
    <w:rsid w:val="579F044F"/>
    <w:rsid w:val="57ADCB7C"/>
    <w:rsid w:val="57B7DD12"/>
    <w:rsid w:val="57BF107A"/>
    <w:rsid w:val="57BF6B53"/>
    <w:rsid w:val="57BF745E"/>
    <w:rsid w:val="57BF99DB"/>
    <w:rsid w:val="57CD1983"/>
    <w:rsid w:val="57CE1FE6"/>
    <w:rsid w:val="57CF1B77"/>
    <w:rsid w:val="57D7DA52"/>
    <w:rsid w:val="57D9219B"/>
    <w:rsid w:val="57DA3DC3"/>
    <w:rsid w:val="57DAA1BB"/>
    <w:rsid w:val="57DE20E5"/>
    <w:rsid w:val="57DE41D4"/>
    <w:rsid w:val="57DED2BC"/>
    <w:rsid w:val="57DF98B1"/>
    <w:rsid w:val="57DFC535"/>
    <w:rsid w:val="57DFE8A9"/>
    <w:rsid w:val="57E37945"/>
    <w:rsid w:val="57E43C58"/>
    <w:rsid w:val="57EEA7F2"/>
    <w:rsid w:val="57EF0729"/>
    <w:rsid w:val="57EF1186"/>
    <w:rsid w:val="57EF5C32"/>
    <w:rsid w:val="57EF62E1"/>
    <w:rsid w:val="57F16C7F"/>
    <w:rsid w:val="57F6BA42"/>
    <w:rsid w:val="57F72756"/>
    <w:rsid w:val="57F75FF1"/>
    <w:rsid w:val="57F7612A"/>
    <w:rsid w:val="57F7FE16"/>
    <w:rsid w:val="57F913D6"/>
    <w:rsid w:val="57F937BA"/>
    <w:rsid w:val="57FA4C35"/>
    <w:rsid w:val="57FC5741"/>
    <w:rsid w:val="57FC7C4D"/>
    <w:rsid w:val="57FCC85A"/>
    <w:rsid w:val="57FDD8A8"/>
    <w:rsid w:val="57FDF816"/>
    <w:rsid w:val="57FEEF6F"/>
    <w:rsid w:val="57FF0134"/>
    <w:rsid w:val="57FF1496"/>
    <w:rsid w:val="57FF5BCB"/>
    <w:rsid w:val="57FF66EB"/>
    <w:rsid w:val="57FF7F95"/>
    <w:rsid w:val="57FF839E"/>
    <w:rsid w:val="5809615E"/>
    <w:rsid w:val="582232DD"/>
    <w:rsid w:val="588FF3D8"/>
    <w:rsid w:val="58B959EF"/>
    <w:rsid w:val="58C44394"/>
    <w:rsid w:val="58D5EF5A"/>
    <w:rsid w:val="58DC16DE"/>
    <w:rsid w:val="58E6169F"/>
    <w:rsid w:val="58F773A4"/>
    <w:rsid w:val="58FD09A8"/>
    <w:rsid w:val="58FFE60E"/>
    <w:rsid w:val="590B1FC3"/>
    <w:rsid w:val="592F3F03"/>
    <w:rsid w:val="593BFC32"/>
    <w:rsid w:val="594F6085"/>
    <w:rsid w:val="59645155"/>
    <w:rsid w:val="597176AA"/>
    <w:rsid w:val="597B8CB0"/>
    <w:rsid w:val="59835FFD"/>
    <w:rsid w:val="59A55F73"/>
    <w:rsid w:val="59A712A5"/>
    <w:rsid w:val="59BE6F56"/>
    <w:rsid w:val="59BFEE5E"/>
    <w:rsid w:val="59CC1752"/>
    <w:rsid w:val="59E20F76"/>
    <w:rsid w:val="59E7F6F0"/>
    <w:rsid w:val="59E8398F"/>
    <w:rsid w:val="59ED487B"/>
    <w:rsid w:val="59EF17A5"/>
    <w:rsid w:val="59EF361D"/>
    <w:rsid w:val="59F5990C"/>
    <w:rsid w:val="59F5BD90"/>
    <w:rsid w:val="59F6A5F6"/>
    <w:rsid w:val="59F982C1"/>
    <w:rsid w:val="59FD0F59"/>
    <w:rsid w:val="59FD2CA6"/>
    <w:rsid w:val="59FF012D"/>
    <w:rsid w:val="5A307F33"/>
    <w:rsid w:val="5A3B68D8"/>
    <w:rsid w:val="5A5A4B87"/>
    <w:rsid w:val="5A6DC365"/>
    <w:rsid w:val="5A6F5617"/>
    <w:rsid w:val="5A7F60EC"/>
    <w:rsid w:val="5A875679"/>
    <w:rsid w:val="5A8B5245"/>
    <w:rsid w:val="5A9B3AAF"/>
    <w:rsid w:val="5A9E1755"/>
    <w:rsid w:val="5AA93841"/>
    <w:rsid w:val="5AB94B89"/>
    <w:rsid w:val="5ABB93F3"/>
    <w:rsid w:val="5ABDB5B0"/>
    <w:rsid w:val="5AD6A8DD"/>
    <w:rsid w:val="5ADEE978"/>
    <w:rsid w:val="5ADF3EBF"/>
    <w:rsid w:val="5ADFDFE2"/>
    <w:rsid w:val="5AED15EB"/>
    <w:rsid w:val="5AEE1A41"/>
    <w:rsid w:val="5AFC1238"/>
    <w:rsid w:val="5AFD42B4"/>
    <w:rsid w:val="5AFE9625"/>
    <w:rsid w:val="5B0325B2"/>
    <w:rsid w:val="5B1D6FDE"/>
    <w:rsid w:val="5B24736C"/>
    <w:rsid w:val="5B2B06FA"/>
    <w:rsid w:val="5B3F2735"/>
    <w:rsid w:val="5B3F514D"/>
    <w:rsid w:val="5B525C87"/>
    <w:rsid w:val="5B5C5AA3"/>
    <w:rsid w:val="5B5F7956"/>
    <w:rsid w:val="5B5FFC6E"/>
    <w:rsid w:val="5B627278"/>
    <w:rsid w:val="5B67F619"/>
    <w:rsid w:val="5B771852"/>
    <w:rsid w:val="5B78CA30"/>
    <w:rsid w:val="5B7BBA26"/>
    <w:rsid w:val="5B7D27F7"/>
    <w:rsid w:val="5B7E21B6"/>
    <w:rsid w:val="5B7EEA3D"/>
    <w:rsid w:val="5B7FD8DE"/>
    <w:rsid w:val="5B86209B"/>
    <w:rsid w:val="5B8D3163"/>
    <w:rsid w:val="5BB39333"/>
    <w:rsid w:val="5BBD878A"/>
    <w:rsid w:val="5BBD8BD1"/>
    <w:rsid w:val="5BBD9E1B"/>
    <w:rsid w:val="5BBE2C7F"/>
    <w:rsid w:val="5BBE9F89"/>
    <w:rsid w:val="5BBF7A3E"/>
    <w:rsid w:val="5BBFFD06"/>
    <w:rsid w:val="5BC90318"/>
    <w:rsid w:val="5BCBE7E4"/>
    <w:rsid w:val="5BCC5894"/>
    <w:rsid w:val="5BCDA718"/>
    <w:rsid w:val="5BD60415"/>
    <w:rsid w:val="5BD68B70"/>
    <w:rsid w:val="5BD6BB1B"/>
    <w:rsid w:val="5BDA76C6"/>
    <w:rsid w:val="5BDAD15A"/>
    <w:rsid w:val="5BDF829C"/>
    <w:rsid w:val="5BDF9E68"/>
    <w:rsid w:val="5BE60604"/>
    <w:rsid w:val="5BE7E749"/>
    <w:rsid w:val="5BE9D3C7"/>
    <w:rsid w:val="5BEA30FD"/>
    <w:rsid w:val="5BEECECB"/>
    <w:rsid w:val="5BEF2924"/>
    <w:rsid w:val="5BEF8635"/>
    <w:rsid w:val="5BEFA80D"/>
    <w:rsid w:val="5BF600F0"/>
    <w:rsid w:val="5BF70E18"/>
    <w:rsid w:val="5BF715B0"/>
    <w:rsid w:val="5BF9A731"/>
    <w:rsid w:val="5BFA438E"/>
    <w:rsid w:val="5BFD595C"/>
    <w:rsid w:val="5BFDDD6C"/>
    <w:rsid w:val="5BFDF334"/>
    <w:rsid w:val="5BFE2FFA"/>
    <w:rsid w:val="5BFF0AD5"/>
    <w:rsid w:val="5BFF625B"/>
    <w:rsid w:val="5BFF8DD4"/>
    <w:rsid w:val="5BFF9E6A"/>
    <w:rsid w:val="5BFFA73A"/>
    <w:rsid w:val="5BFFE538"/>
    <w:rsid w:val="5BFFF934"/>
    <w:rsid w:val="5C3DA2C2"/>
    <w:rsid w:val="5C473312"/>
    <w:rsid w:val="5C4F89F8"/>
    <w:rsid w:val="5C55E596"/>
    <w:rsid w:val="5C5D48E3"/>
    <w:rsid w:val="5C5EA7FE"/>
    <w:rsid w:val="5C8E7193"/>
    <w:rsid w:val="5C983B6D"/>
    <w:rsid w:val="5CA249EC"/>
    <w:rsid w:val="5CBB2025"/>
    <w:rsid w:val="5CBD1EF0"/>
    <w:rsid w:val="5CBFC877"/>
    <w:rsid w:val="5CC04E72"/>
    <w:rsid w:val="5CCFB5F9"/>
    <w:rsid w:val="5CD4FA21"/>
    <w:rsid w:val="5CDAFE7F"/>
    <w:rsid w:val="5CF05758"/>
    <w:rsid w:val="5CFB8B0B"/>
    <w:rsid w:val="5CFCC559"/>
    <w:rsid w:val="5CFD915B"/>
    <w:rsid w:val="5CFDC881"/>
    <w:rsid w:val="5D2B1DCC"/>
    <w:rsid w:val="5D37EAC5"/>
    <w:rsid w:val="5D3B6C96"/>
    <w:rsid w:val="5D5BCF2D"/>
    <w:rsid w:val="5D5FE1CC"/>
    <w:rsid w:val="5D66A471"/>
    <w:rsid w:val="5D66C5D2"/>
    <w:rsid w:val="5D6CDC36"/>
    <w:rsid w:val="5D759AB7"/>
    <w:rsid w:val="5D7741AC"/>
    <w:rsid w:val="5D7795B3"/>
    <w:rsid w:val="5D782B34"/>
    <w:rsid w:val="5D7913E5"/>
    <w:rsid w:val="5D7BF403"/>
    <w:rsid w:val="5D7F3E21"/>
    <w:rsid w:val="5D7F63C3"/>
    <w:rsid w:val="5D7F7A94"/>
    <w:rsid w:val="5D7FCDE0"/>
    <w:rsid w:val="5DA402F0"/>
    <w:rsid w:val="5DAB6437"/>
    <w:rsid w:val="5DABC7E4"/>
    <w:rsid w:val="5DB77C57"/>
    <w:rsid w:val="5DBF264C"/>
    <w:rsid w:val="5DCD405B"/>
    <w:rsid w:val="5DCE6A24"/>
    <w:rsid w:val="5DD9EC4D"/>
    <w:rsid w:val="5DDAB85B"/>
    <w:rsid w:val="5DDDCDEB"/>
    <w:rsid w:val="5DDDDBED"/>
    <w:rsid w:val="5DEBE9DC"/>
    <w:rsid w:val="5DED8036"/>
    <w:rsid w:val="5DEF2566"/>
    <w:rsid w:val="5DEFD926"/>
    <w:rsid w:val="5DF1BEE2"/>
    <w:rsid w:val="5DF532F7"/>
    <w:rsid w:val="5DF701E9"/>
    <w:rsid w:val="5DF7848C"/>
    <w:rsid w:val="5DF79B73"/>
    <w:rsid w:val="5DFAF136"/>
    <w:rsid w:val="5DFB5F46"/>
    <w:rsid w:val="5DFB6DDD"/>
    <w:rsid w:val="5DFC6820"/>
    <w:rsid w:val="5DFCE884"/>
    <w:rsid w:val="5DFD0FAC"/>
    <w:rsid w:val="5DFDC525"/>
    <w:rsid w:val="5DFDFCE2"/>
    <w:rsid w:val="5DFE139C"/>
    <w:rsid w:val="5DFE332B"/>
    <w:rsid w:val="5DFE6C28"/>
    <w:rsid w:val="5DFF0B31"/>
    <w:rsid w:val="5DFF3F1A"/>
    <w:rsid w:val="5DFF9293"/>
    <w:rsid w:val="5DFFC935"/>
    <w:rsid w:val="5DFFEE56"/>
    <w:rsid w:val="5E0019CA"/>
    <w:rsid w:val="5E1FA7A1"/>
    <w:rsid w:val="5E2796B1"/>
    <w:rsid w:val="5E37EBF2"/>
    <w:rsid w:val="5E3D9001"/>
    <w:rsid w:val="5E48E1E3"/>
    <w:rsid w:val="5E5B7771"/>
    <w:rsid w:val="5E6E1953"/>
    <w:rsid w:val="5E6F98E3"/>
    <w:rsid w:val="5E7314DC"/>
    <w:rsid w:val="5E7665FD"/>
    <w:rsid w:val="5E7F3B1B"/>
    <w:rsid w:val="5E97C2E0"/>
    <w:rsid w:val="5E9D005D"/>
    <w:rsid w:val="5EA9F61B"/>
    <w:rsid w:val="5EB24D93"/>
    <w:rsid w:val="5EB5ADCB"/>
    <w:rsid w:val="5EB5E0FB"/>
    <w:rsid w:val="5EB71DFA"/>
    <w:rsid w:val="5EB86749"/>
    <w:rsid w:val="5EB8AAA2"/>
    <w:rsid w:val="5EBD42D4"/>
    <w:rsid w:val="5EBE8F8C"/>
    <w:rsid w:val="5EBEB23B"/>
    <w:rsid w:val="5EBF1B7A"/>
    <w:rsid w:val="5EBF4B1E"/>
    <w:rsid w:val="5EC6498E"/>
    <w:rsid w:val="5ED05841"/>
    <w:rsid w:val="5ED9F23D"/>
    <w:rsid w:val="5EDC1566"/>
    <w:rsid w:val="5EDDDB9B"/>
    <w:rsid w:val="5EDFBF24"/>
    <w:rsid w:val="5EE6DA36"/>
    <w:rsid w:val="5EE6F642"/>
    <w:rsid w:val="5EEA6427"/>
    <w:rsid w:val="5EEBBC7A"/>
    <w:rsid w:val="5EECD934"/>
    <w:rsid w:val="5EEE8E17"/>
    <w:rsid w:val="5EEF2F81"/>
    <w:rsid w:val="5EEF9993"/>
    <w:rsid w:val="5EF3E71D"/>
    <w:rsid w:val="5EF566FF"/>
    <w:rsid w:val="5EF7640D"/>
    <w:rsid w:val="5EF7A2E7"/>
    <w:rsid w:val="5EF7A3B1"/>
    <w:rsid w:val="5EF7B70B"/>
    <w:rsid w:val="5EF7E402"/>
    <w:rsid w:val="5EF854D6"/>
    <w:rsid w:val="5EFBB1E5"/>
    <w:rsid w:val="5EFD3B78"/>
    <w:rsid w:val="5EFD483D"/>
    <w:rsid w:val="5EFD74A1"/>
    <w:rsid w:val="5EFDDF66"/>
    <w:rsid w:val="5EFE767A"/>
    <w:rsid w:val="5EFF0780"/>
    <w:rsid w:val="5EFF3A84"/>
    <w:rsid w:val="5EFF9E75"/>
    <w:rsid w:val="5EFFAA7B"/>
    <w:rsid w:val="5EFFC01F"/>
    <w:rsid w:val="5EFFCDED"/>
    <w:rsid w:val="5EFFD8E1"/>
    <w:rsid w:val="5EFFF742"/>
    <w:rsid w:val="5F0F6EA7"/>
    <w:rsid w:val="5F1871E8"/>
    <w:rsid w:val="5F1F0433"/>
    <w:rsid w:val="5F1F1D95"/>
    <w:rsid w:val="5F2D389F"/>
    <w:rsid w:val="5F36EABB"/>
    <w:rsid w:val="5F385A53"/>
    <w:rsid w:val="5F3B1D52"/>
    <w:rsid w:val="5F3B81E9"/>
    <w:rsid w:val="5F3D0DC0"/>
    <w:rsid w:val="5F3DA79C"/>
    <w:rsid w:val="5F3DCC5F"/>
    <w:rsid w:val="5F45FB02"/>
    <w:rsid w:val="5F4E2460"/>
    <w:rsid w:val="5F4F02FB"/>
    <w:rsid w:val="5F573E25"/>
    <w:rsid w:val="5F5F5E21"/>
    <w:rsid w:val="5F5F7451"/>
    <w:rsid w:val="5F6BE72F"/>
    <w:rsid w:val="5F6DAF9C"/>
    <w:rsid w:val="5F6E3F1B"/>
    <w:rsid w:val="5F6F096A"/>
    <w:rsid w:val="5F6F7DFB"/>
    <w:rsid w:val="5F720DA3"/>
    <w:rsid w:val="5F72A01F"/>
    <w:rsid w:val="5F752109"/>
    <w:rsid w:val="5F76F53B"/>
    <w:rsid w:val="5F7768A5"/>
    <w:rsid w:val="5F79E455"/>
    <w:rsid w:val="5F7B7E18"/>
    <w:rsid w:val="5F7BAFA2"/>
    <w:rsid w:val="5F7D7098"/>
    <w:rsid w:val="5F7DCC9B"/>
    <w:rsid w:val="5F7E4121"/>
    <w:rsid w:val="5F7EA926"/>
    <w:rsid w:val="5F7F7A92"/>
    <w:rsid w:val="5F7F893B"/>
    <w:rsid w:val="5F7F9275"/>
    <w:rsid w:val="5F7FB553"/>
    <w:rsid w:val="5F971385"/>
    <w:rsid w:val="5F9B9644"/>
    <w:rsid w:val="5FA65550"/>
    <w:rsid w:val="5FA78CEB"/>
    <w:rsid w:val="5FA7A50A"/>
    <w:rsid w:val="5FAB7797"/>
    <w:rsid w:val="5FABC3B5"/>
    <w:rsid w:val="5FAE36E8"/>
    <w:rsid w:val="5FAF396C"/>
    <w:rsid w:val="5FAF59B1"/>
    <w:rsid w:val="5FB33E28"/>
    <w:rsid w:val="5FB581B9"/>
    <w:rsid w:val="5FB68021"/>
    <w:rsid w:val="5FB6E555"/>
    <w:rsid w:val="5FB7349C"/>
    <w:rsid w:val="5FB73C42"/>
    <w:rsid w:val="5FBA4931"/>
    <w:rsid w:val="5FBB5FCB"/>
    <w:rsid w:val="5FBB6D4D"/>
    <w:rsid w:val="5FBBBD39"/>
    <w:rsid w:val="5FBBC2E3"/>
    <w:rsid w:val="5FBC44F4"/>
    <w:rsid w:val="5FBD28E7"/>
    <w:rsid w:val="5FBDBFA6"/>
    <w:rsid w:val="5FBF1D02"/>
    <w:rsid w:val="5FBF83CF"/>
    <w:rsid w:val="5FBF8A14"/>
    <w:rsid w:val="5FBF8DEE"/>
    <w:rsid w:val="5FC93E7F"/>
    <w:rsid w:val="5FCBE217"/>
    <w:rsid w:val="5FCD931D"/>
    <w:rsid w:val="5FCDDA35"/>
    <w:rsid w:val="5FCEDE54"/>
    <w:rsid w:val="5FCEF77C"/>
    <w:rsid w:val="5FCFFE49"/>
    <w:rsid w:val="5FD41B21"/>
    <w:rsid w:val="5FD66D33"/>
    <w:rsid w:val="5FD70AE3"/>
    <w:rsid w:val="5FD73DEE"/>
    <w:rsid w:val="5FD79DD2"/>
    <w:rsid w:val="5FD9F963"/>
    <w:rsid w:val="5FD9FBFC"/>
    <w:rsid w:val="5FDB7E6A"/>
    <w:rsid w:val="5FDB96CB"/>
    <w:rsid w:val="5FDD388E"/>
    <w:rsid w:val="5FDE479D"/>
    <w:rsid w:val="5FDED288"/>
    <w:rsid w:val="5FDF0BFB"/>
    <w:rsid w:val="5FDF7FC3"/>
    <w:rsid w:val="5FDFB273"/>
    <w:rsid w:val="5FDFED99"/>
    <w:rsid w:val="5FE27E0D"/>
    <w:rsid w:val="5FE55951"/>
    <w:rsid w:val="5FE66670"/>
    <w:rsid w:val="5FE747CB"/>
    <w:rsid w:val="5FE789FA"/>
    <w:rsid w:val="5FE93B0C"/>
    <w:rsid w:val="5FE94003"/>
    <w:rsid w:val="5FE99277"/>
    <w:rsid w:val="5FEB6720"/>
    <w:rsid w:val="5FEDDD6E"/>
    <w:rsid w:val="5FEE7DDF"/>
    <w:rsid w:val="5FF09D23"/>
    <w:rsid w:val="5FF14C84"/>
    <w:rsid w:val="5FF529D2"/>
    <w:rsid w:val="5FF5D96D"/>
    <w:rsid w:val="5FF5E0BB"/>
    <w:rsid w:val="5FF6FFE6"/>
    <w:rsid w:val="5FF718EA"/>
    <w:rsid w:val="5FF7353A"/>
    <w:rsid w:val="5FF7864A"/>
    <w:rsid w:val="5FF7874B"/>
    <w:rsid w:val="5FF78A28"/>
    <w:rsid w:val="5FF7C041"/>
    <w:rsid w:val="5FF7CC61"/>
    <w:rsid w:val="5FF910BC"/>
    <w:rsid w:val="5FF93B9F"/>
    <w:rsid w:val="5FF9AE7E"/>
    <w:rsid w:val="5FF9B91E"/>
    <w:rsid w:val="5FFA57E0"/>
    <w:rsid w:val="5FFAA9C4"/>
    <w:rsid w:val="5FFAC055"/>
    <w:rsid w:val="5FFB0EB0"/>
    <w:rsid w:val="5FFB6DF5"/>
    <w:rsid w:val="5FFB8578"/>
    <w:rsid w:val="5FFBA0BE"/>
    <w:rsid w:val="5FFBA6FA"/>
    <w:rsid w:val="5FFBA9BF"/>
    <w:rsid w:val="5FFBACD4"/>
    <w:rsid w:val="5FFC6005"/>
    <w:rsid w:val="5FFD3979"/>
    <w:rsid w:val="5FFD5C9E"/>
    <w:rsid w:val="5FFD8A9D"/>
    <w:rsid w:val="5FFDC93D"/>
    <w:rsid w:val="5FFDF049"/>
    <w:rsid w:val="5FFE3227"/>
    <w:rsid w:val="5FFE39ED"/>
    <w:rsid w:val="5FFE3D8F"/>
    <w:rsid w:val="5FFE439A"/>
    <w:rsid w:val="5FFE51CD"/>
    <w:rsid w:val="5FFE85F6"/>
    <w:rsid w:val="5FFEE67C"/>
    <w:rsid w:val="5FFEEB5D"/>
    <w:rsid w:val="5FFF0E3E"/>
    <w:rsid w:val="5FFF166C"/>
    <w:rsid w:val="5FFF2A6A"/>
    <w:rsid w:val="5FFF3DDD"/>
    <w:rsid w:val="5FFF7AC2"/>
    <w:rsid w:val="5FFF826D"/>
    <w:rsid w:val="5FFF8873"/>
    <w:rsid w:val="5FFF9AA9"/>
    <w:rsid w:val="5FFFA25B"/>
    <w:rsid w:val="5FFFB3EA"/>
    <w:rsid w:val="5FFFCC36"/>
    <w:rsid w:val="5FFFCE5A"/>
    <w:rsid w:val="5FFFD180"/>
    <w:rsid w:val="5FFFDD5C"/>
    <w:rsid w:val="5FFFDF6D"/>
    <w:rsid w:val="5FFFFCF9"/>
    <w:rsid w:val="5FFFFF1E"/>
    <w:rsid w:val="60145C01"/>
    <w:rsid w:val="601654D5"/>
    <w:rsid w:val="60402552"/>
    <w:rsid w:val="60577F0F"/>
    <w:rsid w:val="605D3104"/>
    <w:rsid w:val="608A5EC3"/>
    <w:rsid w:val="609601C9"/>
    <w:rsid w:val="60CF1B28"/>
    <w:rsid w:val="60F37B4C"/>
    <w:rsid w:val="61774233"/>
    <w:rsid w:val="61778616"/>
    <w:rsid w:val="61907509"/>
    <w:rsid w:val="61A11716"/>
    <w:rsid w:val="61BB4A60"/>
    <w:rsid w:val="61D513C0"/>
    <w:rsid w:val="61DFD7F6"/>
    <w:rsid w:val="61F7D007"/>
    <w:rsid w:val="62051CA5"/>
    <w:rsid w:val="623BBDA9"/>
    <w:rsid w:val="624C0EA3"/>
    <w:rsid w:val="625B18C5"/>
    <w:rsid w:val="627D7AEA"/>
    <w:rsid w:val="62960B4F"/>
    <w:rsid w:val="62994EC4"/>
    <w:rsid w:val="62AD7C47"/>
    <w:rsid w:val="62FF1286"/>
    <w:rsid w:val="62FF488C"/>
    <w:rsid w:val="62FF6269"/>
    <w:rsid w:val="62FFF2A8"/>
    <w:rsid w:val="630F26B0"/>
    <w:rsid w:val="632E0236"/>
    <w:rsid w:val="63376123"/>
    <w:rsid w:val="63397375"/>
    <w:rsid w:val="633F3989"/>
    <w:rsid w:val="634D2057"/>
    <w:rsid w:val="636F35B4"/>
    <w:rsid w:val="637A0E97"/>
    <w:rsid w:val="637F0895"/>
    <w:rsid w:val="637F15E3"/>
    <w:rsid w:val="637FBFEF"/>
    <w:rsid w:val="637FE9C0"/>
    <w:rsid w:val="63A63014"/>
    <w:rsid w:val="63ABC2D7"/>
    <w:rsid w:val="63BFEA92"/>
    <w:rsid w:val="63C60FC0"/>
    <w:rsid w:val="63CD05A1"/>
    <w:rsid w:val="63DF6526"/>
    <w:rsid w:val="63EE5B7F"/>
    <w:rsid w:val="63EF2542"/>
    <w:rsid w:val="63F31475"/>
    <w:rsid w:val="63F79650"/>
    <w:rsid w:val="63FD3B03"/>
    <w:rsid w:val="63FF341A"/>
    <w:rsid w:val="64032214"/>
    <w:rsid w:val="64356146"/>
    <w:rsid w:val="643763A1"/>
    <w:rsid w:val="643C5726"/>
    <w:rsid w:val="64456976"/>
    <w:rsid w:val="64516005"/>
    <w:rsid w:val="648D1ADE"/>
    <w:rsid w:val="649C61C5"/>
    <w:rsid w:val="64A82DBC"/>
    <w:rsid w:val="64B74DAD"/>
    <w:rsid w:val="64C86FBA"/>
    <w:rsid w:val="64C9D3E5"/>
    <w:rsid w:val="64DB6CED"/>
    <w:rsid w:val="64F14763"/>
    <w:rsid w:val="64F22C09"/>
    <w:rsid w:val="64F46001"/>
    <w:rsid w:val="64F760DD"/>
    <w:rsid w:val="6579818D"/>
    <w:rsid w:val="657DFC5E"/>
    <w:rsid w:val="657F3FF3"/>
    <w:rsid w:val="65AB4911"/>
    <w:rsid w:val="65AF47BE"/>
    <w:rsid w:val="65B1182F"/>
    <w:rsid w:val="65B5AF38"/>
    <w:rsid w:val="65CA4E2D"/>
    <w:rsid w:val="65CCBCCC"/>
    <w:rsid w:val="65D42377"/>
    <w:rsid w:val="65E58647"/>
    <w:rsid w:val="65FF089D"/>
    <w:rsid w:val="65FF2BF2"/>
    <w:rsid w:val="65FF9238"/>
    <w:rsid w:val="65FFD0FF"/>
    <w:rsid w:val="65FFDE9B"/>
    <w:rsid w:val="663A7269"/>
    <w:rsid w:val="663C1A0D"/>
    <w:rsid w:val="66486604"/>
    <w:rsid w:val="665D2087"/>
    <w:rsid w:val="666D4E2C"/>
    <w:rsid w:val="6679C73E"/>
    <w:rsid w:val="667C7A53"/>
    <w:rsid w:val="668C4743"/>
    <w:rsid w:val="66936BD3"/>
    <w:rsid w:val="669F86EA"/>
    <w:rsid w:val="66B3DB59"/>
    <w:rsid w:val="66B617C0"/>
    <w:rsid w:val="66CF5A98"/>
    <w:rsid w:val="66D7C554"/>
    <w:rsid w:val="66DB4B57"/>
    <w:rsid w:val="66E67D3F"/>
    <w:rsid w:val="66F09665"/>
    <w:rsid w:val="66F70EDB"/>
    <w:rsid w:val="66F7B351"/>
    <w:rsid w:val="66FAE9BB"/>
    <w:rsid w:val="66FC88F5"/>
    <w:rsid w:val="66FF4C1E"/>
    <w:rsid w:val="6715A4A8"/>
    <w:rsid w:val="671F01C0"/>
    <w:rsid w:val="673DE0EC"/>
    <w:rsid w:val="673F4BCC"/>
    <w:rsid w:val="6753EE04"/>
    <w:rsid w:val="675FCF41"/>
    <w:rsid w:val="676B07FC"/>
    <w:rsid w:val="676D14BA"/>
    <w:rsid w:val="676EEA0A"/>
    <w:rsid w:val="677089EF"/>
    <w:rsid w:val="677336A3"/>
    <w:rsid w:val="67774DD7"/>
    <w:rsid w:val="677F7E04"/>
    <w:rsid w:val="677FEE89"/>
    <w:rsid w:val="679D6975"/>
    <w:rsid w:val="679FFC8B"/>
    <w:rsid w:val="67AA3F07"/>
    <w:rsid w:val="67BF51E4"/>
    <w:rsid w:val="67BF5E73"/>
    <w:rsid w:val="67BFB169"/>
    <w:rsid w:val="67C18638"/>
    <w:rsid w:val="67CE2404"/>
    <w:rsid w:val="67D143D7"/>
    <w:rsid w:val="67D2631F"/>
    <w:rsid w:val="67D53EC8"/>
    <w:rsid w:val="67D65A58"/>
    <w:rsid w:val="67D74B50"/>
    <w:rsid w:val="67DB7004"/>
    <w:rsid w:val="67DDC9C9"/>
    <w:rsid w:val="67DDDE9C"/>
    <w:rsid w:val="67E55A44"/>
    <w:rsid w:val="67E5FEC1"/>
    <w:rsid w:val="67EDE9E3"/>
    <w:rsid w:val="67EE87A0"/>
    <w:rsid w:val="67EF976A"/>
    <w:rsid w:val="67EFEEB5"/>
    <w:rsid w:val="67F1509D"/>
    <w:rsid w:val="67F3434E"/>
    <w:rsid w:val="67F3C27C"/>
    <w:rsid w:val="67F741EB"/>
    <w:rsid w:val="67F7DE46"/>
    <w:rsid w:val="67FA39A0"/>
    <w:rsid w:val="67FB2A6E"/>
    <w:rsid w:val="67FB7E8F"/>
    <w:rsid w:val="67FBAF6C"/>
    <w:rsid w:val="67FE889A"/>
    <w:rsid w:val="67FED689"/>
    <w:rsid w:val="67FF3A3D"/>
    <w:rsid w:val="67FF3BEA"/>
    <w:rsid w:val="67FF3F4D"/>
    <w:rsid w:val="67FF4DD5"/>
    <w:rsid w:val="67FF6800"/>
    <w:rsid w:val="67FF9555"/>
    <w:rsid w:val="67FFA3DA"/>
    <w:rsid w:val="67FFB4C8"/>
    <w:rsid w:val="67FFC889"/>
    <w:rsid w:val="67FFE1FA"/>
    <w:rsid w:val="68024591"/>
    <w:rsid w:val="68264723"/>
    <w:rsid w:val="68295FC1"/>
    <w:rsid w:val="68541BAC"/>
    <w:rsid w:val="685C6397"/>
    <w:rsid w:val="686C1C50"/>
    <w:rsid w:val="68701E42"/>
    <w:rsid w:val="688A4CB2"/>
    <w:rsid w:val="68AA7102"/>
    <w:rsid w:val="68AD09A1"/>
    <w:rsid w:val="68B0223F"/>
    <w:rsid w:val="68BDD176"/>
    <w:rsid w:val="68CA77A4"/>
    <w:rsid w:val="68CC64DC"/>
    <w:rsid w:val="68ED6FEF"/>
    <w:rsid w:val="68F9DFF0"/>
    <w:rsid w:val="690A5DF3"/>
    <w:rsid w:val="691602F4"/>
    <w:rsid w:val="69252C2D"/>
    <w:rsid w:val="692C13E8"/>
    <w:rsid w:val="69470DF5"/>
    <w:rsid w:val="6958090C"/>
    <w:rsid w:val="69595A3F"/>
    <w:rsid w:val="695D41EF"/>
    <w:rsid w:val="69692B1A"/>
    <w:rsid w:val="697274F4"/>
    <w:rsid w:val="69764C11"/>
    <w:rsid w:val="69787200"/>
    <w:rsid w:val="699BE28D"/>
    <w:rsid w:val="69A55B1C"/>
    <w:rsid w:val="69A7BD52"/>
    <w:rsid w:val="69AE4EDC"/>
    <w:rsid w:val="69AF51F7"/>
    <w:rsid w:val="69B3DB91"/>
    <w:rsid w:val="69BE9655"/>
    <w:rsid w:val="69CB282B"/>
    <w:rsid w:val="69CF76FE"/>
    <w:rsid w:val="69D96A75"/>
    <w:rsid w:val="69DF60D1"/>
    <w:rsid w:val="69EB79D2"/>
    <w:rsid w:val="69F70BA8"/>
    <w:rsid w:val="69FA6C02"/>
    <w:rsid w:val="69FBA6B4"/>
    <w:rsid w:val="69FF6F97"/>
    <w:rsid w:val="6A1715DA"/>
    <w:rsid w:val="6A2D1163"/>
    <w:rsid w:val="6A3E222B"/>
    <w:rsid w:val="6A5FDF6B"/>
    <w:rsid w:val="6A76A969"/>
    <w:rsid w:val="6A7F5EF1"/>
    <w:rsid w:val="6A7FCEFB"/>
    <w:rsid w:val="6AB66701"/>
    <w:rsid w:val="6AB7B04B"/>
    <w:rsid w:val="6ABBD0ED"/>
    <w:rsid w:val="6ABD292A"/>
    <w:rsid w:val="6ABF1DBD"/>
    <w:rsid w:val="6ACB15B2"/>
    <w:rsid w:val="6ADF6279"/>
    <w:rsid w:val="6AF80510"/>
    <w:rsid w:val="6AFB9E86"/>
    <w:rsid w:val="6AFC5C0F"/>
    <w:rsid w:val="6AFEE2D9"/>
    <w:rsid w:val="6AFFA308"/>
    <w:rsid w:val="6AFFEE47"/>
    <w:rsid w:val="6B256F14"/>
    <w:rsid w:val="6B3794A0"/>
    <w:rsid w:val="6B3B510D"/>
    <w:rsid w:val="6B3CA5B5"/>
    <w:rsid w:val="6B3F68BD"/>
    <w:rsid w:val="6B40575A"/>
    <w:rsid w:val="6B4F3718"/>
    <w:rsid w:val="6B533E38"/>
    <w:rsid w:val="6B540781"/>
    <w:rsid w:val="6B546076"/>
    <w:rsid w:val="6B5C44BB"/>
    <w:rsid w:val="6B6F70E8"/>
    <w:rsid w:val="6B73299F"/>
    <w:rsid w:val="6B74717C"/>
    <w:rsid w:val="6B75959D"/>
    <w:rsid w:val="6B77C4F2"/>
    <w:rsid w:val="6B793649"/>
    <w:rsid w:val="6B79E47D"/>
    <w:rsid w:val="6B7C24CC"/>
    <w:rsid w:val="6B87B21D"/>
    <w:rsid w:val="6B9E0A74"/>
    <w:rsid w:val="6B9F62D9"/>
    <w:rsid w:val="6B9F9FD7"/>
    <w:rsid w:val="6BAE515B"/>
    <w:rsid w:val="6BAE7FE4"/>
    <w:rsid w:val="6BB7E031"/>
    <w:rsid w:val="6BB971B9"/>
    <w:rsid w:val="6BBA83CE"/>
    <w:rsid w:val="6BBBCA6B"/>
    <w:rsid w:val="6BBD141D"/>
    <w:rsid w:val="6BBDFD94"/>
    <w:rsid w:val="6BBF72F0"/>
    <w:rsid w:val="6BBFC80B"/>
    <w:rsid w:val="6BBFDFD6"/>
    <w:rsid w:val="6BC404DB"/>
    <w:rsid w:val="6BCCB192"/>
    <w:rsid w:val="6BD6FE2D"/>
    <w:rsid w:val="6BDBA6BC"/>
    <w:rsid w:val="6BDBB6CD"/>
    <w:rsid w:val="6BDF23C9"/>
    <w:rsid w:val="6BDF3F4D"/>
    <w:rsid w:val="6BE69C06"/>
    <w:rsid w:val="6BEC5C84"/>
    <w:rsid w:val="6BEC7865"/>
    <w:rsid w:val="6BEDA918"/>
    <w:rsid w:val="6BEF3365"/>
    <w:rsid w:val="6BEFE9F6"/>
    <w:rsid w:val="6BFA6746"/>
    <w:rsid w:val="6BFA680B"/>
    <w:rsid w:val="6BFA75CF"/>
    <w:rsid w:val="6BFB279B"/>
    <w:rsid w:val="6BFB4D49"/>
    <w:rsid w:val="6BFB68FC"/>
    <w:rsid w:val="6BFB74EE"/>
    <w:rsid w:val="6BFBC946"/>
    <w:rsid w:val="6BFD7906"/>
    <w:rsid w:val="6BFDDA13"/>
    <w:rsid w:val="6BFE0374"/>
    <w:rsid w:val="6BFE7A6F"/>
    <w:rsid w:val="6BFE8AB9"/>
    <w:rsid w:val="6BFF25A3"/>
    <w:rsid w:val="6BFF488A"/>
    <w:rsid w:val="6BFF781E"/>
    <w:rsid w:val="6BFF822F"/>
    <w:rsid w:val="6BFFF0B3"/>
    <w:rsid w:val="6C1F67C8"/>
    <w:rsid w:val="6C3118E9"/>
    <w:rsid w:val="6C5C6966"/>
    <w:rsid w:val="6C674570"/>
    <w:rsid w:val="6C6BDD9B"/>
    <w:rsid w:val="6C757A27"/>
    <w:rsid w:val="6C77379F"/>
    <w:rsid w:val="6C7B7E22"/>
    <w:rsid w:val="6C7B8C1F"/>
    <w:rsid w:val="6C7E41A8"/>
    <w:rsid w:val="6C7F394C"/>
    <w:rsid w:val="6C7FC416"/>
    <w:rsid w:val="6C8DE517"/>
    <w:rsid w:val="6C922387"/>
    <w:rsid w:val="6C9E6F7E"/>
    <w:rsid w:val="6CA420BB"/>
    <w:rsid w:val="6CAB9398"/>
    <w:rsid w:val="6CB2BB69"/>
    <w:rsid w:val="6CCB6EC5"/>
    <w:rsid w:val="6CD37AB3"/>
    <w:rsid w:val="6CD9C429"/>
    <w:rsid w:val="6CDE5010"/>
    <w:rsid w:val="6CE07597"/>
    <w:rsid w:val="6CF1CD7A"/>
    <w:rsid w:val="6CF62601"/>
    <w:rsid w:val="6CF666DD"/>
    <w:rsid w:val="6CF7E870"/>
    <w:rsid w:val="6CFCC0B1"/>
    <w:rsid w:val="6CFEEDB6"/>
    <w:rsid w:val="6CFF5DB9"/>
    <w:rsid w:val="6D0BA66D"/>
    <w:rsid w:val="6D13651A"/>
    <w:rsid w:val="6D147240"/>
    <w:rsid w:val="6D162FB8"/>
    <w:rsid w:val="6D192AA9"/>
    <w:rsid w:val="6D1C66E8"/>
    <w:rsid w:val="6D1DF65C"/>
    <w:rsid w:val="6D1E3C1B"/>
    <w:rsid w:val="6D234FA3"/>
    <w:rsid w:val="6D2F3853"/>
    <w:rsid w:val="6D372F2F"/>
    <w:rsid w:val="6D3E1EA4"/>
    <w:rsid w:val="6D3E6DC3"/>
    <w:rsid w:val="6D3EADF9"/>
    <w:rsid w:val="6D554F2E"/>
    <w:rsid w:val="6D56D47F"/>
    <w:rsid w:val="6D5D9E45"/>
    <w:rsid w:val="6D669C3C"/>
    <w:rsid w:val="6D6E973B"/>
    <w:rsid w:val="6D773A74"/>
    <w:rsid w:val="6D7C9B27"/>
    <w:rsid w:val="6D7FBC85"/>
    <w:rsid w:val="6D911DC9"/>
    <w:rsid w:val="6D9C5830"/>
    <w:rsid w:val="6D9F5E4C"/>
    <w:rsid w:val="6DA53C3F"/>
    <w:rsid w:val="6DA6E5A0"/>
    <w:rsid w:val="6DACA8F4"/>
    <w:rsid w:val="6DAF2B86"/>
    <w:rsid w:val="6DAF4088"/>
    <w:rsid w:val="6DB54047"/>
    <w:rsid w:val="6DB5EDBB"/>
    <w:rsid w:val="6DB78462"/>
    <w:rsid w:val="6DB9F261"/>
    <w:rsid w:val="6DBB4D30"/>
    <w:rsid w:val="6DBB590E"/>
    <w:rsid w:val="6DBB7FAE"/>
    <w:rsid w:val="6DBB8C5B"/>
    <w:rsid w:val="6DBE7D8E"/>
    <w:rsid w:val="6DC207EA"/>
    <w:rsid w:val="6DCE3893"/>
    <w:rsid w:val="6DCEAEA4"/>
    <w:rsid w:val="6DCEAF38"/>
    <w:rsid w:val="6DCEF2FE"/>
    <w:rsid w:val="6DD4B5F3"/>
    <w:rsid w:val="6DD6F8C0"/>
    <w:rsid w:val="6DD81ECA"/>
    <w:rsid w:val="6DD9ADB4"/>
    <w:rsid w:val="6DDD118D"/>
    <w:rsid w:val="6DDECFE1"/>
    <w:rsid w:val="6DE2178E"/>
    <w:rsid w:val="6DE667B5"/>
    <w:rsid w:val="6DE78660"/>
    <w:rsid w:val="6DECE0E0"/>
    <w:rsid w:val="6DED14F0"/>
    <w:rsid w:val="6DEE485D"/>
    <w:rsid w:val="6DEF27E2"/>
    <w:rsid w:val="6DEF4AFE"/>
    <w:rsid w:val="6DEF5822"/>
    <w:rsid w:val="6DEF9F90"/>
    <w:rsid w:val="6DEFA52C"/>
    <w:rsid w:val="6DF1149E"/>
    <w:rsid w:val="6DF3D4AD"/>
    <w:rsid w:val="6DF52D57"/>
    <w:rsid w:val="6DF71786"/>
    <w:rsid w:val="6DF7EB16"/>
    <w:rsid w:val="6DF7F39A"/>
    <w:rsid w:val="6DFB7724"/>
    <w:rsid w:val="6DFBC983"/>
    <w:rsid w:val="6DFD29A4"/>
    <w:rsid w:val="6DFE2104"/>
    <w:rsid w:val="6DFE6E83"/>
    <w:rsid w:val="6DFF3BD4"/>
    <w:rsid w:val="6DFF48AC"/>
    <w:rsid w:val="6DFF5182"/>
    <w:rsid w:val="6DFF5D16"/>
    <w:rsid w:val="6DFF75B2"/>
    <w:rsid w:val="6DFFE1C9"/>
    <w:rsid w:val="6DFFF18D"/>
    <w:rsid w:val="6DFFF3E6"/>
    <w:rsid w:val="6DFFF4EA"/>
    <w:rsid w:val="6DFFF8E8"/>
    <w:rsid w:val="6E1B015A"/>
    <w:rsid w:val="6E2434B3"/>
    <w:rsid w:val="6E2E4332"/>
    <w:rsid w:val="6E37F6D0"/>
    <w:rsid w:val="6E3F9F77"/>
    <w:rsid w:val="6E57AF78"/>
    <w:rsid w:val="6E657280"/>
    <w:rsid w:val="6E6737A0"/>
    <w:rsid w:val="6E7AFD68"/>
    <w:rsid w:val="6E7C2C41"/>
    <w:rsid w:val="6E7EF509"/>
    <w:rsid w:val="6E7F4FC2"/>
    <w:rsid w:val="6E8B17E0"/>
    <w:rsid w:val="6E92B617"/>
    <w:rsid w:val="6E9F7B92"/>
    <w:rsid w:val="6EA54410"/>
    <w:rsid w:val="6EAF0386"/>
    <w:rsid w:val="6EAF339B"/>
    <w:rsid w:val="6EB011EB"/>
    <w:rsid w:val="6EB15BDD"/>
    <w:rsid w:val="6EB74FE9"/>
    <w:rsid w:val="6EB91174"/>
    <w:rsid w:val="6EBB8FDF"/>
    <w:rsid w:val="6EBB9C0B"/>
    <w:rsid w:val="6EBBDD01"/>
    <w:rsid w:val="6EBE3907"/>
    <w:rsid w:val="6EBE56B6"/>
    <w:rsid w:val="6EBFF7A0"/>
    <w:rsid w:val="6ECD914D"/>
    <w:rsid w:val="6ECFE3C2"/>
    <w:rsid w:val="6ED3639A"/>
    <w:rsid w:val="6ED7C618"/>
    <w:rsid w:val="6ED9A406"/>
    <w:rsid w:val="6EDB20A4"/>
    <w:rsid w:val="6EDC3D8E"/>
    <w:rsid w:val="6EDD5648"/>
    <w:rsid w:val="6EDF1963"/>
    <w:rsid w:val="6EDF8838"/>
    <w:rsid w:val="6EE2F494"/>
    <w:rsid w:val="6EE64C0C"/>
    <w:rsid w:val="6EE69D8F"/>
    <w:rsid w:val="6EE7D6A9"/>
    <w:rsid w:val="6EEF18B6"/>
    <w:rsid w:val="6EEF3415"/>
    <w:rsid w:val="6EF6AFCB"/>
    <w:rsid w:val="6EF6B224"/>
    <w:rsid w:val="6EF7B6D8"/>
    <w:rsid w:val="6EFC1A44"/>
    <w:rsid w:val="6EFD4802"/>
    <w:rsid w:val="6EFE43E9"/>
    <w:rsid w:val="6EFF0E43"/>
    <w:rsid w:val="6EFF31AE"/>
    <w:rsid w:val="6EFF5B48"/>
    <w:rsid w:val="6EFF5E14"/>
    <w:rsid w:val="6EFF81FB"/>
    <w:rsid w:val="6F011A46"/>
    <w:rsid w:val="6F086931"/>
    <w:rsid w:val="6F1625F7"/>
    <w:rsid w:val="6F1E79F7"/>
    <w:rsid w:val="6F2BF0C7"/>
    <w:rsid w:val="6F3040D9"/>
    <w:rsid w:val="6F35798C"/>
    <w:rsid w:val="6F35CCCD"/>
    <w:rsid w:val="6F37555F"/>
    <w:rsid w:val="6F388A71"/>
    <w:rsid w:val="6F399171"/>
    <w:rsid w:val="6F3BC920"/>
    <w:rsid w:val="6F3C6E69"/>
    <w:rsid w:val="6F3DE596"/>
    <w:rsid w:val="6F3EBF74"/>
    <w:rsid w:val="6F3EC4B3"/>
    <w:rsid w:val="6F3F74D9"/>
    <w:rsid w:val="6F48BE5D"/>
    <w:rsid w:val="6F50F13D"/>
    <w:rsid w:val="6F535B34"/>
    <w:rsid w:val="6F5BC77F"/>
    <w:rsid w:val="6F5CDA1F"/>
    <w:rsid w:val="6F5F8455"/>
    <w:rsid w:val="6F5FBDD1"/>
    <w:rsid w:val="6F6ADD93"/>
    <w:rsid w:val="6F6CD339"/>
    <w:rsid w:val="6F6D58DC"/>
    <w:rsid w:val="6F6D9061"/>
    <w:rsid w:val="6F6F59E4"/>
    <w:rsid w:val="6F6F9C98"/>
    <w:rsid w:val="6F72024E"/>
    <w:rsid w:val="6F720F20"/>
    <w:rsid w:val="6F729B5A"/>
    <w:rsid w:val="6F742218"/>
    <w:rsid w:val="6F772B95"/>
    <w:rsid w:val="6F7730DC"/>
    <w:rsid w:val="6F778D22"/>
    <w:rsid w:val="6F77A29E"/>
    <w:rsid w:val="6F77E5AD"/>
    <w:rsid w:val="6F796033"/>
    <w:rsid w:val="6F7A5F61"/>
    <w:rsid w:val="6F7DE1FF"/>
    <w:rsid w:val="6F7E343D"/>
    <w:rsid w:val="6F8B1E64"/>
    <w:rsid w:val="6F8F54BC"/>
    <w:rsid w:val="6F8FCEF2"/>
    <w:rsid w:val="6F9A70CA"/>
    <w:rsid w:val="6F9BBE37"/>
    <w:rsid w:val="6F9F1F5C"/>
    <w:rsid w:val="6F9FDC6C"/>
    <w:rsid w:val="6FA75355"/>
    <w:rsid w:val="6FAB6FC9"/>
    <w:rsid w:val="6FAF1B97"/>
    <w:rsid w:val="6FB3141F"/>
    <w:rsid w:val="6FB49E79"/>
    <w:rsid w:val="6FB70357"/>
    <w:rsid w:val="6FB730F7"/>
    <w:rsid w:val="6FB88B6B"/>
    <w:rsid w:val="6FBA4090"/>
    <w:rsid w:val="6FBAA9F8"/>
    <w:rsid w:val="6FBB141F"/>
    <w:rsid w:val="6FBBAB3C"/>
    <w:rsid w:val="6FBBB66D"/>
    <w:rsid w:val="6FBBF8F5"/>
    <w:rsid w:val="6FBD3B90"/>
    <w:rsid w:val="6FBD75DD"/>
    <w:rsid w:val="6FBE1648"/>
    <w:rsid w:val="6FBE2D75"/>
    <w:rsid w:val="6FBF348A"/>
    <w:rsid w:val="6FBF8E73"/>
    <w:rsid w:val="6FBFB4D2"/>
    <w:rsid w:val="6FC73D14"/>
    <w:rsid w:val="6FC938D2"/>
    <w:rsid w:val="6FCE919B"/>
    <w:rsid w:val="6FD10C95"/>
    <w:rsid w:val="6FD3EEE6"/>
    <w:rsid w:val="6FD504F9"/>
    <w:rsid w:val="6FD57296"/>
    <w:rsid w:val="6FD674E1"/>
    <w:rsid w:val="6FD70768"/>
    <w:rsid w:val="6FDBAEF1"/>
    <w:rsid w:val="6FDBEEAC"/>
    <w:rsid w:val="6FDBFD7B"/>
    <w:rsid w:val="6FDCCC04"/>
    <w:rsid w:val="6FDED1FB"/>
    <w:rsid w:val="6FDF0B7A"/>
    <w:rsid w:val="6FDF0C13"/>
    <w:rsid w:val="6FDF104F"/>
    <w:rsid w:val="6FDF275A"/>
    <w:rsid w:val="6FDF42A6"/>
    <w:rsid w:val="6FDF5726"/>
    <w:rsid w:val="6FDF7583"/>
    <w:rsid w:val="6FDF83BF"/>
    <w:rsid w:val="6FE1227D"/>
    <w:rsid w:val="6FE14A62"/>
    <w:rsid w:val="6FE17849"/>
    <w:rsid w:val="6FE22DEC"/>
    <w:rsid w:val="6FE7AA9A"/>
    <w:rsid w:val="6FE96C7F"/>
    <w:rsid w:val="6FEA24DA"/>
    <w:rsid w:val="6FEA7EFF"/>
    <w:rsid w:val="6FEC7EB6"/>
    <w:rsid w:val="6FEDCAE5"/>
    <w:rsid w:val="6FEDF6B2"/>
    <w:rsid w:val="6FEEBEAC"/>
    <w:rsid w:val="6FEF0930"/>
    <w:rsid w:val="6FEFA674"/>
    <w:rsid w:val="6FEFF281"/>
    <w:rsid w:val="6FF292EF"/>
    <w:rsid w:val="6FF32FA8"/>
    <w:rsid w:val="6FF33BDB"/>
    <w:rsid w:val="6FF40EF5"/>
    <w:rsid w:val="6FF51F47"/>
    <w:rsid w:val="6FF593C3"/>
    <w:rsid w:val="6FF5ACBC"/>
    <w:rsid w:val="6FF5F996"/>
    <w:rsid w:val="6FF6B959"/>
    <w:rsid w:val="6FF73FB2"/>
    <w:rsid w:val="6FF74C9B"/>
    <w:rsid w:val="6FF7A308"/>
    <w:rsid w:val="6FF7F849"/>
    <w:rsid w:val="6FF9C788"/>
    <w:rsid w:val="6FF9EF6D"/>
    <w:rsid w:val="6FFA8DED"/>
    <w:rsid w:val="6FFB1245"/>
    <w:rsid w:val="6FFB363C"/>
    <w:rsid w:val="6FFBA541"/>
    <w:rsid w:val="6FFBD33E"/>
    <w:rsid w:val="6FFBE54F"/>
    <w:rsid w:val="6FFC6496"/>
    <w:rsid w:val="6FFC7F6C"/>
    <w:rsid w:val="6FFCB04C"/>
    <w:rsid w:val="6FFD01CE"/>
    <w:rsid w:val="6FFD6209"/>
    <w:rsid w:val="6FFD70E6"/>
    <w:rsid w:val="6FFDA437"/>
    <w:rsid w:val="6FFDCFE2"/>
    <w:rsid w:val="6FFE37FF"/>
    <w:rsid w:val="6FFEB989"/>
    <w:rsid w:val="6FFED251"/>
    <w:rsid w:val="6FFF0E44"/>
    <w:rsid w:val="6FFF2686"/>
    <w:rsid w:val="6FFF2690"/>
    <w:rsid w:val="6FFF2D54"/>
    <w:rsid w:val="6FFF4592"/>
    <w:rsid w:val="6FFF4EC1"/>
    <w:rsid w:val="6FFF5623"/>
    <w:rsid w:val="6FFF5A55"/>
    <w:rsid w:val="6FFF6A97"/>
    <w:rsid w:val="6FFFA6A5"/>
    <w:rsid w:val="6FFFAF2E"/>
    <w:rsid w:val="6FFFEAE5"/>
    <w:rsid w:val="707324D0"/>
    <w:rsid w:val="70CF4D92"/>
    <w:rsid w:val="70ECCA07"/>
    <w:rsid w:val="70F559D9"/>
    <w:rsid w:val="70FBE0E2"/>
    <w:rsid w:val="710D6B98"/>
    <w:rsid w:val="711A294B"/>
    <w:rsid w:val="712D08D1"/>
    <w:rsid w:val="713779A1"/>
    <w:rsid w:val="71397286"/>
    <w:rsid w:val="714015EB"/>
    <w:rsid w:val="71744751"/>
    <w:rsid w:val="7178788A"/>
    <w:rsid w:val="717BFD95"/>
    <w:rsid w:val="717F8C89"/>
    <w:rsid w:val="71A326B0"/>
    <w:rsid w:val="71AF05D4"/>
    <w:rsid w:val="71B608C6"/>
    <w:rsid w:val="71BAC5F1"/>
    <w:rsid w:val="71BF65B2"/>
    <w:rsid w:val="71CF37E0"/>
    <w:rsid w:val="71CF41A7"/>
    <w:rsid w:val="71D41AD0"/>
    <w:rsid w:val="71DDF4F2"/>
    <w:rsid w:val="71DF7949"/>
    <w:rsid w:val="71E7F1B9"/>
    <w:rsid w:val="71ED62B2"/>
    <w:rsid w:val="71EF0603"/>
    <w:rsid w:val="71F94F12"/>
    <w:rsid w:val="71FB7933"/>
    <w:rsid w:val="71FD2458"/>
    <w:rsid w:val="71FF8312"/>
    <w:rsid w:val="72005FE5"/>
    <w:rsid w:val="720B05FE"/>
    <w:rsid w:val="72173E88"/>
    <w:rsid w:val="723F5849"/>
    <w:rsid w:val="726A16B0"/>
    <w:rsid w:val="726D830D"/>
    <w:rsid w:val="727356E2"/>
    <w:rsid w:val="727D3153"/>
    <w:rsid w:val="727F7DC5"/>
    <w:rsid w:val="72A5AFA2"/>
    <w:rsid w:val="72AEC371"/>
    <w:rsid w:val="72B61B90"/>
    <w:rsid w:val="72BD9764"/>
    <w:rsid w:val="72BFA0E2"/>
    <w:rsid w:val="72BFA742"/>
    <w:rsid w:val="72DA05E4"/>
    <w:rsid w:val="72DEA110"/>
    <w:rsid w:val="72EF2CB3"/>
    <w:rsid w:val="72F72B5E"/>
    <w:rsid w:val="72FF930A"/>
    <w:rsid w:val="730B69EF"/>
    <w:rsid w:val="731D3251"/>
    <w:rsid w:val="732722E6"/>
    <w:rsid w:val="732FEF13"/>
    <w:rsid w:val="733046A8"/>
    <w:rsid w:val="733E05D0"/>
    <w:rsid w:val="735008A6"/>
    <w:rsid w:val="735A34D3"/>
    <w:rsid w:val="73766957"/>
    <w:rsid w:val="73770A57"/>
    <w:rsid w:val="737A3B75"/>
    <w:rsid w:val="737A5EE9"/>
    <w:rsid w:val="737DFD7C"/>
    <w:rsid w:val="737F4408"/>
    <w:rsid w:val="737FCD87"/>
    <w:rsid w:val="737FE8AE"/>
    <w:rsid w:val="739A36D8"/>
    <w:rsid w:val="73A22006"/>
    <w:rsid w:val="73A27639"/>
    <w:rsid w:val="73A6496A"/>
    <w:rsid w:val="73ABD331"/>
    <w:rsid w:val="73B79500"/>
    <w:rsid w:val="73BC5A9A"/>
    <w:rsid w:val="73BE9A72"/>
    <w:rsid w:val="73BF6944"/>
    <w:rsid w:val="73D56806"/>
    <w:rsid w:val="73DC07CC"/>
    <w:rsid w:val="73DD18F4"/>
    <w:rsid w:val="73E25FC8"/>
    <w:rsid w:val="73E60617"/>
    <w:rsid w:val="73EB6821"/>
    <w:rsid w:val="73EBF533"/>
    <w:rsid w:val="73ED0414"/>
    <w:rsid w:val="73EEC050"/>
    <w:rsid w:val="73EF865A"/>
    <w:rsid w:val="73F17D75"/>
    <w:rsid w:val="73F1E5AA"/>
    <w:rsid w:val="73F3F6EF"/>
    <w:rsid w:val="73F446CE"/>
    <w:rsid w:val="73F718A0"/>
    <w:rsid w:val="73F73977"/>
    <w:rsid w:val="73F75819"/>
    <w:rsid w:val="73FB5609"/>
    <w:rsid w:val="73FB8B76"/>
    <w:rsid w:val="73FBEC96"/>
    <w:rsid w:val="73FC7306"/>
    <w:rsid w:val="73FD6E71"/>
    <w:rsid w:val="73FE50AA"/>
    <w:rsid w:val="73FF0B9D"/>
    <w:rsid w:val="74030900"/>
    <w:rsid w:val="7407365B"/>
    <w:rsid w:val="743203C5"/>
    <w:rsid w:val="743F9F43"/>
    <w:rsid w:val="7455CC0D"/>
    <w:rsid w:val="74582108"/>
    <w:rsid w:val="745C8F11"/>
    <w:rsid w:val="7487654A"/>
    <w:rsid w:val="74987574"/>
    <w:rsid w:val="749E9522"/>
    <w:rsid w:val="749F02E6"/>
    <w:rsid w:val="74A643ED"/>
    <w:rsid w:val="74A74143"/>
    <w:rsid w:val="74BE3251"/>
    <w:rsid w:val="74BE4B55"/>
    <w:rsid w:val="74D61612"/>
    <w:rsid w:val="74DA7505"/>
    <w:rsid w:val="74DBC842"/>
    <w:rsid w:val="74EA5B32"/>
    <w:rsid w:val="74EFFC6E"/>
    <w:rsid w:val="74F92A4C"/>
    <w:rsid w:val="74FE4DDD"/>
    <w:rsid w:val="74FF7CB9"/>
    <w:rsid w:val="75153B55"/>
    <w:rsid w:val="7526EC94"/>
    <w:rsid w:val="753572E7"/>
    <w:rsid w:val="7539E1BF"/>
    <w:rsid w:val="7549026C"/>
    <w:rsid w:val="754E9B11"/>
    <w:rsid w:val="755328D0"/>
    <w:rsid w:val="755F6D38"/>
    <w:rsid w:val="7567F323"/>
    <w:rsid w:val="757D75BB"/>
    <w:rsid w:val="757DFB31"/>
    <w:rsid w:val="75911ACA"/>
    <w:rsid w:val="75947170"/>
    <w:rsid w:val="7599DC72"/>
    <w:rsid w:val="759B3D86"/>
    <w:rsid w:val="759F4324"/>
    <w:rsid w:val="75A57B41"/>
    <w:rsid w:val="75A72541"/>
    <w:rsid w:val="75BA7915"/>
    <w:rsid w:val="75BB458F"/>
    <w:rsid w:val="75BE5AFF"/>
    <w:rsid w:val="75BF498A"/>
    <w:rsid w:val="75BFB650"/>
    <w:rsid w:val="75C38302"/>
    <w:rsid w:val="75C90A12"/>
    <w:rsid w:val="75D70CBE"/>
    <w:rsid w:val="75D72574"/>
    <w:rsid w:val="75D73D7E"/>
    <w:rsid w:val="75DF5F99"/>
    <w:rsid w:val="75DFA588"/>
    <w:rsid w:val="75E43528"/>
    <w:rsid w:val="75E6A5FB"/>
    <w:rsid w:val="75EA17BF"/>
    <w:rsid w:val="75EB5B52"/>
    <w:rsid w:val="75EF187D"/>
    <w:rsid w:val="75EF78FC"/>
    <w:rsid w:val="75EF9BA5"/>
    <w:rsid w:val="75EFD173"/>
    <w:rsid w:val="75EFD1A6"/>
    <w:rsid w:val="75F3D0E0"/>
    <w:rsid w:val="75F529FB"/>
    <w:rsid w:val="75F715E4"/>
    <w:rsid w:val="75F73489"/>
    <w:rsid w:val="75F76746"/>
    <w:rsid w:val="75F84153"/>
    <w:rsid w:val="75F9A5E0"/>
    <w:rsid w:val="75F9C475"/>
    <w:rsid w:val="75FB3C43"/>
    <w:rsid w:val="75FD5563"/>
    <w:rsid w:val="75FDE2DD"/>
    <w:rsid w:val="75FE63C4"/>
    <w:rsid w:val="75FF91B9"/>
    <w:rsid w:val="75FFCB65"/>
    <w:rsid w:val="75FFE935"/>
    <w:rsid w:val="760F39BF"/>
    <w:rsid w:val="761A519B"/>
    <w:rsid w:val="7634625D"/>
    <w:rsid w:val="763C15B6"/>
    <w:rsid w:val="763CD395"/>
    <w:rsid w:val="765FB4EE"/>
    <w:rsid w:val="7669886C"/>
    <w:rsid w:val="767429D2"/>
    <w:rsid w:val="767B20DE"/>
    <w:rsid w:val="767B4918"/>
    <w:rsid w:val="767BEAF0"/>
    <w:rsid w:val="767F041C"/>
    <w:rsid w:val="767F34BD"/>
    <w:rsid w:val="767F4BBE"/>
    <w:rsid w:val="767F8C16"/>
    <w:rsid w:val="76933CA8"/>
    <w:rsid w:val="7697BAC9"/>
    <w:rsid w:val="769DCCE9"/>
    <w:rsid w:val="769FD39C"/>
    <w:rsid w:val="769FF51D"/>
    <w:rsid w:val="76A87948"/>
    <w:rsid w:val="76AFB948"/>
    <w:rsid w:val="76B7E044"/>
    <w:rsid w:val="76BB697E"/>
    <w:rsid w:val="76BDE48A"/>
    <w:rsid w:val="76BE9700"/>
    <w:rsid w:val="76BF4DF4"/>
    <w:rsid w:val="76CE9B5D"/>
    <w:rsid w:val="76CFEE66"/>
    <w:rsid w:val="76D314ED"/>
    <w:rsid w:val="76D32C6D"/>
    <w:rsid w:val="76D41296"/>
    <w:rsid w:val="76D65E8C"/>
    <w:rsid w:val="76D7F2F1"/>
    <w:rsid w:val="76DB61DE"/>
    <w:rsid w:val="76DC021C"/>
    <w:rsid w:val="76E2ECEA"/>
    <w:rsid w:val="76E3C68A"/>
    <w:rsid w:val="76E76BAD"/>
    <w:rsid w:val="76E9D47F"/>
    <w:rsid w:val="76EB08E1"/>
    <w:rsid w:val="76EDF1E0"/>
    <w:rsid w:val="76EE2042"/>
    <w:rsid w:val="76EEE2D0"/>
    <w:rsid w:val="76EF2B72"/>
    <w:rsid w:val="76EF3CFD"/>
    <w:rsid w:val="76F125E1"/>
    <w:rsid w:val="76F5D270"/>
    <w:rsid w:val="76F87D42"/>
    <w:rsid w:val="76FB932C"/>
    <w:rsid w:val="76FC26E6"/>
    <w:rsid w:val="76FCD297"/>
    <w:rsid w:val="76FD3493"/>
    <w:rsid w:val="76FD8503"/>
    <w:rsid w:val="76FD8D50"/>
    <w:rsid w:val="76FEA963"/>
    <w:rsid w:val="76FF79E6"/>
    <w:rsid w:val="76FF860F"/>
    <w:rsid w:val="76FFB84D"/>
    <w:rsid w:val="76FFD61F"/>
    <w:rsid w:val="76FFEDDB"/>
    <w:rsid w:val="77090F11"/>
    <w:rsid w:val="771A12BC"/>
    <w:rsid w:val="771E521C"/>
    <w:rsid w:val="771F385E"/>
    <w:rsid w:val="77212C85"/>
    <w:rsid w:val="772E9E2F"/>
    <w:rsid w:val="772FFDD4"/>
    <w:rsid w:val="773AD03B"/>
    <w:rsid w:val="773D5F99"/>
    <w:rsid w:val="773EC924"/>
    <w:rsid w:val="773F48E8"/>
    <w:rsid w:val="773FF430"/>
    <w:rsid w:val="774150D6"/>
    <w:rsid w:val="77532353"/>
    <w:rsid w:val="775A2621"/>
    <w:rsid w:val="775A28C0"/>
    <w:rsid w:val="775A7227"/>
    <w:rsid w:val="775AB14F"/>
    <w:rsid w:val="775F3774"/>
    <w:rsid w:val="775FAAA9"/>
    <w:rsid w:val="775FEB2A"/>
    <w:rsid w:val="7765B0D9"/>
    <w:rsid w:val="7765B41C"/>
    <w:rsid w:val="776DAE35"/>
    <w:rsid w:val="776DD3D6"/>
    <w:rsid w:val="776FF0E1"/>
    <w:rsid w:val="7772BCAB"/>
    <w:rsid w:val="7774E472"/>
    <w:rsid w:val="7775BCF2"/>
    <w:rsid w:val="777898F8"/>
    <w:rsid w:val="777A3FE6"/>
    <w:rsid w:val="777AC94C"/>
    <w:rsid w:val="777BF231"/>
    <w:rsid w:val="777D0E00"/>
    <w:rsid w:val="777D215C"/>
    <w:rsid w:val="777DB491"/>
    <w:rsid w:val="777DE0F2"/>
    <w:rsid w:val="778B74A0"/>
    <w:rsid w:val="778D41A9"/>
    <w:rsid w:val="77916AA0"/>
    <w:rsid w:val="7796F64D"/>
    <w:rsid w:val="7797F6E5"/>
    <w:rsid w:val="779DCC5C"/>
    <w:rsid w:val="779E8DCB"/>
    <w:rsid w:val="779F9B4B"/>
    <w:rsid w:val="779FC696"/>
    <w:rsid w:val="77A3FE85"/>
    <w:rsid w:val="77A51471"/>
    <w:rsid w:val="77AF27F0"/>
    <w:rsid w:val="77AF2DF3"/>
    <w:rsid w:val="77AF34B8"/>
    <w:rsid w:val="77BAB191"/>
    <w:rsid w:val="77BABEF8"/>
    <w:rsid w:val="77BB1045"/>
    <w:rsid w:val="77BB8B5E"/>
    <w:rsid w:val="77BBB3E2"/>
    <w:rsid w:val="77BC65FA"/>
    <w:rsid w:val="77BCC87F"/>
    <w:rsid w:val="77BE5A8C"/>
    <w:rsid w:val="77BE7736"/>
    <w:rsid w:val="77BEFDAB"/>
    <w:rsid w:val="77BF2128"/>
    <w:rsid w:val="77BF39EA"/>
    <w:rsid w:val="77BF56D1"/>
    <w:rsid w:val="77BF8BC9"/>
    <w:rsid w:val="77BFAA09"/>
    <w:rsid w:val="77BFB8BA"/>
    <w:rsid w:val="77C75492"/>
    <w:rsid w:val="77CB3858"/>
    <w:rsid w:val="77CC9738"/>
    <w:rsid w:val="77CF3789"/>
    <w:rsid w:val="77D331A8"/>
    <w:rsid w:val="77D7098D"/>
    <w:rsid w:val="77DB89DD"/>
    <w:rsid w:val="77DBA430"/>
    <w:rsid w:val="77DD49E5"/>
    <w:rsid w:val="77DDFF6E"/>
    <w:rsid w:val="77DE3D3E"/>
    <w:rsid w:val="77DE4DD0"/>
    <w:rsid w:val="77DF087D"/>
    <w:rsid w:val="77DF865A"/>
    <w:rsid w:val="77DF92E1"/>
    <w:rsid w:val="77DF9316"/>
    <w:rsid w:val="77DFAF13"/>
    <w:rsid w:val="77DFB9E5"/>
    <w:rsid w:val="77DFDEDB"/>
    <w:rsid w:val="77DFF219"/>
    <w:rsid w:val="77DFFD7C"/>
    <w:rsid w:val="77E63599"/>
    <w:rsid w:val="77E63F11"/>
    <w:rsid w:val="77E73D5C"/>
    <w:rsid w:val="77E75B14"/>
    <w:rsid w:val="77E7FDD5"/>
    <w:rsid w:val="77EAA1C9"/>
    <w:rsid w:val="77EB2CB7"/>
    <w:rsid w:val="77EBD605"/>
    <w:rsid w:val="77ED2727"/>
    <w:rsid w:val="77ED8BCC"/>
    <w:rsid w:val="77EE8F7E"/>
    <w:rsid w:val="77EF06E1"/>
    <w:rsid w:val="77EF2529"/>
    <w:rsid w:val="77EF3709"/>
    <w:rsid w:val="77EF89E0"/>
    <w:rsid w:val="77EFB78B"/>
    <w:rsid w:val="77F2CFC8"/>
    <w:rsid w:val="77F3FF55"/>
    <w:rsid w:val="77F57B2C"/>
    <w:rsid w:val="77F58020"/>
    <w:rsid w:val="77F62211"/>
    <w:rsid w:val="77F69502"/>
    <w:rsid w:val="77F74E8B"/>
    <w:rsid w:val="77F7AF76"/>
    <w:rsid w:val="77F7E72D"/>
    <w:rsid w:val="77F7F741"/>
    <w:rsid w:val="77F82BAA"/>
    <w:rsid w:val="77F90ECF"/>
    <w:rsid w:val="77F9DFD5"/>
    <w:rsid w:val="77FA9012"/>
    <w:rsid w:val="77FB0CCA"/>
    <w:rsid w:val="77FB4CF9"/>
    <w:rsid w:val="77FB6B90"/>
    <w:rsid w:val="77FC3683"/>
    <w:rsid w:val="77FD0783"/>
    <w:rsid w:val="77FD0C50"/>
    <w:rsid w:val="77FD0E86"/>
    <w:rsid w:val="77FD49C5"/>
    <w:rsid w:val="77FD5501"/>
    <w:rsid w:val="77FD6E54"/>
    <w:rsid w:val="77FD9ED1"/>
    <w:rsid w:val="77FDA834"/>
    <w:rsid w:val="77FDB1A4"/>
    <w:rsid w:val="77FE0BD1"/>
    <w:rsid w:val="77FE15BA"/>
    <w:rsid w:val="77FE782D"/>
    <w:rsid w:val="77FE784E"/>
    <w:rsid w:val="77FEA667"/>
    <w:rsid w:val="77FEB3E9"/>
    <w:rsid w:val="77FEC0A7"/>
    <w:rsid w:val="77FEF283"/>
    <w:rsid w:val="77FF04DD"/>
    <w:rsid w:val="77FF1A26"/>
    <w:rsid w:val="77FF2A88"/>
    <w:rsid w:val="77FF2B28"/>
    <w:rsid w:val="77FF3F3C"/>
    <w:rsid w:val="77FF48C4"/>
    <w:rsid w:val="77FF5E1A"/>
    <w:rsid w:val="77FF78B5"/>
    <w:rsid w:val="77FF9472"/>
    <w:rsid w:val="77FFC7F3"/>
    <w:rsid w:val="77FFC97D"/>
    <w:rsid w:val="77FFD0D0"/>
    <w:rsid w:val="77FFE053"/>
    <w:rsid w:val="77FFEFA3"/>
    <w:rsid w:val="78054355"/>
    <w:rsid w:val="781400F4"/>
    <w:rsid w:val="78152E10"/>
    <w:rsid w:val="78177BE5"/>
    <w:rsid w:val="781C169F"/>
    <w:rsid w:val="7825BF0A"/>
    <w:rsid w:val="783D5C03"/>
    <w:rsid w:val="784DA80E"/>
    <w:rsid w:val="784F241D"/>
    <w:rsid w:val="7855070D"/>
    <w:rsid w:val="785C5F2C"/>
    <w:rsid w:val="785FA5C0"/>
    <w:rsid w:val="78972AD3"/>
    <w:rsid w:val="78CAF19E"/>
    <w:rsid w:val="78F4869B"/>
    <w:rsid w:val="78F7FDBC"/>
    <w:rsid w:val="78FE4C2F"/>
    <w:rsid w:val="78FF19F8"/>
    <w:rsid w:val="79171AD2"/>
    <w:rsid w:val="79297BCF"/>
    <w:rsid w:val="793A002E"/>
    <w:rsid w:val="79404F19"/>
    <w:rsid w:val="795F6CF0"/>
    <w:rsid w:val="796D2B04"/>
    <w:rsid w:val="797756E8"/>
    <w:rsid w:val="797A48CF"/>
    <w:rsid w:val="797CDCAB"/>
    <w:rsid w:val="797D0034"/>
    <w:rsid w:val="797D4A99"/>
    <w:rsid w:val="797F6FF2"/>
    <w:rsid w:val="797FB98D"/>
    <w:rsid w:val="797FD85A"/>
    <w:rsid w:val="797FFE2C"/>
    <w:rsid w:val="79892621"/>
    <w:rsid w:val="799B077A"/>
    <w:rsid w:val="799F6FBB"/>
    <w:rsid w:val="799F7A6F"/>
    <w:rsid w:val="79AD021C"/>
    <w:rsid w:val="79AF121E"/>
    <w:rsid w:val="79B53D6B"/>
    <w:rsid w:val="79B58ADD"/>
    <w:rsid w:val="79BBF48A"/>
    <w:rsid w:val="79BF2D6C"/>
    <w:rsid w:val="79BF40F9"/>
    <w:rsid w:val="79C27653"/>
    <w:rsid w:val="79D55ECD"/>
    <w:rsid w:val="79DFB856"/>
    <w:rsid w:val="79E781F2"/>
    <w:rsid w:val="79E9D10F"/>
    <w:rsid w:val="79EB64C8"/>
    <w:rsid w:val="79ED4ED6"/>
    <w:rsid w:val="79EE34F7"/>
    <w:rsid w:val="79EED582"/>
    <w:rsid w:val="79EF9634"/>
    <w:rsid w:val="79EFF4F3"/>
    <w:rsid w:val="79F54583"/>
    <w:rsid w:val="79F7657A"/>
    <w:rsid w:val="79F7E4C5"/>
    <w:rsid w:val="79F88FE2"/>
    <w:rsid w:val="79FACC1E"/>
    <w:rsid w:val="79FBF0BA"/>
    <w:rsid w:val="79FCB0FD"/>
    <w:rsid w:val="79FD8118"/>
    <w:rsid w:val="79FE3D03"/>
    <w:rsid w:val="79FE569E"/>
    <w:rsid w:val="79FED630"/>
    <w:rsid w:val="79FEF6DD"/>
    <w:rsid w:val="79FF427E"/>
    <w:rsid w:val="79FF54CC"/>
    <w:rsid w:val="79FF6252"/>
    <w:rsid w:val="79FFA06F"/>
    <w:rsid w:val="79FFF4AF"/>
    <w:rsid w:val="7A294A79"/>
    <w:rsid w:val="7A3C294E"/>
    <w:rsid w:val="7A3F63CD"/>
    <w:rsid w:val="7A5B6465"/>
    <w:rsid w:val="7A5F41D3"/>
    <w:rsid w:val="7A6341E7"/>
    <w:rsid w:val="7A7DBC9C"/>
    <w:rsid w:val="7A7F0EE5"/>
    <w:rsid w:val="7A7F7626"/>
    <w:rsid w:val="7A7FC440"/>
    <w:rsid w:val="7A813A3B"/>
    <w:rsid w:val="7A9F5A5E"/>
    <w:rsid w:val="7AABB478"/>
    <w:rsid w:val="7AAD00AF"/>
    <w:rsid w:val="7AAD7D52"/>
    <w:rsid w:val="7AB30E85"/>
    <w:rsid w:val="7AB74BC0"/>
    <w:rsid w:val="7AB802E5"/>
    <w:rsid w:val="7ABA0C16"/>
    <w:rsid w:val="7ABD3F90"/>
    <w:rsid w:val="7ABF021C"/>
    <w:rsid w:val="7ABF92E7"/>
    <w:rsid w:val="7AC7E597"/>
    <w:rsid w:val="7ACCAFB9"/>
    <w:rsid w:val="7AD0C530"/>
    <w:rsid w:val="7AD56FAC"/>
    <w:rsid w:val="7AD6224B"/>
    <w:rsid w:val="7ADA1283"/>
    <w:rsid w:val="7ADA9973"/>
    <w:rsid w:val="7ADB926A"/>
    <w:rsid w:val="7ADE40E9"/>
    <w:rsid w:val="7ADE4F43"/>
    <w:rsid w:val="7AE75C33"/>
    <w:rsid w:val="7AE799C5"/>
    <w:rsid w:val="7AEBBD74"/>
    <w:rsid w:val="7AEEA8D7"/>
    <w:rsid w:val="7AEF8764"/>
    <w:rsid w:val="7AF561F4"/>
    <w:rsid w:val="7AF64EB6"/>
    <w:rsid w:val="7AF7139F"/>
    <w:rsid w:val="7AFB0DEA"/>
    <w:rsid w:val="7AFB996F"/>
    <w:rsid w:val="7AFBE5AF"/>
    <w:rsid w:val="7AFBF933"/>
    <w:rsid w:val="7AFDF1CC"/>
    <w:rsid w:val="7AFEDC5F"/>
    <w:rsid w:val="7AFFBABC"/>
    <w:rsid w:val="7AFFF010"/>
    <w:rsid w:val="7AFFFD8A"/>
    <w:rsid w:val="7B1D13EA"/>
    <w:rsid w:val="7B1E02ED"/>
    <w:rsid w:val="7B1F13A0"/>
    <w:rsid w:val="7B1F35E4"/>
    <w:rsid w:val="7B28DE99"/>
    <w:rsid w:val="7B2E490A"/>
    <w:rsid w:val="7B2EB6C0"/>
    <w:rsid w:val="7B34F827"/>
    <w:rsid w:val="7B3755CF"/>
    <w:rsid w:val="7B3AC28D"/>
    <w:rsid w:val="7B3BC5B6"/>
    <w:rsid w:val="7B3BD6CB"/>
    <w:rsid w:val="7B3F80C0"/>
    <w:rsid w:val="7B3F9FA9"/>
    <w:rsid w:val="7B3FC4A5"/>
    <w:rsid w:val="7B4573EC"/>
    <w:rsid w:val="7B4713AD"/>
    <w:rsid w:val="7B4F319C"/>
    <w:rsid w:val="7B4F5A62"/>
    <w:rsid w:val="7B51818C"/>
    <w:rsid w:val="7B53F589"/>
    <w:rsid w:val="7B5B4EFF"/>
    <w:rsid w:val="7B5BEE35"/>
    <w:rsid w:val="7B5F3B5C"/>
    <w:rsid w:val="7B5F7176"/>
    <w:rsid w:val="7B5FEBF4"/>
    <w:rsid w:val="7B62AFA0"/>
    <w:rsid w:val="7B6BA2D2"/>
    <w:rsid w:val="7B6F6B89"/>
    <w:rsid w:val="7B73068D"/>
    <w:rsid w:val="7B74A2E9"/>
    <w:rsid w:val="7B75D5B7"/>
    <w:rsid w:val="7B77586D"/>
    <w:rsid w:val="7B776184"/>
    <w:rsid w:val="7B77D221"/>
    <w:rsid w:val="7B795CD8"/>
    <w:rsid w:val="7B7BA3D2"/>
    <w:rsid w:val="7B7BFCE2"/>
    <w:rsid w:val="7B7D75A8"/>
    <w:rsid w:val="7B7DB787"/>
    <w:rsid w:val="7B7DF28A"/>
    <w:rsid w:val="7B7E2F3C"/>
    <w:rsid w:val="7B7E64F8"/>
    <w:rsid w:val="7B7E6FA8"/>
    <w:rsid w:val="7B7F1818"/>
    <w:rsid w:val="7B7F466A"/>
    <w:rsid w:val="7B7F8D94"/>
    <w:rsid w:val="7B7F9A0A"/>
    <w:rsid w:val="7B7FA4CD"/>
    <w:rsid w:val="7B7FC38F"/>
    <w:rsid w:val="7B876B03"/>
    <w:rsid w:val="7B8D40D2"/>
    <w:rsid w:val="7B95A80A"/>
    <w:rsid w:val="7B97B8E5"/>
    <w:rsid w:val="7B9A1258"/>
    <w:rsid w:val="7B9A7505"/>
    <w:rsid w:val="7B9FE239"/>
    <w:rsid w:val="7B9FF5F1"/>
    <w:rsid w:val="7BA738EC"/>
    <w:rsid w:val="7BA7A84F"/>
    <w:rsid w:val="7BA7E398"/>
    <w:rsid w:val="7BA93211"/>
    <w:rsid w:val="7BA9806C"/>
    <w:rsid w:val="7BAB4FE9"/>
    <w:rsid w:val="7BAD044F"/>
    <w:rsid w:val="7BB17434"/>
    <w:rsid w:val="7BB25230"/>
    <w:rsid w:val="7BB5276B"/>
    <w:rsid w:val="7BB66344"/>
    <w:rsid w:val="7BB70525"/>
    <w:rsid w:val="7BBA2758"/>
    <w:rsid w:val="7BBBFA50"/>
    <w:rsid w:val="7BBC3014"/>
    <w:rsid w:val="7BBCCD4A"/>
    <w:rsid w:val="7BBD031C"/>
    <w:rsid w:val="7BBD5AB6"/>
    <w:rsid w:val="7BBDB612"/>
    <w:rsid w:val="7BBDB9C9"/>
    <w:rsid w:val="7BBDDA0B"/>
    <w:rsid w:val="7BBDF235"/>
    <w:rsid w:val="7BBE0480"/>
    <w:rsid w:val="7BBE580B"/>
    <w:rsid w:val="7BBEE82A"/>
    <w:rsid w:val="7BBF4CD5"/>
    <w:rsid w:val="7BC683FE"/>
    <w:rsid w:val="7BC7FD52"/>
    <w:rsid w:val="7BCA6C58"/>
    <w:rsid w:val="7BCB2469"/>
    <w:rsid w:val="7BCBC6A3"/>
    <w:rsid w:val="7BCC6BDB"/>
    <w:rsid w:val="7BCC7AE0"/>
    <w:rsid w:val="7BD38F88"/>
    <w:rsid w:val="7BD725ED"/>
    <w:rsid w:val="7BD7CA8B"/>
    <w:rsid w:val="7BDD6984"/>
    <w:rsid w:val="7BDEBDE9"/>
    <w:rsid w:val="7BDF0448"/>
    <w:rsid w:val="7BDF1DFE"/>
    <w:rsid w:val="7BDF2A0B"/>
    <w:rsid w:val="7BDF46BF"/>
    <w:rsid w:val="7BDF607F"/>
    <w:rsid w:val="7BDFB892"/>
    <w:rsid w:val="7BDFD9CA"/>
    <w:rsid w:val="7BDFFE58"/>
    <w:rsid w:val="7BE3334D"/>
    <w:rsid w:val="7BE6194C"/>
    <w:rsid w:val="7BE679F4"/>
    <w:rsid w:val="7BE74D5A"/>
    <w:rsid w:val="7BE8ACFD"/>
    <w:rsid w:val="7BEA92F6"/>
    <w:rsid w:val="7BECA87F"/>
    <w:rsid w:val="7BED08C3"/>
    <w:rsid w:val="7BED354E"/>
    <w:rsid w:val="7BEE03B4"/>
    <w:rsid w:val="7BEE0784"/>
    <w:rsid w:val="7BEE5100"/>
    <w:rsid w:val="7BEEAB63"/>
    <w:rsid w:val="7BEF863D"/>
    <w:rsid w:val="7BEFB3FB"/>
    <w:rsid w:val="7BEFF55F"/>
    <w:rsid w:val="7BF26074"/>
    <w:rsid w:val="7BF37904"/>
    <w:rsid w:val="7BF512CE"/>
    <w:rsid w:val="7BF552CE"/>
    <w:rsid w:val="7BF56622"/>
    <w:rsid w:val="7BF6167F"/>
    <w:rsid w:val="7BF66C24"/>
    <w:rsid w:val="7BF6DD36"/>
    <w:rsid w:val="7BF726A7"/>
    <w:rsid w:val="7BF75F59"/>
    <w:rsid w:val="7BF7A38D"/>
    <w:rsid w:val="7BF7F4CC"/>
    <w:rsid w:val="7BF88150"/>
    <w:rsid w:val="7BF9EDDE"/>
    <w:rsid w:val="7BFB21D1"/>
    <w:rsid w:val="7BFB999D"/>
    <w:rsid w:val="7BFB9DB9"/>
    <w:rsid w:val="7BFBF206"/>
    <w:rsid w:val="7BFC0DCF"/>
    <w:rsid w:val="7BFC64A8"/>
    <w:rsid w:val="7BFC6AC4"/>
    <w:rsid w:val="7BFC9D23"/>
    <w:rsid w:val="7BFC9E61"/>
    <w:rsid w:val="7BFCAF7B"/>
    <w:rsid w:val="7BFCDBB8"/>
    <w:rsid w:val="7BFD2918"/>
    <w:rsid w:val="7BFD53C2"/>
    <w:rsid w:val="7BFD85EA"/>
    <w:rsid w:val="7BFDC0C6"/>
    <w:rsid w:val="7BFE06DF"/>
    <w:rsid w:val="7BFE6678"/>
    <w:rsid w:val="7BFEBCBF"/>
    <w:rsid w:val="7BFEE868"/>
    <w:rsid w:val="7BFF02F6"/>
    <w:rsid w:val="7BFF1240"/>
    <w:rsid w:val="7BFF38C6"/>
    <w:rsid w:val="7BFF3CEC"/>
    <w:rsid w:val="7BFF469A"/>
    <w:rsid w:val="7BFF5EF7"/>
    <w:rsid w:val="7BFF79A1"/>
    <w:rsid w:val="7BFFA3A7"/>
    <w:rsid w:val="7BFFABC0"/>
    <w:rsid w:val="7BFFC066"/>
    <w:rsid w:val="7BFFC269"/>
    <w:rsid w:val="7BFFC488"/>
    <w:rsid w:val="7BFFE9D4"/>
    <w:rsid w:val="7BFFFD8A"/>
    <w:rsid w:val="7C18217D"/>
    <w:rsid w:val="7C183F2B"/>
    <w:rsid w:val="7C2F5E44"/>
    <w:rsid w:val="7C30396B"/>
    <w:rsid w:val="7C3538F9"/>
    <w:rsid w:val="7C3F760E"/>
    <w:rsid w:val="7C55FEE1"/>
    <w:rsid w:val="7C5961D0"/>
    <w:rsid w:val="7C5F3B91"/>
    <w:rsid w:val="7C653614"/>
    <w:rsid w:val="7C676D96"/>
    <w:rsid w:val="7C6B105F"/>
    <w:rsid w:val="7C705C30"/>
    <w:rsid w:val="7C7728ED"/>
    <w:rsid w:val="7C7E46D6"/>
    <w:rsid w:val="7C8EBED5"/>
    <w:rsid w:val="7C9D0775"/>
    <w:rsid w:val="7CA57EB5"/>
    <w:rsid w:val="7CAD602E"/>
    <w:rsid w:val="7CAFA0B1"/>
    <w:rsid w:val="7CB1617C"/>
    <w:rsid w:val="7CB35A53"/>
    <w:rsid w:val="7CB994B6"/>
    <w:rsid w:val="7CBC0C00"/>
    <w:rsid w:val="7CBC3172"/>
    <w:rsid w:val="7CBF3624"/>
    <w:rsid w:val="7CBF6C49"/>
    <w:rsid w:val="7CC3CF47"/>
    <w:rsid w:val="7CC745DA"/>
    <w:rsid w:val="7CC907EA"/>
    <w:rsid w:val="7CCEFD86"/>
    <w:rsid w:val="7CCFD7F8"/>
    <w:rsid w:val="7CCFF652"/>
    <w:rsid w:val="7CCFFA99"/>
    <w:rsid w:val="7CD1B54E"/>
    <w:rsid w:val="7CD5B2B2"/>
    <w:rsid w:val="7CDE8AA6"/>
    <w:rsid w:val="7CDF5129"/>
    <w:rsid w:val="7CDFF7A8"/>
    <w:rsid w:val="7CE48EC1"/>
    <w:rsid w:val="7CE6AC86"/>
    <w:rsid w:val="7CE70E02"/>
    <w:rsid w:val="7CE8E5D0"/>
    <w:rsid w:val="7CECA96C"/>
    <w:rsid w:val="7CEE651E"/>
    <w:rsid w:val="7CEFAAEC"/>
    <w:rsid w:val="7CEFC1A2"/>
    <w:rsid w:val="7CEFE500"/>
    <w:rsid w:val="7CF02881"/>
    <w:rsid w:val="7CF16C56"/>
    <w:rsid w:val="7CF28A81"/>
    <w:rsid w:val="7CF32B40"/>
    <w:rsid w:val="7CF3F5AE"/>
    <w:rsid w:val="7CF622BC"/>
    <w:rsid w:val="7CF6A6D8"/>
    <w:rsid w:val="7CF6AE81"/>
    <w:rsid w:val="7CF90278"/>
    <w:rsid w:val="7CFACC52"/>
    <w:rsid w:val="7CFB3C54"/>
    <w:rsid w:val="7CFD76A2"/>
    <w:rsid w:val="7CFD8BA5"/>
    <w:rsid w:val="7CFE05E3"/>
    <w:rsid w:val="7CFE848F"/>
    <w:rsid w:val="7CFEEB52"/>
    <w:rsid w:val="7CFEF6AC"/>
    <w:rsid w:val="7CFF5B77"/>
    <w:rsid w:val="7CFF74AA"/>
    <w:rsid w:val="7CFFA424"/>
    <w:rsid w:val="7CFFAE71"/>
    <w:rsid w:val="7CFFC3CC"/>
    <w:rsid w:val="7D050953"/>
    <w:rsid w:val="7D1DE395"/>
    <w:rsid w:val="7D1E648A"/>
    <w:rsid w:val="7D2C3247"/>
    <w:rsid w:val="7D2D5FCF"/>
    <w:rsid w:val="7D2DC3AA"/>
    <w:rsid w:val="7D2F2ED0"/>
    <w:rsid w:val="7D2F763E"/>
    <w:rsid w:val="7D2FA861"/>
    <w:rsid w:val="7D3FB185"/>
    <w:rsid w:val="7D3FDF21"/>
    <w:rsid w:val="7D405DE6"/>
    <w:rsid w:val="7D4BB5E6"/>
    <w:rsid w:val="7D4FFFB5"/>
    <w:rsid w:val="7D51AF22"/>
    <w:rsid w:val="7D5B0573"/>
    <w:rsid w:val="7D5BCCB3"/>
    <w:rsid w:val="7D5F1D4E"/>
    <w:rsid w:val="7D5FB23C"/>
    <w:rsid w:val="7D5FE50C"/>
    <w:rsid w:val="7D69A106"/>
    <w:rsid w:val="7D6E006B"/>
    <w:rsid w:val="7D6F2EAB"/>
    <w:rsid w:val="7D6F6918"/>
    <w:rsid w:val="7D6FA021"/>
    <w:rsid w:val="7D75E8B7"/>
    <w:rsid w:val="7D77336F"/>
    <w:rsid w:val="7D77AD49"/>
    <w:rsid w:val="7D78132B"/>
    <w:rsid w:val="7D7858EB"/>
    <w:rsid w:val="7D79FA85"/>
    <w:rsid w:val="7D7B0AAA"/>
    <w:rsid w:val="7D7E52E0"/>
    <w:rsid w:val="7D7ECCC0"/>
    <w:rsid w:val="7D7F0810"/>
    <w:rsid w:val="7D7F14EF"/>
    <w:rsid w:val="7D7F2CD5"/>
    <w:rsid w:val="7D7F3B31"/>
    <w:rsid w:val="7D7F43C8"/>
    <w:rsid w:val="7D7F4591"/>
    <w:rsid w:val="7D7F4FDD"/>
    <w:rsid w:val="7D7F8C19"/>
    <w:rsid w:val="7D7FC462"/>
    <w:rsid w:val="7D7FE910"/>
    <w:rsid w:val="7D8BBB8E"/>
    <w:rsid w:val="7D8FC23C"/>
    <w:rsid w:val="7D9244D9"/>
    <w:rsid w:val="7D9A5540"/>
    <w:rsid w:val="7D9AD952"/>
    <w:rsid w:val="7D9F3610"/>
    <w:rsid w:val="7D9F4256"/>
    <w:rsid w:val="7D9FE83F"/>
    <w:rsid w:val="7DA96F45"/>
    <w:rsid w:val="7DAB769F"/>
    <w:rsid w:val="7DAE86C4"/>
    <w:rsid w:val="7DAFB66D"/>
    <w:rsid w:val="7DAFC021"/>
    <w:rsid w:val="7DAFEFB3"/>
    <w:rsid w:val="7DB57CF5"/>
    <w:rsid w:val="7DB689C0"/>
    <w:rsid w:val="7DB76912"/>
    <w:rsid w:val="7DB7862B"/>
    <w:rsid w:val="7DB793CB"/>
    <w:rsid w:val="7DB8E901"/>
    <w:rsid w:val="7DB9D284"/>
    <w:rsid w:val="7DBA2076"/>
    <w:rsid w:val="7DBBB1B5"/>
    <w:rsid w:val="7DBBB557"/>
    <w:rsid w:val="7DBC06FD"/>
    <w:rsid w:val="7DBD0596"/>
    <w:rsid w:val="7DBD5504"/>
    <w:rsid w:val="7DBD591F"/>
    <w:rsid w:val="7DBD86DA"/>
    <w:rsid w:val="7DBDB282"/>
    <w:rsid w:val="7DBEA3E9"/>
    <w:rsid w:val="7DBEEA4F"/>
    <w:rsid w:val="7DBFC76E"/>
    <w:rsid w:val="7DBFDFE4"/>
    <w:rsid w:val="7DBFEB13"/>
    <w:rsid w:val="7DBFEB7F"/>
    <w:rsid w:val="7DBFFFAA"/>
    <w:rsid w:val="7DC36254"/>
    <w:rsid w:val="7DCF3BE8"/>
    <w:rsid w:val="7DD35C1E"/>
    <w:rsid w:val="7DDB8B94"/>
    <w:rsid w:val="7DDBF18C"/>
    <w:rsid w:val="7DDC2ACA"/>
    <w:rsid w:val="7DDDFA3E"/>
    <w:rsid w:val="7DDE1262"/>
    <w:rsid w:val="7DDE676D"/>
    <w:rsid w:val="7DDEFA93"/>
    <w:rsid w:val="7DDF08CF"/>
    <w:rsid w:val="7DDF2805"/>
    <w:rsid w:val="7DDF4E5D"/>
    <w:rsid w:val="7DDFA81D"/>
    <w:rsid w:val="7DDFB815"/>
    <w:rsid w:val="7DDFE02D"/>
    <w:rsid w:val="7DDFF7F0"/>
    <w:rsid w:val="7DE3D7B7"/>
    <w:rsid w:val="7DE64949"/>
    <w:rsid w:val="7DE76581"/>
    <w:rsid w:val="7DE7B998"/>
    <w:rsid w:val="7DE95B7F"/>
    <w:rsid w:val="7DEB259C"/>
    <w:rsid w:val="7DED9784"/>
    <w:rsid w:val="7DEE691D"/>
    <w:rsid w:val="7DEED7D2"/>
    <w:rsid w:val="7DEEF590"/>
    <w:rsid w:val="7DF1C985"/>
    <w:rsid w:val="7DF2D9F8"/>
    <w:rsid w:val="7DF35D13"/>
    <w:rsid w:val="7DF376A9"/>
    <w:rsid w:val="7DF50DAC"/>
    <w:rsid w:val="7DF5AC0C"/>
    <w:rsid w:val="7DF6574F"/>
    <w:rsid w:val="7DF756C2"/>
    <w:rsid w:val="7DF78C99"/>
    <w:rsid w:val="7DF7D746"/>
    <w:rsid w:val="7DF8B927"/>
    <w:rsid w:val="7DF91B26"/>
    <w:rsid w:val="7DF96632"/>
    <w:rsid w:val="7DFA5FDE"/>
    <w:rsid w:val="7DFA9908"/>
    <w:rsid w:val="7DFAE3AF"/>
    <w:rsid w:val="7DFAE7F2"/>
    <w:rsid w:val="7DFAEA63"/>
    <w:rsid w:val="7DFB0525"/>
    <w:rsid w:val="7DFB2B7D"/>
    <w:rsid w:val="7DFB3825"/>
    <w:rsid w:val="7DFB3C44"/>
    <w:rsid w:val="7DFB8FC7"/>
    <w:rsid w:val="7DFB9D3F"/>
    <w:rsid w:val="7DFCB06D"/>
    <w:rsid w:val="7DFD104B"/>
    <w:rsid w:val="7DFD2D97"/>
    <w:rsid w:val="7DFDDB2B"/>
    <w:rsid w:val="7DFE216A"/>
    <w:rsid w:val="7DFE24A6"/>
    <w:rsid w:val="7DFE3713"/>
    <w:rsid w:val="7DFE5A4F"/>
    <w:rsid w:val="7DFE8A5C"/>
    <w:rsid w:val="7DFE989A"/>
    <w:rsid w:val="7DFE9A64"/>
    <w:rsid w:val="7DFEE3A7"/>
    <w:rsid w:val="7DFF196F"/>
    <w:rsid w:val="7DFF1DB9"/>
    <w:rsid w:val="7DFF33A6"/>
    <w:rsid w:val="7DFF3F89"/>
    <w:rsid w:val="7DFF40FC"/>
    <w:rsid w:val="7DFF412F"/>
    <w:rsid w:val="7DFF5C5C"/>
    <w:rsid w:val="7DFF8796"/>
    <w:rsid w:val="7DFF8B70"/>
    <w:rsid w:val="7DFF9CE2"/>
    <w:rsid w:val="7DFFA614"/>
    <w:rsid w:val="7DFFAC5F"/>
    <w:rsid w:val="7DFFD093"/>
    <w:rsid w:val="7DFFEAB3"/>
    <w:rsid w:val="7DFFEB33"/>
    <w:rsid w:val="7DFFF17E"/>
    <w:rsid w:val="7DFFF237"/>
    <w:rsid w:val="7E0B0157"/>
    <w:rsid w:val="7E0E1A8A"/>
    <w:rsid w:val="7E16A6BA"/>
    <w:rsid w:val="7E1F8D78"/>
    <w:rsid w:val="7E2E6DCD"/>
    <w:rsid w:val="7E2F1272"/>
    <w:rsid w:val="7E2F5F2E"/>
    <w:rsid w:val="7E37C49E"/>
    <w:rsid w:val="7E3B59AA"/>
    <w:rsid w:val="7E3E76C2"/>
    <w:rsid w:val="7E3FF0D1"/>
    <w:rsid w:val="7E451189"/>
    <w:rsid w:val="7E57EAEB"/>
    <w:rsid w:val="7E5BD921"/>
    <w:rsid w:val="7E5E656D"/>
    <w:rsid w:val="7E5F4D48"/>
    <w:rsid w:val="7E5FB8B0"/>
    <w:rsid w:val="7E62CB0C"/>
    <w:rsid w:val="7E63D791"/>
    <w:rsid w:val="7E6B46CD"/>
    <w:rsid w:val="7E6F3E5A"/>
    <w:rsid w:val="7E6F44CC"/>
    <w:rsid w:val="7E6F62A1"/>
    <w:rsid w:val="7E744682"/>
    <w:rsid w:val="7E756B99"/>
    <w:rsid w:val="7E7635D1"/>
    <w:rsid w:val="7E766AE7"/>
    <w:rsid w:val="7E776587"/>
    <w:rsid w:val="7E78A701"/>
    <w:rsid w:val="7E7954C8"/>
    <w:rsid w:val="7E7C009B"/>
    <w:rsid w:val="7E7D5F69"/>
    <w:rsid w:val="7E7E4FCD"/>
    <w:rsid w:val="7E7E8BAA"/>
    <w:rsid w:val="7E7F0FFD"/>
    <w:rsid w:val="7E7F5079"/>
    <w:rsid w:val="7E7F5D86"/>
    <w:rsid w:val="7E7F82F3"/>
    <w:rsid w:val="7E7FE1BA"/>
    <w:rsid w:val="7E851D4C"/>
    <w:rsid w:val="7E893FBD"/>
    <w:rsid w:val="7E925F46"/>
    <w:rsid w:val="7E969887"/>
    <w:rsid w:val="7E970933"/>
    <w:rsid w:val="7E9B5B9E"/>
    <w:rsid w:val="7E9BA9AB"/>
    <w:rsid w:val="7E9DA0A0"/>
    <w:rsid w:val="7E9F9BD9"/>
    <w:rsid w:val="7E9FC8FA"/>
    <w:rsid w:val="7EA39D25"/>
    <w:rsid w:val="7EA3AFB1"/>
    <w:rsid w:val="7EAEFA33"/>
    <w:rsid w:val="7EAF1113"/>
    <w:rsid w:val="7EAF2AA4"/>
    <w:rsid w:val="7EAF7477"/>
    <w:rsid w:val="7EAF7BAC"/>
    <w:rsid w:val="7EAFAE56"/>
    <w:rsid w:val="7EB19247"/>
    <w:rsid w:val="7EB6B5D0"/>
    <w:rsid w:val="7EB87627"/>
    <w:rsid w:val="7EB8EFA0"/>
    <w:rsid w:val="7EB91D8D"/>
    <w:rsid w:val="7EB9E81F"/>
    <w:rsid w:val="7EBB3727"/>
    <w:rsid w:val="7EBB547C"/>
    <w:rsid w:val="7EBB7A46"/>
    <w:rsid w:val="7EBD0D3B"/>
    <w:rsid w:val="7EBD7909"/>
    <w:rsid w:val="7EBD92C3"/>
    <w:rsid w:val="7EBDF0B1"/>
    <w:rsid w:val="7EBE9364"/>
    <w:rsid w:val="7EBF828D"/>
    <w:rsid w:val="7EBF8D97"/>
    <w:rsid w:val="7EBFA6CA"/>
    <w:rsid w:val="7EBFE017"/>
    <w:rsid w:val="7EC7468C"/>
    <w:rsid w:val="7ECF8106"/>
    <w:rsid w:val="7ED31D79"/>
    <w:rsid w:val="7ED51DF6"/>
    <w:rsid w:val="7ED6357E"/>
    <w:rsid w:val="7ED727E7"/>
    <w:rsid w:val="7ED7D439"/>
    <w:rsid w:val="7EDB90F5"/>
    <w:rsid w:val="7EDBFF5A"/>
    <w:rsid w:val="7EDCB44B"/>
    <w:rsid w:val="7EDCCE6A"/>
    <w:rsid w:val="7EDDA500"/>
    <w:rsid w:val="7EDDAA7E"/>
    <w:rsid w:val="7EDE2A19"/>
    <w:rsid w:val="7EDF07A4"/>
    <w:rsid w:val="7EEBDE5C"/>
    <w:rsid w:val="7EEC9B78"/>
    <w:rsid w:val="7EEDCED7"/>
    <w:rsid w:val="7EEDDD23"/>
    <w:rsid w:val="7EEDE003"/>
    <w:rsid w:val="7EEE49AC"/>
    <w:rsid w:val="7EEE4DC4"/>
    <w:rsid w:val="7EEE5CB6"/>
    <w:rsid w:val="7EEE822D"/>
    <w:rsid w:val="7EEEEA31"/>
    <w:rsid w:val="7EEEF741"/>
    <w:rsid w:val="7EEF59D6"/>
    <w:rsid w:val="7EEF7B6E"/>
    <w:rsid w:val="7EEF8F7A"/>
    <w:rsid w:val="7EEF9D29"/>
    <w:rsid w:val="7EF1A6AC"/>
    <w:rsid w:val="7EF4B23C"/>
    <w:rsid w:val="7EF4F4AD"/>
    <w:rsid w:val="7EF5D69F"/>
    <w:rsid w:val="7EF61BBB"/>
    <w:rsid w:val="7EF6F96B"/>
    <w:rsid w:val="7EF777EE"/>
    <w:rsid w:val="7EF81550"/>
    <w:rsid w:val="7EF9D58A"/>
    <w:rsid w:val="7EF9F1A3"/>
    <w:rsid w:val="7EFB0127"/>
    <w:rsid w:val="7EFB139A"/>
    <w:rsid w:val="7EFB1736"/>
    <w:rsid w:val="7EFB72F4"/>
    <w:rsid w:val="7EFB9154"/>
    <w:rsid w:val="7EFBBA4F"/>
    <w:rsid w:val="7EFC9909"/>
    <w:rsid w:val="7EFC9F90"/>
    <w:rsid w:val="7EFD5B4C"/>
    <w:rsid w:val="7EFD9C0D"/>
    <w:rsid w:val="7EFDD419"/>
    <w:rsid w:val="7EFDE2D1"/>
    <w:rsid w:val="7EFDE71A"/>
    <w:rsid w:val="7EFDE80D"/>
    <w:rsid w:val="7EFE26BB"/>
    <w:rsid w:val="7EFE5958"/>
    <w:rsid w:val="7EFF006A"/>
    <w:rsid w:val="7EFF0DB3"/>
    <w:rsid w:val="7EFF1F00"/>
    <w:rsid w:val="7EFF30D7"/>
    <w:rsid w:val="7EFF4EB2"/>
    <w:rsid w:val="7EFF94B3"/>
    <w:rsid w:val="7EFFA831"/>
    <w:rsid w:val="7EFFA86B"/>
    <w:rsid w:val="7EFFABA2"/>
    <w:rsid w:val="7EFFB189"/>
    <w:rsid w:val="7EFFBFB5"/>
    <w:rsid w:val="7EFFD408"/>
    <w:rsid w:val="7EFFDB35"/>
    <w:rsid w:val="7EFFE727"/>
    <w:rsid w:val="7F0215EE"/>
    <w:rsid w:val="7F032C71"/>
    <w:rsid w:val="7F0DE973"/>
    <w:rsid w:val="7F0FEA6C"/>
    <w:rsid w:val="7F17D48A"/>
    <w:rsid w:val="7F1DD3A5"/>
    <w:rsid w:val="7F1E4A3B"/>
    <w:rsid w:val="7F1ECF9E"/>
    <w:rsid w:val="7F1F3F93"/>
    <w:rsid w:val="7F1F4833"/>
    <w:rsid w:val="7F1F53FE"/>
    <w:rsid w:val="7F26CC8C"/>
    <w:rsid w:val="7F2B8D8D"/>
    <w:rsid w:val="7F2DAD52"/>
    <w:rsid w:val="7F2DD542"/>
    <w:rsid w:val="7F2FB6C5"/>
    <w:rsid w:val="7F2FEAB6"/>
    <w:rsid w:val="7F33AD86"/>
    <w:rsid w:val="7F3581A8"/>
    <w:rsid w:val="7F370B6C"/>
    <w:rsid w:val="7F37493E"/>
    <w:rsid w:val="7F37B4FC"/>
    <w:rsid w:val="7F37FB1E"/>
    <w:rsid w:val="7F3A0DFF"/>
    <w:rsid w:val="7F3ACA4C"/>
    <w:rsid w:val="7F3BA3D5"/>
    <w:rsid w:val="7F3C40B1"/>
    <w:rsid w:val="7F3DE56C"/>
    <w:rsid w:val="7F3E2181"/>
    <w:rsid w:val="7F3F0024"/>
    <w:rsid w:val="7F3FA4A8"/>
    <w:rsid w:val="7F3FECC6"/>
    <w:rsid w:val="7F49289C"/>
    <w:rsid w:val="7F4DEA6B"/>
    <w:rsid w:val="7F4EC776"/>
    <w:rsid w:val="7F4EF921"/>
    <w:rsid w:val="7F4F4D17"/>
    <w:rsid w:val="7F4F5AA0"/>
    <w:rsid w:val="7F4F9062"/>
    <w:rsid w:val="7F582431"/>
    <w:rsid w:val="7F59CF69"/>
    <w:rsid w:val="7F5A8BCA"/>
    <w:rsid w:val="7F5CA3F5"/>
    <w:rsid w:val="7F5EBB65"/>
    <w:rsid w:val="7F5F16A4"/>
    <w:rsid w:val="7F5F8DFD"/>
    <w:rsid w:val="7F5FA8F4"/>
    <w:rsid w:val="7F63CA14"/>
    <w:rsid w:val="7F642A0A"/>
    <w:rsid w:val="7F64AD46"/>
    <w:rsid w:val="7F67307C"/>
    <w:rsid w:val="7F6738A4"/>
    <w:rsid w:val="7F673C30"/>
    <w:rsid w:val="7F67DE6C"/>
    <w:rsid w:val="7F69FAAC"/>
    <w:rsid w:val="7F6F53C2"/>
    <w:rsid w:val="7F6F6D76"/>
    <w:rsid w:val="7F6F8DD2"/>
    <w:rsid w:val="7F6F938D"/>
    <w:rsid w:val="7F6FB919"/>
    <w:rsid w:val="7F6FC301"/>
    <w:rsid w:val="7F730B87"/>
    <w:rsid w:val="7F732A8E"/>
    <w:rsid w:val="7F734E39"/>
    <w:rsid w:val="7F738E37"/>
    <w:rsid w:val="7F744835"/>
    <w:rsid w:val="7F7573B1"/>
    <w:rsid w:val="7F75BEA3"/>
    <w:rsid w:val="7F75DDC0"/>
    <w:rsid w:val="7F771F8A"/>
    <w:rsid w:val="7F7752EC"/>
    <w:rsid w:val="7F77703F"/>
    <w:rsid w:val="7F777411"/>
    <w:rsid w:val="7F777654"/>
    <w:rsid w:val="7F78F8A0"/>
    <w:rsid w:val="7F795007"/>
    <w:rsid w:val="7F7A4D77"/>
    <w:rsid w:val="7F7B2EB2"/>
    <w:rsid w:val="7F7B7E0D"/>
    <w:rsid w:val="7F7B9222"/>
    <w:rsid w:val="7F7BA9E2"/>
    <w:rsid w:val="7F7BB5EF"/>
    <w:rsid w:val="7F7BD956"/>
    <w:rsid w:val="7F7C4C9A"/>
    <w:rsid w:val="7F7D4E91"/>
    <w:rsid w:val="7F7DD2FE"/>
    <w:rsid w:val="7F7DDDD5"/>
    <w:rsid w:val="7F7E160E"/>
    <w:rsid w:val="7F7E2541"/>
    <w:rsid w:val="7F7E9850"/>
    <w:rsid w:val="7F7E9979"/>
    <w:rsid w:val="7F7EA2F9"/>
    <w:rsid w:val="7F7ED643"/>
    <w:rsid w:val="7F7EEEDC"/>
    <w:rsid w:val="7F7F000F"/>
    <w:rsid w:val="7F7F05AA"/>
    <w:rsid w:val="7F7F1866"/>
    <w:rsid w:val="7F7F1AC5"/>
    <w:rsid w:val="7F7F630C"/>
    <w:rsid w:val="7F7F7DDC"/>
    <w:rsid w:val="7F7F7FDF"/>
    <w:rsid w:val="7F7F87BA"/>
    <w:rsid w:val="7F7F9C16"/>
    <w:rsid w:val="7F7FAE7A"/>
    <w:rsid w:val="7F7FC0B0"/>
    <w:rsid w:val="7F7FE4FF"/>
    <w:rsid w:val="7F7FE935"/>
    <w:rsid w:val="7F7FF533"/>
    <w:rsid w:val="7F7FFF92"/>
    <w:rsid w:val="7F8BC487"/>
    <w:rsid w:val="7F8CFF60"/>
    <w:rsid w:val="7F8F8C2D"/>
    <w:rsid w:val="7F8F9D2E"/>
    <w:rsid w:val="7F934C2C"/>
    <w:rsid w:val="7F95BE96"/>
    <w:rsid w:val="7F973329"/>
    <w:rsid w:val="7F9A2E60"/>
    <w:rsid w:val="7F9D6C3D"/>
    <w:rsid w:val="7F9E9E24"/>
    <w:rsid w:val="7F9F1675"/>
    <w:rsid w:val="7F9F2769"/>
    <w:rsid w:val="7F9F4CDC"/>
    <w:rsid w:val="7F9FCF9A"/>
    <w:rsid w:val="7FA47693"/>
    <w:rsid w:val="7FA69595"/>
    <w:rsid w:val="7FA7D98A"/>
    <w:rsid w:val="7FA9A9D8"/>
    <w:rsid w:val="7FAA2219"/>
    <w:rsid w:val="7FABB3B9"/>
    <w:rsid w:val="7FAD0969"/>
    <w:rsid w:val="7FAD2332"/>
    <w:rsid w:val="7FADDF26"/>
    <w:rsid w:val="7FAE1C6C"/>
    <w:rsid w:val="7FAE9915"/>
    <w:rsid w:val="7FAEAD7F"/>
    <w:rsid w:val="7FAF4746"/>
    <w:rsid w:val="7FAF91D6"/>
    <w:rsid w:val="7FAFC763"/>
    <w:rsid w:val="7FAFC934"/>
    <w:rsid w:val="7FAFEAEF"/>
    <w:rsid w:val="7FAFF116"/>
    <w:rsid w:val="7FB1E08B"/>
    <w:rsid w:val="7FB20F5D"/>
    <w:rsid w:val="7FB4BA8B"/>
    <w:rsid w:val="7FB525E4"/>
    <w:rsid w:val="7FB60E89"/>
    <w:rsid w:val="7FB63884"/>
    <w:rsid w:val="7FB69D94"/>
    <w:rsid w:val="7FB6F7EA"/>
    <w:rsid w:val="7FB73118"/>
    <w:rsid w:val="7FB791F8"/>
    <w:rsid w:val="7FB79797"/>
    <w:rsid w:val="7FB87EFF"/>
    <w:rsid w:val="7FB9F1E1"/>
    <w:rsid w:val="7FBB17D9"/>
    <w:rsid w:val="7FBB499C"/>
    <w:rsid w:val="7FBB5411"/>
    <w:rsid w:val="7FBB8328"/>
    <w:rsid w:val="7FBB96F9"/>
    <w:rsid w:val="7FBBBA91"/>
    <w:rsid w:val="7FBBF674"/>
    <w:rsid w:val="7FBC13AB"/>
    <w:rsid w:val="7FBCF86F"/>
    <w:rsid w:val="7FBD0019"/>
    <w:rsid w:val="7FBD1FAA"/>
    <w:rsid w:val="7FBDA59A"/>
    <w:rsid w:val="7FBDC52D"/>
    <w:rsid w:val="7FBDE7EB"/>
    <w:rsid w:val="7FBE125E"/>
    <w:rsid w:val="7FBE1777"/>
    <w:rsid w:val="7FBF2A79"/>
    <w:rsid w:val="7FBF2A88"/>
    <w:rsid w:val="7FBF3D9E"/>
    <w:rsid w:val="7FBF5BFC"/>
    <w:rsid w:val="7FBF7FC4"/>
    <w:rsid w:val="7FBF8172"/>
    <w:rsid w:val="7FBF9E4D"/>
    <w:rsid w:val="7FBF9FD5"/>
    <w:rsid w:val="7FBFB377"/>
    <w:rsid w:val="7FBFC00E"/>
    <w:rsid w:val="7FBFDA19"/>
    <w:rsid w:val="7FBFE890"/>
    <w:rsid w:val="7FBFE934"/>
    <w:rsid w:val="7FC70FA9"/>
    <w:rsid w:val="7FC72844"/>
    <w:rsid w:val="7FC7F504"/>
    <w:rsid w:val="7FC9E1D6"/>
    <w:rsid w:val="7FCC31CC"/>
    <w:rsid w:val="7FCD27EE"/>
    <w:rsid w:val="7FCF916B"/>
    <w:rsid w:val="7FCFC045"/>
    <w:rsid w:val="7FD13702"/>
    <w:rsid w:val="7FD2307F"/>
    <w:rsid w:val="7FD63CB3"/>
    <w:rsid w:val="7FD64E4D"/>
    <w:rsid w:val="7FD7354E"/>
    <w:rsid w:val="7FD78224"/>
    <w:rsid w:val="7FD7848A"/>
    <w:rsid w:val="7FD7CEA9"/>
    <w:rsid w:val="7FD7D259"/>
    <w:rsid w:val="7FD7EE22"/>
    <w:rsid w:val="7FD83128"/>
    <w:rsid w:val="7FD83D12"/>
    <w:rsid w:val="7FD8E31E"/>
    <w:rsid w:val="7FD91A89"/>
    <w:rsid w:val="7FDB0E03"/>
    <w:rsid w:val="7FDB10FD"/>
    <w:rsid w:val="7FDB3825"/>
    <w:rsid w:val="7FDB78E8"/>
    <w:rsid w:val="7FDBCF96"/>
    <w:rsid w:val="7FDC5E23"/>
    <w:rsid w:val="7FDCC181"/>
    <w:rsid w:val="7FDD399B"/>
    <w:rsid w:val="7FDD5388"/>
    <w:rsid w:val="7FDD9CF1"/>
    <w:rsid w:val="7FDDB6A0"/>
    <w:rsid w:val="7FDE0D45"/>
    <w:rsid w:val="7FDE0EA0"/>
    <w:rsid w:val="7FDE6318"/>
    <w:rsid w:val="7FDE7544"/>
    <w:rsid w:val="7FDEE3DD"/>
    <w:rsid w:val="7FDF059B"/>
    <w:rsid w:val="7FDF2ECF"/>
    <w:rsid w:val="7FDF3544"/>
    <w:rsid w:val="7FDF3D54"/>
    <w:rsid w:val="7FDF4FCB"/>
    <w:rsid w:val="7FDF62FC"/>
    <w:rsid w:val="7FDF7A08"/>
    <w:rsid w:val="7FDFAE78"/>
    <w:rsid w:val="7FDFC4AC"/>
    <w:rsid w:val="7FDFCC59"/>
    <w:rsid w:val="7FDFD7DC"/>
    <w:rsid w:val="7FDFE773"/>
    <w:rsid w:val="7FE2F75B"/>
    <w:rsid w:val="7FE33062"/>
    <w:rsid w:val="7FE33664"/>
    <w:rsid w:val="7FE4D414"/>
    <w:rsid w:val="7FE52282"/>
    <w:rsid w:val="7FE5AF1F"/>
    <w:rsid w:val="7FE773B6"/>
    <w:rsid w:val="7FE7EB23"/>
    <w:rsid w:val="7FE9929B"/>
    <w:rsid w:val="7FE9D51E"/>
    <w:rsid w:val="7FEA5A73"/>
    <w:rsid w:val="7FEA5F07"/>
    <w:rsid w:val="7FEA66C7"/>
    <w:rsid w:val="7FEB7B64"/>
    <w:rsid w:val="7FEB8A9B"/>
    <w:rsid w:val="7FEC5A26"/>
    <w:rsid w:val="7FECCE36"/>
    <w:rsid w:val="7FECDC87"/>
    <w:rsid w:val="7FECF344"/>
    <w:rsid w:val="7FED02C8"/>
    <w:rsid w:val="7FED15AD"/>
    <w:rsid w:val="7FED5AF1"/>
    <w:rsid w:val="7FED738A"/>
    <w:rsid w:val="7FEDB2FD"/>
    <w:rsid w:val="7FEDDFB5"/>
    <w:rsid w:val="7FEDF474"/>
    <w:rsid w:val="7FEED4BF"/>
    <w:rsid w:val="7FEEF8D5"/>
    <w:rsid w:val="7FEF01D9"/>
    <w:rsid w:val="7FEF0298"/>
    <w:rsid w:val="7FEF076B"/>
    <w:rsid w:val="7FEF3F48"/>
    <w:rsid w:val="7FEF4322"/>
    <w:rsid w:val="7FEF44AE"/>
    <w:rsid w:val="7FEF4548"/>
    <w:rsid w:val="7FEF4A42"/>
    <w:rsid w:val="7FEF668C"/>
    <w:rsid w:val="7FEF748C"/>
    <w:rsid w:val="7FEF7E7D"/>
    <w:rsid w:val="7FEF8C85"/>
    <w:rsid w:val="7FEF99B8"/>
    <w:rsid w:val="7FEF9E0A"/>
    <w:rsid w:val="7FEFC217"/>
    <w:rsid w:val="7FEFD8DF"/>
    <w:rsid w:val="7FEFE5CF"/>
    <w:rsid w:val="7FF2D590"/>
    <w:rsid w:val="7FF34F7B"/>
    <w:rsid w:val="7FF3BA9C"/>
    <w:rsid w:val="7FF4A471"/>
    <w:rsid w:val="7FF4D1F9"/>
    <w:rsid w:val="7FF51001"/>
    <w:rsid w:val="7FF514C8"/>
    <w:rsid w:val="7FF5284E"/>
    <w:rsid w:val="7FF5416F"/>
    <w:rsid w:val="7FF594C7"/>
    <w:rsid w:val="7FF5B15E"/>
    <w:rsid w:val="7FF5C011"/>
    <w:rsid w:val="7FF5E25F"/>
    <w:rsid w:val="7FF698AB"/>
    <w:rsid w:val="7FF6E7BD"/>
    <w:rsid w:val="7FF72276"/>
    <w:rsid w:val="7FF73A6C"/>
    <w:rsid w:val="7FF74065"/>
    <w:rsid w:val="7FF75853"/>
    <w:rsid w:val="7FF75E6D"/>
    <w:rsid w:val="7FF76F9C"/>
    <w:rsid w:val="7FF7A31F"/>
    <w:rsid w:val="7FF7DD97"/>
    <w:rsid w:val="7FF7EB4D"/>
    <w:rsid w:val="7FF90FAE"/>
    <w:rsid w:val="7FF95D17"/>
    <w:rsid w:val="7FF98F5C"/>
    <w:rsid w:val="7FF9B4E8"/>
    <w:rsid w:val="7FF9C3D6"/>
    <w:rsid w:val="7FFA25DA"/>
    <w:rsid w:val="7FFA302D"/>
    <w:rsid w:val="7FFA69E4"/>
    <w:rsid w:val="7FFA8AEF"/>
    <w:rsid w:val="7FFAB922"/>
    <w:rsid w:val="7FFB10AB"/>
    <w:rsid w:val="7FFB202C"/>
    <w:rsid w:val="7FFB367E"/>
    <w:rsid w:val="7FFB3B7E"/>
    <w:rsid w:val="7FFB4BCE"/>
    <w:rsid w:val="7FFB7577"/>
    <w:rsid w:val="7FFB8B15"/>
    <w:rsid w:val="7FFBBA3B"/>
    <w:rsid w:val="7FFBC4B2"/>
    <w:rsid w:val="7FFBFA29"/>
    <w:rsid w:val="7FFBFD0C"/>
    <w:rsid w:val="7FFC0DB2"/>
    <w:rsid w:val="7FFC2E8B"/>
    <w:rsid w:val="7FFC6879"/>
    <w:rsid w:val="7FFC7D2F"/>
    <w:rsid w:val="7FFD0395"/>
    <w:rsid w:val="7FFD29E5"/>
    <w:rsid w:val="7FFD5565"/>
    <w:rsid w:val="7FFD9E1E"/>
    <w:rsid w:val="7FFD9FBC"/>
    <w:rsid w:val="7FFDA183"/>
    <w:rsid w:val="7FFDA1FA"/>
    <w:rsid w:val="7FFDA3A8"/>
    <w:rsid w:val="7FFDF100"/>
    <w:rsid w:val="7FFE048A"/>
    <w:rsid w:val="7FFE066C"/>
    <w:rsid w:val="7FFE0A45"/>
    <w:rsid w:val="7FFE1898"/>
    <w:rsid w:val="7FFE1A36"/>
    <w:rsid w:val="7FFE303E"/>
    <w:rsid w:val="7FFE35F2"/>
    <w:rsid w:val="7FFE3C32"/>
    <w:rsid w:val="7FFE4360"/>
    <w:rsid w:val="7FFE618A"/>
    <w:rsid w:val="7FFE72BB"/>
    <w:rsid w:val="7FFE78B6"/>
    <w:rsid w:val="7FFE8D3C"/>
    <w:rsid w:val="7FFEB383"/>
    <w:rsid w:val="7FFECF55"/>
    <w:rsid w:val="7FFEE9FB"/>
    <w:rsid w:val="7FFEF687"/>
    <w:rsid w:val="7FFF0401"/>
    <w:rsid w:val="7FFF0D2B"/>
    <w:rsid w:val="7FFF153A"/>
    <w:rsid w:val="7FFF1856"/>
    <w:rsid w:val="7FFF2F0E"/>
    <w:rsid w:val="7FFF31FE"/>
    <w:rsid w:val="7FFF38A6"/>
    <w:rsid w:val="7FFF4028"/>
    <w:rsid w:val="7FFF4335"/>
    <w:rsid w:val="7FFF436B"/>
    <w:rsid w:val="7FFF553E"/>
    <w:rsid w:val="7FFF6434"/>
    <w:rsid w:val="7FFF649B"/>
    <w:rsid w:val="7FFF65E3"/>
    <w:rsid w:val="7FFF70F9"/>
    <w:rsid w:val="7FFF711F"/>
    <w:rsid w:val="7FFF7149"/>
    <w:rsid w:val="7FFF71E2"/>
    <w:rsid w:val="7FFF7460"/>
    <w:rsid w:val="7FFF7ED4"/>
    <w:rsid w:val="7FFF8130"/>
    <w:rsid w:val="7FFF824E"/>
    <w:rsid w:val="7FFF849A"/>
    <w:rsid w:val="7FFF866C"/>
    <w:rsid w:val="7FFF9043"/>
    <w:rsid w:val="7FFF91B3"/>
    <w:rsid w:val="7FFFADA3"/>
    <w:rsid w:val="7FFFAEC7"/>
    <w:rsid w:val="7FFFB49E"/>
    <w:rsid w:val="7FFFB692"/>
    <w:rsid w:val="7FFFC49D"/>
    <w:rsid w:val="7FFFC573"/>
    <w:rsid w:val="7FFFD426"/>
    <w:rsid w:val="7FFFDA42"/>
    <w:rsid w:val="7FFFDC3A"/>
    <w:rsid w:val="7FFFE444"/>
    <w:rsid w:val="7FFFEF40"/>
    <w:rsid w:val="7FFFF21D"/>
    <w:rsid w:val="81FD90BD"/>
    <w:rsid w:val="82692918"/>
    <w:rsid w:val="82E58389"/>
    <w:rsid w:val="83DF8437"/>
    <w:rsid w:val="846BAE7A"/>
    <w:rsid w:val="84F7F977"/>
    <w:rsid w:val="857E02B3"/>
    <w:rsid w:val="85DFCA89"/>
    <w:rsid w:val="85FF2D4D"/>
    <w:rsid w:val="87391D29"/>
    <w:rsid w:val="87AB19DC"/>
    <w:rsid w:val="87CFB950"/>
    <w:rsid w:val="87FD1DF7"/>
    <w:rsid w:val="895EAB26"/>
    <w:rsid w:val="89FF8DBF"/>
    <w:rsid w:val="8AFABDB1"/>
    <w:rsid w:val="8AFE2AC1"/>
    <w:rsid w:val="8AFFCE1D"/>
    <w:rsid w:val="8B75F8AA"/>
    <w:rsid w:val="8BBE8D1C"/>
    <w:rsid w:val="8BFF589C"/>
    <w:rsid w:val="8CB88FF9"/>
    <w:rsid w:val="8D748B36"/>
    <w:rsid w:val="8D948F4E"/>
    <w:rsid w:val="8DBA07C0"/>
    <w:rsid w:val="8DBFBB42"/>
    <w:rsid w:val="8DBFC12E"/>
    <w:rsid w:val="8DFDB5E5"/>
    <w:rsid w:val="8DFE1B75"/>
    <w:rsid w:val="8DFF36D4"/>
    <w:rsid w:val="8DFF77A4"/>
    <w:rsid w:val="8E38BC05"/>
    <w:rsid w:val="8E560A4C"/>
    <w:rsid w:val="8ECF2593"/>
    <w:rsid w:val="8EE1A8C9"/>
    <w:rsid w:val="8EEE5E40"/>
    <w:rsid w:val="8EF3B83C"/>
    <w:rsid w:val="8EFF0E59"/>
    <w:rsid w:val="8F564F0E"/>
    <w:rsid w:val="8F777AF6"/>
    <w:rsid w:val="8F7A04A7"/>
    <w:rsid w:val="8FBA5FC4"/>
    <w:rsid w:val="8FBF7F2B"/>
    <w:rsid w:val="8FBFE465"/>
    <w:rsid w:val="8FBFFAEB"/>
    <w:rsid w:val="8FCD2204"/>
    <w:rsid w:val="8FD3B5F5"/>
    <w:rsid w:val="8FEF08F2"/>
    <w:rsid w:val="8FF761FA"/>
    <w:rsid w:val="8FFEB478"/>
    <w:rsid w:val="91D6FC17"/>
    <w:rsid w:val="91EC564D"/>
    <w:rsid w:val="9244753B"/>
    <w:rsid w:val="9275A16C"/>
    <w:rsid w:val="92779524"/>
    <w:rsid w:val="92EF1000"/>
    <w:rsid w:val="9337589E"/>
    <w:rsid w:val="937B1C1B"/>
    <w:rsid w:val="93BD0E50"/>
    <w:rsid w:val="93D4A04C"/>
    <w:rsid w:val="93EBFD67"/>
    <w:rsid w:val="93FD92B3"/>
    <w:rsid w:val="95DB39A4"/>
    <w:rsid w:val="95F7AE6A"/>
    <w:rsid w:val="95FB3EB6"/>
    <w:rsid w:val="9687BD13"/>
    <w:rsid w:val="96B7753E"/>
    <w:rsid w:val="96BF97DE"/>
    <w:rsid w:val="96BFBB08"/>
    <w:rsid w:val="96EDE3C8"/>
    <w:rsid w:val="96FFC427"/>
    <w:rsid w:val="970FEA8C"/>
    <w:rsid w:val="976F7CF2"/>
    <w:rsid w:val="97771300"/>
    <w:rsid w:val="977E04FD"/>
    <w:rsid w:val="977E660D"/>
    <w:rsid w:val="977F12EA"/>
    <w:rsid w:val="97CB566A"/>
    <w:rsid w:val="97E712A6"/>
    <w:rsid w:val="97E81D3D"/>
    <w:rsid w:val="97ED02FA"/>
    <w:rsid w:val="97F96DF9"/>
    <w:rsid w:val="97FBB103"/>
    <w:rsid w:val="97FDC115"/>
    <w:rsid w:val="98DDCB1C"/>
    <w:rsid w:val="99E58D26"/>
    <w:rsid w:val="99EF32F3"/>
    <w:rsid w:val="99FFAFDC"/>
    <w:rsid w:val="9AB7731C"/>
    <w:rsid w:val="9ABF108B"/>
    <w:rsid w:val="9AE7E1A7"/>
    <w:rsid w:val="9AEF8320"/>
    <w:rsid w:val="9AF2751B"/>
    <w:rsid w:val="9AFE0FAB"/>
    <w:rsid w:val="9B7E7CDD"/>
    <w:rsid w:val="9BE7C5DD"/>
    <w:rsid w:val="9BF33FB1"/>
    <w:rsid w:val="9BF7BBE7"/>
    <w:rsid w:val="9BFA25F0"/>
    <w:rsid w:val="9BFCCD43"/>
    <w:rsid w:val="9D3780B4"/>
    <w:rsid w:val="9D3B5803"/>
    <w:rsid w:val="9D4F5825"/>
    <w:rsid w:val="9D4FD76D"/>
    <w:rsid w:val="9D6F06EA"/>
    <w:rsid w:val="9D7BB785"/>
    <w:rsid w:val="9D7FCA67"/>
    <w:rsid w:val="9D966B82"/>
    <w:rsid w:val="9D9BC5C2"/>
    <w:rsid w:val="9DAC664B"/>
    <w:rsid w:val="9DDD71E9"/>
    <w:rsid w:val="9DDF5FDA"/>
    <w:rsid w:val="9DE96E93"/>
    <w:rsid w:val="9DEB8D76"/>
    <w:rsid w:val="9DEE8BE2"/>
    <w:rsid w:val="9DEF7F14"/>
    <w:rsid w:val="9DF729B3"/>
    <w:rsid w:val="9E5F2EF3"/>
    <w:rsid w:val="9E77D352"/>
    <w:rsid w:val="9EAF905A"/>
    <w:rsid w:val="9EB73BE0"/>
    <w:rsid w:val="9ECE8764"/>
    <w:rsid w:val="9EDA6AD0"/>
    <w:rsid w:val="9EE2027E"/>
    <w:rsid w:val="9EE26097"/>
    <w:rsid w:val="9EFA1866"/>
    <w:rsid w:val="9EFF8A9C"/>
    <w:rsid w:val="9EFFECEE"/>
    <w:rsid w:val="9F1BFFE4"/>
    <w:rsid w:val="9F309EFD"/>
    <w:rsid w:val="9F6D55FD"/>
    <w:rsid w:val="9F6F88B6"/>
    <w:rsid w:val="9F77497D"/>
    <w:rsid w:val="9F79443B"/>
    <w:rsid w:val="9F79B431"/>
    <w:rsid w:val="9F7D04A0"/>
    <w:rsid w:val="9F7F61D4"/>
    <w:rsid w:val="9F7FA1D3"/>
    <w:rsid w:val="9F7FE984"/>
    <w:rsid w:val="9F7FFE5F"/>
    <w:rsid w:val="9F9BA5C5"/>
    <w:rsid w:val="9F9FEEC3"/>
    <w:rsid w:val="9FAF8A85"/>
    <w:rsid w:val="9FB5069D"/>
    <w:rsid w:val="9FB62693"/>
    <w:rsid w:val="9FB737EE"/>
    <w:rsid w:val="9FBA0C34"/>
    <w:rsid w:val="9FBDAACB"/>
    <w:rsid w:val="9FCA2CD2"/>
    <w:rsid w:val="9FCADE1D"/>
    <w:rsid w:val="9FD75622"/>
    <w:rsid w:val="9FD8D709"/>
    <w:rsid w:val="9FDD8B29"/>
    <w:rsid w:val="9FDE2B3B"/>
    <w:rsid w:val="9FDFCB95"/>
    <w:rsid w:val="9FE429A3"/>
    <w:rsid w:val="9FE4B51F"/>
    <w:rsid w:val="9FECB61F"/>
    <w:rsid w:val="9FED144C"/>
    <w:rsid w:val="9FEF207C"/>
    <w:rsid w:val="9FEF2AE4"/>
    <w:rsid w:val="9FF12791"/>
    <w:rsid w:val="9FF6AAEA"/>
    <w:rsid w:val="9FF7E3E5"/>
    <w:rsid w:val="9FF87B48"/>
    <w:rsid w:val="9FF9A6E0"/>
    <w:rsid w:val="9FFB747A"/>
    <w:rsid w:val="9FFBB17A"/>
    <w:rsid w:val="9FFC6E6F"/>
    <w:rsid w:val="9FFD1E50"/>
    <w:rsid w:val="9FFD2F53"/>
    <w:rsid w:val="9FFD301A"/>
    <w:rsid w:val="9FFE19B7"/>
    <w:rsid w:val="9FFEDE54"/>
    <w:rsid w:val="9FFF0D14"/>
    <w:rsid w:val="9FFF1673"/>
    <w:rsid w:val="9FFFBDA4"/>
    <w:rsid w:val="9FFFD4C6"/>
    <w:rsid w:val="9FFFEAE0"/>
    <w:rsid w:val="9FFFEB79"/>
    <w:rsid w:val="A1CD50AC"/>
    <w:rsid w:val="A1E3F561"/>
    <w:rsid w:val="A25DD41C"/>
    <w:rsid w:val="A2BF0714"/>
    <w:rsid w:val="A2FF08E6"/>
    <w:rsid w:val="A366B3A3"/>
    <w:rsid w:val="A37EF1F6"/>
    <w:rsid w:val="A3A72D5B"/>
    <w:rsid w:val="A3CFE4FC"/>
    <w:rsid w:val="A3FABCB2"/>
    <w:rsid w:val="A5E9966D"/>
    <w:rsid w:val="A5F76E27"/>
    <w:rsid w:val="A5F7F334"/>
    <w:rsid w:val="A5FF6BBD"/>
    <w:rsid w:val="A637DEA5"/>
    <w:rsid w:val="A6EF3ED0"/>
    <w:rsid w:val="A6FAF511"/>
    <w:rsid w:val="A6FBFA0D"/>
    <w:rsid w:val="A6FF9771"/>
    <w:rsid w:val="A737786A"/>
    <w:rsid w:val="A76FCD13"/>
    <w:rsid w:val="A7737DDC"/>
    <w:rsid w:val="A7770E46"/>
    <w:rsid w:val="A7BB7659"/>
    <w:rsid w:val="A7BD0FE9"/>
    <w:rsid w:val="A7EFC1AA"/>
    <w:rsid w:val="A7EFFD83"/>
    <w:rsid w:val="A7FF3146"/>
    <w:rsid w:val="A7FF6C01"/>
    <w:rsid w:val="A7FF967D"/>
    <w:rsid w:val="A8BF78C5"/>
    <w:rsid w:val="A8DEA297"/>
    <w:rsid w:val="A9716B52"/>
    <w:rsid w:val="A97225DA"/>
    <w:rsid w:val="A97F8A57"/>
    <w:rsid w:val="A9BD0B70"/>
    <w:rsid w:val="A9FB7206"/>
    <w:rsid w:val="AA5309A7"/>
    <w:rsid w:val="AAAFAE35"/>
    <w:rsid w:val="AAB37CD6"/>
    <w:rsid w:val="AADDD309"/>
    <w:rsid w:val="AAF7B1E0"/>
    <w:rsid w:val="AAFD9917"/>
    <w:rsid w:val="AAFDE33D"/>
    <w:rsid w:val="AB2FF131"/>
    <w:rsid w:val="AB3EEC0B"/>
    <w:rsid w:val="AB57AB26"/>
    <w:rsid w:val="AB7FF40E"/>
    <w:rsid w:val="ABAD2609"/>
    <w:rsid w:val="ABAF2EA1"/>
    <w:rsid w:val="ABBE0820"/>
    <w:rsid w:val="ABBF5A94"/>
    <w:rsid w:val="ABD72D3D"/>
    <w:rsid w:val="ABDB1990"/>
    <w:rsid w:val="ABED4E91"/>
    <w:rsid w:val="ABEF2B93"/>
    <w:rsid w:val="ABF39E68"/>
    <w:rsid w:val="ABF3A16C"/>
    <w:rsid w:val="ABFF7FB2"/>
    <w:rsid w:val="AC3F8126"/>
    <w:rsid w:val="AC4E5C68"/>
    <w:rsid w:val="ACBDD37F"/>
    <w:rsid w:val="ACDCCE1A"/>
    <w:rsid w:val="ACE6F8A0"/>
    <w:rsid w:val="ACFE1127"/>
    <w:rsid w:val="AD67B7C3"/>
    <w:rsid w:val="AD71F703"/>
    <w:rsid w:val="AD7C4C3B"/>
    <w:rsid w:val="AD7FC399"/>
    <w:rsid w:val="ADAFAFA5"/>
    <w:rsid w:val="ADB385CF"/>
    <w:rsid w:val="ADBACBF2"/>
    <w:rsid w:val="ADBD9528"/>
    <w:rsid w:val="ADBDDE44"/>
    <w:rsid w:val="ADBF12E5"/>
    <w:rsid w:val="ADCB291F"/>
    <w:rsid w:val="ADCDBBAF"/>
    <w:rsid w:val="ADD47799"/>
    <w:rsid w:val="ADD75D86"/>
    <w:rsid w:val="ADD99882"/>
    <w:rsid w:val="ADEFAE85"/>
    <w:rsid w:val="ADF2D160"/>
    <w:rsid w:val="ADF48270"/>
    <w:rsid w:val="AE3D8194"/>
    <w:rsid w:val="AE6F0A53"/>
    <w:rsid w:val="AE6FB16C"/>
    <w:rsid w:val="AE96F190"/>
    <w:rsid w:val="AEB5A855"/>
    <w:rsid w:val="AEBDA039"/>
    <w:rsid w:val="AECF7F2F"/>
    <w:rsid w:val="AED8721C"/>
    <w:rsid w:val="AEEC83E6"/>
    <w:rsid w:val="AEEF7DB4"/>
    <w:rsid w:val="AEFF0250"/>
    <w:rsid w:val="AEFFDE5A"/>
    <w:rsid w:val="AF2E1AF5"/>
    <w:rsid w:val="AF3E7513"/>
    <w:rsid w:val="AF47306F"/>
    <w:rsid w:val="AF4E37F2"/>
    <w:rsid w:val="AF5E3935"/>
    <w:rsid w:val="AF6F3B95"/>
    <w:rsid w:val="AF71F79B"/>
    <w:rsid w:val="AF76783D"/>
    <w:rsid w:val="AF771707"/>
    <w:rsid w:val="AF782890"/>
    <w:rsid w:val="AF7D2270"/>
    <w:rsid w:val="AF7E7B73"/>
    <w:rsid w:val="AF8FB500"/>
    <w:rsid w:val="AF97C519"/>
    <w:rsid w:val="AF9A3860"/>
    <w:rsid w:val="AF9C1836"/>
    <w:rsid w:val="AFB26961"/>
    <w:rsid w:val="AFB932A1"/>
    <w:rsid w:val="AFBA14F8"/>
    <w:rsid w:val="AFBD4876"/>
    <w:rsid w:val="AFBF3498"/>
    <w:rsid w:val="AFBF979E"/>
    <w:rsid w:val="AFBFB313"/>
    <w:rsid w:val="AFD6E67C"/>
    <w:rsid w:val="AFD71BD8"/>
    <w:rsid w:val="AFDD1B93"/>
    <w:rsid w:val="AFDE7D5E"/>
    <w:rsid w:val="AFDF89C2"/>
    <w:rsid w:val="AFDFA18C"/>
    <w:rsid w:val="AFE12FE0"/>
    <w:rsid w:val="AFED8692"/>
    <w:rsid w:val="AFEF5222"/>
    <w:rsid w:val="AFEF859F"/>
    <w:rsid w:val="AFEFBE2F"/>
    <w:rsid w:val="AFF376D9"/>
    <w:rsid w:val="AFF3C9C6"/>
    <w:rsid w:val="AFFB3D8B"/>
    <w:rsid w:val="AFFBD491"/>
    <w:rsid w:val="AFFDC6CB"/>
    <w:rsid w:val="AFFE6A08"/>
    <w:rsid w:val="AFFEB967"/>
    <w:rsid w:val="AFFFF487"/>
    <w:rsid w:val="AFFFFE31"/>
    <w:rsid w:val="B0C9717F"/>
    <w:rsid w:val="B0FB9E1D"/>
    <w:rsid w:val="B13F2580"/>
    <w:rsid w:val="B1BDE9F4"/>
    <w:rsid w:val="B1CC1A76"/>
    <w:rsid w:val="B1FB571C"/>
    <w:rsid w:val="B1FB8CBD"/>
    <w:rsid w:val="B1FF4B95"/>
    <w:rsid w:val="B27BB08B"/>
    <w:rsid w:val="B27FCEFC"/>
    <w:rsid w:val="B27FFE82"/>
    <w:rsid w:val="B2F3B47E"/>
    <w:rsid w:val="B2F61813"/>
    <w:rsid w:val="B2FEA5F4"/>
    <w:rsid w:val="B30C0D78"/>
    <w:rsid w:val="B36F1512"/>
    <w:rsid w:val="B39F0777"/>
    <w:rsid w:val="B3A78039"/>
    <w:rsid w:val="B3AF9BA4"/>
    <w:rsid w:val="B3B64EB7"/>
    <w:rsid w:val="B3BBD1D6"/>
    <w:rsid w:val="B3CFE518"/>
    <w:rsid w:val="B3D67E65"/>
    <w:rsid w:val="B3DA3585"/>
    <w:rsid w:val="B3DB683E"/>
    <w:rsid w:val="B3E5475D"/>
    <w:rsid w:val="B3EBCB56"/>
    <w:rsid w:val="B3EF54AC"/>
    <w:rsid w:val="B3F930F5"/>
    <w:rsid w:val="B3FF4A5B"/>
    <w:rsid w:val="B3FFF384"/>
    <w:rsid w:val="B4438508"/>
    <w:rsid w:val="B46BC294"/>
    <w:rsid w:val="B49D84B5"/>
    <w:rsid w:val="B4D7B2DB"/>
    <w:rsid w:val="B4EF15CE"/>
    <w:rsid w:val="B4FD9BE4"/>
    <w:rsid w:val="B51E07ED"/>
    <w:rsid w:val="B55E6EA1"/>
    <w:rsid w:val="B57D6127"/>
    <w:rsid w:val="B57F8B5F"/>
    <w:rsid w:val="B5B71C81"/>
    <w:rsid w:val="B5D782B0"/>
    <w:rsid w:val="B5DD1F05"/>
    <w:rsid w:val="B5DF0B78"/>
    <w:rsid w:val="B5E394FD"/>
    <w:rsid w:val="B5E66766"/>
    <w:rsid w:val="B5EACDCC"/>
    <w:rsid w:val="B5ED7133"/>
    <w:rsid w:val="B5ED9503"/>
    <w:rsid w:val="B5FB5AC2"/>
    <w:rsid w:val="B5FB8562"/>
    <w:rsid w:val="B657B197"/>
    <w:rsid w:val="B67E68C0"/>
    <w:rsid w:val="B6BE36EF"/>
    <w:rsid w:val="B6DA7F7C"/>
    <w:rsid w:val="B6DEDF6E"/>
    <w:rsid w:val="B6DFE84F"/>
    <w:rsid w:val="B6EAFF0B"/>
    <w:rsid w:val="B6F3C2B3"/>
    <w:rsid w:val="B6F3D89F"/>
    <w:rsid w:val="B6F5D6BE"/>
    <w:rsid w:val="B6F722B5"/>
    <w:rsid w:val="B6FA32EF"/>
    <w:rsid w:val="B6FE64D2"/>
    <w:rsid w:val="B6FEF7DB"/>
    <w:rsid w:val="B6FF3E15"/>
    <w:rsid w:val="B6FF5972"/>
    <w:rsid w:val="B6FF5EB9"/>
    <w:rsid w:val="B6FFCDA9"/>
    <w:rsid w:val="B723F643"/>
    <w:rsid w:val="B747A189"/>
    <w:rsid w:val="B74F51E2"/>
    <w:rsid w:val="B76D5CE6"/>
    <w:rsid w:val="B77B1E7B"/>
    <w:rsid w:val="B77C0D3E"/>
    <w:rsid w:val="B77F7D16"/>
    <w:rsid w:val="B77FAD73"/>
    <w:rsid w:val="B77FAEC5"/>
    <w:rsid w:val="B79DA543"/>
    <w:rsid w:val="B7B8B028"/>
    <w:rsid w:val="B7BF104B"/>
    <w:rsid w:val="B7CF925C"/>
    <w:rsid w:val="B7D3A467"/>
    <w:rsid w:val="B7D7DE68"/>
    <w:rsid w:val="B7DAE1E4"/>
    <w:rsid w:val="B7DB0E7F"/>
    <w:rsid w:val="B7DD070D"/>
    <w:rsid w:val="B7DDB2A8"/>
    <w:rsid w:val="B7DF92E1"/>
    <w:rsid w:val="B7DF997E"/>
    <w:rsid w:val="B7DFA130"/>
    <w:rsid w:val="B7E7AE4B"/>
    <w:rsid w:val="B7EDF2B2"/>
    <w:rsid w:val="B7EED56D"/>
    <w:rsid w:val="B7EF2FD1"/>
    <w:rsid w:val="B7EFF5A1"/>
    <w:rsid w:val="B7F0D614"/>
    <w:rsid w:val="B7F19B74"/>
    <w:rsid w:val="B7F1C0C8"/>
    <w:rsid w:val="B7F66A32"/>
    <w:rsid w:val="B7F725A6"/>
    <w:rsid w:val="B7F73ECF"/>
    <w:rsid w:val="B7F76122"/>
    <w:rsid w:val="B7FB034F"/>
    <w:rsid w:val="B7FB3495"/>
    <w:rsid w:val="B7FCDC98"/>
    <w:rsid w:val="B7FD2433"/>
    <w:rsid w:val="B7FD5B68"/>
    <w:rsid w:val="B7FEAE44"/>
    <w:rsid w:val="B7FF7617"/>
    <w:rsid w:val="B7FFB24C"/>
    <w:rsid w:val="B7FFE51E"/>
    <w:rsid w:val="B84F4E5A"/>
    <w:rsid w:val="B85FB0C4"/>
    <w:rsid w:val="B86B1CFE"/>
    <w:rsid w:val="B8AD78D1"/>
    <w:rsid w:val="B8BF40C0"/>
    <w:rsid w:val="B8E7B6F5"/>
    <w:rsid w:val="B95731C2"/>
    <w:rsid w:val="B958A794"/>
    <w:rsid w:val="B95F2E84"/>
    <w:rsid w:val="B9B9A1A8"/>
    <w:rsid w:val="B9BF5CAF"/>
    <w:rsid w:val="B9DDDC2F"/>
    <w:rsid w:val="B9DFC2DA"/>
    <w:rsid w:val="B9F7617C"/>
    <w:rsid w:val="B9F7C8B3"/>
    <w:rsid w:val="B9FBA423"/>
    <w:rsid w:val="B9FD6BFA"/>
    <w:rsid w:val="BA3B2107"/>
    <w:rsid w:val="BA3E4C1F"/>
    <w:rsid w:val="BA3F9575"/>
    <w:rsid w:val="BA7E52CA"/>
    <w:rsid w:val="BA9E8552"/>
    <w:rsid w:val="BAAEB468"/>
    <w:rsid w:val="BAAF9532"/>
    <w:rsid w:val="BAB73119"/>
    <w:rsid w:val="BABA0A62"/>
    <w:rsid w:val="BADFD9D3"/>
    <w:rsid w:val="BAE3614C"/>
    <w:rsid w:val="BAF3CAF6"/>
    <w:rsid w:val="BAFB655A"/>
    <w:rsid w:val="BAFEC5AE"/>
    <w:rsid w:val="BAFEE30E"/>
    <w:rsid w:val="BAFF1873"/>
    <w:rsid w:val="BB015118"/>
    <w:rsid w:val="BB1FD769"/>
    <w:rsid w:val="BB3F7FA2"/>
    <w:rsid w:val="BB5F8488"/>
    <w:rsid w:val="BB6AC419"/>
    <w:rsid w:val="BB6EA41F"/>
    <w:rsid w:val="BB6F06B7"/>
    <w:rsid w:val="BB6F7723"/>
    <w:rsid w:val="BB75BE53"/>
    <w:rsid w:val="BB7639DE"/>
    <w:rsid w:val="BB77B777"/>
    <w:rsid w:val="BB7BD4ED"/>
    <w:rsid w:val="BB7E0AAD"/>
    <w:rsid w:val="BB7F220D"/>
    <w:rsid w:val="BB7F6EDE"/>
    <w:rsid w:val="BB8D86D9"/>
    <w:rsid w:val="BBA72FE9"/>
    <w:rsid w:val="BBAF74C0"/>
    <w:rsid w:val="BBB53C9F"/>
    <w:rsid w:val="BBB79296"/>
    <w:rsid w:val="BBBBC296"/>
    <w:rsid w:val="BBBF6441"/>
    <w:rsid w:val="BBC6585B"/>
    <w:rsid w:val="BBCD8972"/>
    <w:rsid w:val="BBCF72A8"/>
    <w:rsid w:val="BBD087CD"/>
    <w:rsid w:val="BBDD57CE"/>
    <w:rsid w:val="BBE40FCC"/>
    <w:rsid w:val="BBE7E5D8"/>
    <w:rsid w:val="BBEF48B1"/>
    <w:rsid w:val="BBEFBB14"/>
    <w:rsid w:val="BBF2BF27"/>
    <w:rsid w:val="BBF3729D"/>
    <w:rsid w:val="BBF7ADBC"/>
    <w:rsid w:val="BBF7B75D"/>
    <w:rsid w:val="BBF915C0"/>
    <w:rsid w:val="BBFCF23C"/>
    <w:rsid w:val="BBFE0227"/>
    <w:rsid w:val="BBFE77F5"/>
    <w:rsid w:val="BBFEAEC8"/>
    <w:rsid w:val="BBFF0CA6"/>
    <w:rsid w:val="BBFF8314"/>
    <w:rsid w:val="BBFFDB54"/>
    <w:rsid w:val="BC1AE442"/>
    <w:rsid w:val="BC1EB33B"/>
    <w:rsid w:val="BC3D65F5"/>
    <w:rsid w:val="BC776419"/>
    <w:rsid w:val="BC7AE85F"/>
    <w:rsid w:val="BC7CC551"/>
    <w:rsid w:val="BCC753F8"/>
    <w:rsid w:val="BCDF0222"/>
    <w:rsid w:val="BCEF4911"/>
    <w:rsid w:val="BCEFD9C9"/>
    <w:rsid w:val="BCF7FFE4"/>
    <w:rsid w:val="BCF938A9"/>
    <w:rsid w:val="BCFA22A9"/>
    <w:rsid w:val="BCFB5032"/>
    <w:rsid w:val="BCFD079D"/>
    <w:rsid w:val="BCFDCA3B"/>
    <w:rsid w:val="BCFE6F9C"/>
    <w:rsid w:val="BD1C8AB8"/>
    <w:rsid w:val="BD4E8C98"/>
    <w:rsid w:val="BD5DD7CE"/>
    <w:rsid w:val="BD5F73EA"/>
    <w:rsid w:val="BD5F9033"/>
    <w:rsid w:val="BD6E28EA"/>
    <w:rsid w:val="BD7384D8"/>
    <w:rsid w:val="BD7DD372"/>
    <w:rsid w:val="BD7ED9FB"/>
    <w:rsid w:val="BD7F3B58"/>
    <w:rsid w:val="BD7FB7DD"/>
    <w:rsid w:val="BD7FCAD2"/>
    <w:rsid w:val="BD962357"/>
    <w:rsid w:val="BDAD3650"/>
    <w:rsid w:val="BDAD4D45"/>
    <w:rsid w:val="BDBE2278"/>
    <w:rsid w:val="BDBE83F1"/>
    <w:rsid w:val="BDBF085C"/>
    <w:rsid w:val="BDBF646A"/>
    <w:rsid w:val="BDBFFFFA"/>
    <w:rsid w:val="BDCD8134"/>
    <w:rsid w:val="BDCEAB2E"/>
    <w:rsid w:val="BDCF9B68"/>
    <w:rsid w:val="BDCFB35C"/>
    <w:rsid w:val="BDD791C8"/>
    <w:rsid w:val="BDDA9A78"/>
    <w:rsid w:val="BDDCB73A"/>
    <w:rsid w:val="BDDDABBC"/>
    <w:rsid w:val="BDDE5A47"/>
    <w:rsid w:val="BDDEBA07"/>
    <w:rsid w:val="BDDFCE3D"/>
    <w:rsid w:val="BDE0F885"/>
    <w:rsid w:val="BDE761C0"/>
    <w:rsid w:val="BDEFD6B8"/>
    <w:rsid w:val="BDF33AE1"/>
    <w:rsid w:val="BDF3816C"/>
    <w:rsid w:val="BDF51CC6"/>
    <w:rsid w:val="BDF6FD69"/>
    <w:rsid w:val="BDF71DBE"/>
    <w:rsid w:val="BDF7FC9B"/>
    <w:rsid w:val="BDFAF43C"/>
    <w:rsid w:val="BDFB727F"/>
    <w:rsid w:val="BDFF59B8"/>
    <w:rsid w:val="BDFF88F2"/>
    <w:rsid w:val="BDFF8CEE"/>
    <w:rsid w:val="BDFFA345"/>
    <w:rsid w:val="BDFFC04A"/>
    <w:rsid w:val="BDFFE9D6"/>
    <w:rsid w:val="BE0EB1C6"/>
    <w:rsid w:val="BE3530AD"/>
    <w:rsid w:val="BE37EA1D"/>
    <w:rsid w:val="BE6D4452"/>
    <w:rsid w:val="BE732C0A"/>
    <w:rsid w:val="BE74A5E5"/>
    <w:rsid w:val="BE75FABC"/>
    <w:rsid w:val="BE7D80D6"/>
    <w:rsid w:val="BE7F266E"/>
    <w:rsid w:val="BE7F2B9F"/>
    <w:rsid w:val="BE7FD034"/>
    <w:rsid w:val="BE7FEE99"/>
    <w:rsid w:val="BE9E3612"/>
    <w:rsid w:val="BE9FE737"/>
    <w:rsid w:val="BEA77E9A"/>
    <w:rsid w:val="BEB326F3"/>
    <w:rsid w:val="BEB4CFB1"/>
    <w:rsid w:val="BEBE01A4"/>
    <w:rsid w:val="BEBF2AF8"/>
    <w:rsid w:val="BEBFDB92"/>
    <w:rsid w:val="BEC781A8"/>
    <w:rsid w:val="BECCED99"/>
    <w:rsid w:val="BECF2753"/>
    <w:rsid w:val="BECFA8C1"/>
    <w:rsid w:val="BEDF11C4"/>
    <w:rsid w:val="BEE1E2B1"/>
    <w:rsid w:val="BEE52071"/>
    <w:rsid w:val="BEE9C7BC"/>
    <w:rsid w:val="BEEF36D4"/>
    <w:rsid w:val="BEF60309"/>
    <w:rsid w:val="BEF61BF8"/>
    <w:rsid w:val="BEF65387"/>
    <w:rsid w:val="BEF749A4"/>
    <w:rsid w:val="BEFB5D3E"/>
    <w:rsid w:val="BEFB6824"/>
    <w:rsid w:val="BEFB6F22"/>
    <w:rsid w:val="BEFB7060"/>
    <w:rsid w:val="BEFB8CC2"/>
    <w:rsid w:val="BEFBB275"/>
    <w:rsid w:val="BEFBB50E"/>
    <w:rsid w:val="BEFD6775"/>
    <w:rsid w:val="BEFDC76A"/>
    <w:rsid w:val="BEFDEC6F"/>
    <w:rsid w:val="BEFF397B"/>
    <w:rsid w:val="BEFFD486"/>
    <w:rsid w:val="BEFFE7FB"/>
    <w:rsid w:val="BEFFEC66"/>
    <w:rsid w:val="BF17A7B6"/>
    <w:rsid w:val="BF25529B"/>
    <w:rsid w:val="BF2BF2A1"/>
    <w:rsid w:val="BF2C3626"/>
    <w:rsid w:val="BF2CCE71"/>
    <w:rsid w:val="BF2E9C08"/>
    <w:rsid w:val="BF3BD195"/>
    <w:rsid w:val="BF3CAE7C"/>
    <w:rsid w:val="BF3DC459"/>
    <w:rsid w:val="BF3F026D"/>
    <w:rsid w:val="BF48A4BE"/>
    <w:rsid w:val="BF4D2307"/>
    <w:rsid w:val="BF559E08"/>
    <w:rsid w:val="BF5703C7"/>
    <w:rsid w:val="BF592DCB"/>
    <w:rsid w:val="BF5BD338"/>
    <w:rsid w:val="BF5DED13"/>
    <w:rsid w:val="BF5EEE2D"/>
    <w:rsid w:val="BF5F0823"/>
    <w:rsid w:val="BF672C1F"/>
    <w:rsid w:val="BF673D84"/>
    <w:rsid w:val="BF67FF90"/>
    <w:rsid w:val="BF6D652E"/>
    <w:rsid w:val="BF6F386B"/>
    <w:rsid w:val="BF76F8AC"/>
    <w:rsid w:val="BF776EB8"/>
    <w:rsid w:val="BF77FA9D"/>
    <w:rsid w:val="BF7A0A44"/>
    <w:rsid w:val="BF7C1986"/>
    <w:rsid w:val="BF7DD11D"/>
    <w:rsid w:val="BF7DEFC0"/>
    <w:rsid w:val="BF7E0314"/>
    <w:rsid w:val="BF7EA1D0"/>
    <w:rsid w:val="BF7F2B77"/>
    <w:rsid w:val="BF7F7A2C"/>
    <w:rsid w:val="BF7F94BC"/>
    <w:rsid w:val="BF7F9868"/>
    <w:rsid w:val="BF7FA787"/>
    <w:rsid w:val="BF7FA82C"/>
    <w:rsid w:val="BF7FE98A"/>
    <w:rsid w:val="BF874A0E"/>
    <w:rsid w:val="BF87CED6"/>
    <w:rsid w:val="BF8D3F2A"/>
    <w:rsid w:val="BF8ED6A4"/>
    <w:rsid w:val="BF9A4F57"/>
    <w:rsid w:val="BF9F1510"/>
    <w:rsid w:val="BF9F4588"/>
    <w:rsid w:val="BF9F53AB"/>
    <w:rsid w:val="BF9FC013"/>
    <w:rsid w:val="BF9FE661"/>
    <w:rsid w:val="BFA388C6"/>
    <w:rsid w:val="BFA749D0"/>
    <w:rsid w:val="BFAFC70F"/>
    <w:rsid w:val="BFAFE019"/>
    <w:rsid w:val="BFB943EF"/>
    <w:rsid w:val="BFBBFE53"/>
    <w:rsid w:val="BFBCA1B6"/>
    <w:rsid w:val="BFBEADDD"/>
    <w:rsid w:val="BFBF140C"/>
    <w:rsid w:val="BFBF4809"/>
    <w:rsid w:val="BFBF7097"/>
    <w:rsid w:val="BFBF71DA"/>
    <w:rsid w:val="BFBF8311"/>
    <w:rsid w:val="BFBF911B"/>
    <w:rsid w:val="BFBF9E51"/>
    <w:rsid w:val="BFBFF6EE"/>
    <w:rsid w:val="BFC5D6D9"/>
    <w:rsid w:val="BFC5FAF7"/>
    <w:rsid w:val="BFCBB985"/>
    <w:rsid w:val="BFCBC577"/>
    <w:rsid w:val="BFCFB526"/>
    <w:rsid w:val="BFCFBB29"/>
    <w:rsid w:val="BFD33ED1"/>
    <w:rsid w:val="BFD39DAC"/>
    <w:rsid w:val="BFD569AD"/>
    <w:rsid w:val="BFD625F4"/>
    <w:rsid w:val="BFD67987"/>
    <w:rsid w:val="BFD6B6C0"/>
    <w:rsid w:val="BFD74328"/>
    <w:rsid w:val="BFD946CA"/>
    <w:rsid w:val="BFDA29CA"/>
    <w:rsid w:val="BFDA8E6A"/>
    <w:rsid w:val="BFDAF778"/>
    <w:rsid w:val="BFDEDA6F"/>
    <w:rsid w:val="BFDFA752"/>
    <w:rsid w:val="BFE2F820"/>
    <w:rsid w:val="BFE3BA68"/>
    <w:rsid w:val="BFE3EDA1"/>
    <w:rsid w:val="BFE72AA4"/>
    <w:rsid w:val="BFE7650A"/>
    <w:rsid w:val="BFEB36D3"/>
    <w:rsid w:val="BFEB48B4"/>
    <w:rsid w:val="BFEBBE40"/>
    <w:rsid w:val="BFEBCEDF"/>
    <w:rsid w:val="BFEC3A28"/>
    <w:rsid w:val="BFECC550"/>
    <w:rsid w:val="BFED5C15"/>
    <w:rsid w:val="BFEE65F8"/>
    <w:rsid w:val="BFEF3567"/>
    <w:rsid w:val="BFEF3771"/>
    <w:rsid w:val="BFEF7FA4"/>
    <w:rsid w:val="BFEF8882"/>
    <w:rsid w:val="BFEFB446"/>
    <w:rsid w:val="BFEFE4FC"/>
    <w:rsid w:val="BFEFF070"/>
    <w:rsid w:val="BFF05AAF"/>
    <w:rsid w:val="BFF3F4C9"/>
    <w:rsid w:val="BFF442F7"/>
    <w:rsid w:val="BFF45AF1"/>
    <w:rsid w:val="BFF4A2DE"/>
    <w:rsid w:val="BFF4EEFE"/>
    <w:rsid w:val="BFF554CF"/>
    <w:rsid w:val="BFF55F59"/>
    <w:rsid w:val="BFF56FEB"/>
    <w:rsid w:val="BFF595D0"/>
    <w:rsid w:val="BFF5C94B"/>
    <w:rsid w:val="BFF6ED03"/>
    <w:rsid w:val="BFF6F28C"/>
    <w:rsid w:val="BFF74C5C"/>
    <w:rsid w:val="BFF7BC91"/>
    <w:rsid w:val="BFF7DE57"/>
    <w:rsid w:val="BFF7EB37"/>
    <w:rsid w:val="BFF7F534"/>
    <w:rsid w:val="BFF98068"/>
    <w:rsid w:val="BFFA6373"/>
    <w:rsid w:val="BFFA91DD"/>
    <w:rsid w:val="BFFB585D"/>
    <w:rsid w:val="BFFB7E0C"/>
    <w:rsid w:val="BFFBBFCE"/>
    <w:rsid w:val="BFFBDA7D"/>
    <w:rsid w:val="BFFBF1B3"/>
    <w:rsid w:val="BFFBF7FC"/>
    <w:rsid w:val="BFFCB800"/>
    <w:rsid w:val="BFFCF478"/>
    <w:rsid w:val="BFFDBBC9"/>
    <w:rsid w:val="BFFDCE1C"/>
    <w:rsid w:val="BFFE682C"/>
    <w:rsid w:val="BFFEE84C"/>
    <w:rsid w:val="BFFEEEC7"/>
    <w:rsid w:val="BFFF2F36"/>
    <w:rsid w:val="BFFF319B"/>
    <w:rsid w:val="BFFF347F"/>
    <w:rsid w:val="BFFF3D07"/>
    <w:rsid w:val="BFFF46DE"/>
    <w:rsid w:val="BFFF5318"/>
    <w:rsid w:val="BFFF5E77"/>
    <w:rsid w:val="BFFF6510"/>
    <w:rsid w:val="BFFF77B6"/>
    <w:rsid w:val="BFFF9684"/>
    <w:rsid w:val="BFFF9F41"/>
    <w:rsid w:val="BFFFA03B"/>
    <w:rsid w:val="BFFFE838"/>
    <w:rsid w:val="BFFFEFB5"/>
    <w:rsid w:val="BFFFF25F"/>
    <w:rsid w:val="C11D7FCC"/>
    <w:rsid w:val="C2A76743"/>
    <w:rsid w:val="C2B9F62F"/>
    <w:rsid w:val="C34D3B48"/>
    <w:rsid w:val="C3774978"/>
    <w:rsid w:val="C37A8BBE"/>
    <w:rsid w:val="C4D745FF"/>
    <w:rsid w:val="C56FACAB"/>
    <w:rsid w:val="C5B1A081"/>
    <w:rsid w:val="C5DF0C44"/>
    <w:rsid w:val="C6734ED2"/>
    <w:rsid w:val="C6AFF1F4"/>
    <w:rsid w:val="C6BBE2D1"/>
    <w:rsid w:val="C6FC4B0C"/>
    <w:rsid w:val="C6FE0097"/>
    <w:rsid w:val="C6FF00B7"/>
    <w:rsid w:val="C73F2F0A"/>
    <w:rsid w:val="C73FF953"/>
    <w:rsid w:val="C75DEC31"/>
    <w:rsid w:val="C75E75CF"/>
    <w:rsid w:val="C77B51A1"/>
    <w:rsid w:val="C77FB787"/>
    <w:rsid w:val="C77FE239"/>
    <w:rsid w:val="C79F3FEA"/>
    <w:rsid w:val="C7B336E4"/>
    <w:rsid w:val="C7EF82A3"/>
    <w:rsid w:val="C7FBC63B"/>
    <w:rsid w:val="C7FE14DB"/>
    <w:rsid w:val="C8CB5487"/>
    <w:rsid w:val="C8FA53CA"/>
    <w:rsid w:val="C8FFE6F2"/>
    <w:rsid w:val="C97F53BA"/>
    <w:rsid w:val="C9CD525B"/>
    <w:rsid w:val="C9E79529"/>
    <w:rsid w:val="CA9B0A3C"/>
    <w:rsid w:val="CA9FFD6E"/>
    <w:rsid w:val="CABDF599"/>
    <w:rsid w:val="CAD14A7A"/>
    <w:rsid w:val="CAF28C3F"/>
    <w:rsid w:val="CB3F1227"/>
    <w:rsid w:val="CBB6E011"/>
    <w:rsid w:val="CBB7A945"/>
    <w:rsid w:val="CBBF0AF3"/>
    <w:rsid w:val="CBDB3A81"/>
    <w:rsid w:val="CBE2E482"/>
    <w:rsid w:val="CBE336F3"/>
    <w:rsid w:val="CBEBD97F"/>
    <w:rsid w:val="CBEE0669"/>
    <w:rsid w:val="CBF368E7"/>
    <w:rsid w:val="CBF7F591"/>
    <w:rsid w:val="CBFE7E4A"/>
    <w:rsid w:val="CBFF5854"/>
    <w:rsid w:val="CC7DA83B"/>
    <w:rsid w:val="CC9708CD"/>
    <w:rsid w:val="CCBC9E54"/>
    <w:rsid w:val="CCC79000"/>
    <w:rsid w:val="CCDFCD49"/>
    <w:rsid w:val="CCFD4CFA"/>
    <w:rsid w:val="CCFF097A"/>
    <w:rsid w:val="CD299134"/>
    <w:rsid w:val="CD4AAFDF"/>
    <w:rsid w:val="CD5F0701"/>
    <w:rsid w:val="CD69E97A"/>
    <w:rsid w:val="CD9FCC8C"/>
    <w:rsid w:val="CDD903EB"/>
    <w:rsid w:val="CDDF226C"/>
    <w:rsid w:val="CDE39A17"/>
    <w:rsid w:val="CDEF54A0"/>
    <w:rsid w:val="CDEFCAA0"/>
    <w:rsid w:val="CDF6CDAE"/>
    <w:rsid w:val="CDFB5BBC"/>
    <w:rsid w:val="CDFF5F90"/>
    <w:rsid w:val="CE52FC28"/>
    <w:rsid w:val="CE5F08BF"/>
    <w:rsid w:val="CE73B84D"/>
    <w:rsid w:val="CE7B7BE7"/>
    <w:rsid w:val="CE7E3A70"/>
    <w:rsid w:val="CE7F0F1B"/>
    <w:rsid w:val="CE7F71B9"/>
    <w:rsid w:val="CE84EADF"/>
    <w:rsid w:val="CE9F0304"/>
    <w:rsid w:val="CEAC50BB"/>
    <w:rsid w:val="CEC7CE23"/>
    <w:rsid w:val="CECF5EF9"/>
    <w:rsid w:val="CEEFD14B"/>
    <w:rsid w:val="CEFB60A4"/>
    <w:rsid w:val="CEFD1C80"/>
    <w:rsid w:val="CEFD3087"/>
    <w:rsid w:val="CEFE1DF4"/>
    <w:rsid w:val="CEFE9EB2"/>
    <w:rsid w:val="CEFF7ADE"/>
    <w:rsid w:val="CEFFD6A4"/>
    <w:rsid w:val="CF0D56D6"/>
    <w:rsid w:val="CF1D671C"/>
    <w:rsid w:val="CF2F72C2"/>
    <w:rsid w:val="CF377F31"/>
    <w:rsid w:val="CF54DFE9"/>
    <w:rsid w:val="CF5BF917"/>
    <w:rsid w:val="CF5C9032"/>
    <w:rsid w:val="CF6F26E8"/>
    <w:rsid w:val="CF7324E2"/>
    <w:rsid w:val="CF77CF81"/>
    <w:rsid w:val="CF7BB787"/>
    <w:rsid w:val="CF7E7BE7"/>
    <w:rsid w:val="CF7F0D53"/>
    <w:rsid w:val="CF7F571F"/>
    <w:rsid w:val="CF7F7281"/>
    <w:rsid w:val="CF7F8C3F"/>
    <w:rsid w:val="CF7F99A8"/>
    <w:rsid w:val="CF7FB64E"/>
    <w:rsid w:val="CF7FF025"/>
    <w:rsid w:val="CF8F0A6D"/>
    <w:rsid w:val="CF933C78"/>
    <w:rsid w:val="CF9C0A2F"/>
    <w:rsid w:val="CF9CCD27"/>
    <w:rsid w:val="CFA74399"/>
    <w:rsid w:val="CFB5CBEF"/>
    <w:rsid w:val="CFB6F24D"/>
    <w:rsid w:val="CFBB6B75"/>
    <w:rsid w:val="CFBE793C"/>
    <w:rsid w:val="CFBF0159"/>
    <w:rsid w:val="CFBF59D9"/>
    <w:rsid w:val="CFBF859D"/>
    <w:rsid w:val="CFBF92A1"/>
    <w:rsid w:val="CFD7D8F8"/>
    <w:rsid w:val="CFDAA024"/>
    <w:rsid w:val="CFDBB68E"/>
    <w:rsid w:val="CFDF36D8"/>
    <w:rsid w:val="CFDF43A3"/>
    <w:rsid w:val="CFDF8F70"/>
    <w:rsid w:val="CFDF9861"/>
    <w:rsid w:val="CFE7864C"/>
    <w:rsid w:val="CFEDBE23"/>
    <w:rsid w:val="CFEE6FED"/>
    <w:rsid w:val="CFEF11AA"/>
    <w:rsid w:val="CFEF60C3"/>
    <w:rsid w:val="CFEF7FED"/>
    <w:rsid w:val="CFEFDA4C"/>
    <w:rsid w:val="CFF6F289"/>
    <w:rsid w:val="CFF7B58B"/>
    <w:rsid w:val="CFF7F9A1"/>
    <w:rsid w:val="CFFA0E16"/>
    <w:rsid w:val="CFFD3B9F"/>
    <w:rsid w:val="CFFD6992"/>
    <w:rsid w:val="CFFDB415"/>
    <w:rsid w:val="CFFF2751"/>
    <w:rsid w:val="CFFFB390"/>
    <w:rsid w:val="CFFFBE6C"/>
    <w:rsid w:val="D08FAFEE"/>
    <w:rsid w:val="D0AF3503"/>
    <w:rsid w:val="D126F43D"/>
    <w:rsid w:val="D19CFED8"/>
    <w:rsid w:val="D1DF46D2"/>
    <w:rsid w:val="D1EB773F"/>
    <w:rsid w:val="D1EFB96E"/>
    <w:rsid w:val="D1FFA883"/>
    <w:rsid w:val="D26C78C4"/>
    <w:rsid w:val="D2DE87B8"/>
    <w:rsid w:val="D2DF7C02"/>
    <w:rsid w:val="D2DFFF54"/>
    <w:rsid w:val="D2FFCDD8"/>
    <w:rsid w:val="D31F4039"/>
    <w:rsid w:val="D37DA4C7"/>
    <w:rsid w:val="D39DF463"/>
    <w:rsid w:val="D3C7C72F"/>
    <w:rsid w:val="D3DF5402"/>
    <w:rsid w:val="D3E584B5"/>
    <w:rsid w:val="D3EE536E"/>
    <w:rsid w:val="D3F78A77"/>
    <w:rsid w:val="D3F7C5B9"/>
    <w:rsid w:val="D3F85E2B"/>
    <w:rsid w:val="D3FB7816"/>
    <w:rsid w:val="D3FB799A"/>
    <w:rsid w:val="D3FE029A"/>
    <w:rsid w:val="D3FF1B0B"/>
    <w:rsid w:val="D3FF6439"/>
    <w:rsid w:val="D46ECBD6"/>
    <w:rsid w:val="D4BDDA60"/>
    <w:rsid w:val="D4DBC1BA"/>
    <w:rsid w:val="D4DDC45A"/>
    <w:rsid w:val="D4FBC803"/>
    <w:rsid w:val="D4FD0897"/>
    <w:rsid w:val="D4FE21D2"/>
    <w:rsid w:val="D4FE3FAC"/>
    <w:rsid w:val="D53CF503"/>
    <w:rsid w:val="D54BD2C5"/>
    <w:rsid w:val="D557698E"/>
    <w:rsid w:val="D55F24BE"/>
    <w:rsid w:val="D55F8055"/>
    <w:rsid w:val="D57DDFAE"/>
    <w:rsid w:val="D57DE208"/>
    <w:rsid w:val="D57FDA26"/>
    <w:rsid w:val="D5B60734"/>
    <w:rsid w:val="D5BE02B5"/>
    <w:rsid w:val="D5BF9C34"/>
    <w:rsid w:val="D5DB169D"/>
    <w:rsid w:val="D5E7F625"/>
    <w:rsid w:val="D5EFD43E"/>
    <w:rsid w:val="D5F8BFF6"/>
    <w:rsid w:val="D5FC255C"/>
    <w:rsid w:val="D5FE6CB6"/>
    <w:rsid w:val="D5FF8BC5"/>
    <w:rsid w:val="D5FFA6F5"/>
    <w:rsid w:val="D63D6A6F"/>
    <w:rsid w:val="D63E8260"/>
    <w:rsid w:val="D66B29C6"/>
    <w:rsid w:val="D66BF582"/>
    <w:rsid w:val="D66D1822"/>
    <w:rsid w:val="D67DC94E"/>
    <w:rsid w:val="D69C8FB7"/>
    <w:rsid w:val="D6AA7489"/>
    <w:rsid w:val="D6B56108"/>
    <w:rsid w:val="D6BFE0DD"/>
    <w:rsid w:val="D6CBC522"/>
    <w:rsid w:val="D6EBA9EE"/>
    <w:rsid w:val="D6EEEB29"/>
    <w:rsid w:val="D6FE349E"/>
    <w:rsid w:val="D6FF3AC7"/>
    <w:rsid w:val="D6FFD02F"/>
    <w:rsid w:val="D71FB5AE"/>
    <w:rsid w:val="D7272627"/>
    <w:rsid w:val="D7376254"/>
    <w:rsid w:val="D73EDD71"/>
    <w:rsid w:val="D74B5825"/>
    <w:rsid w:val="D75D076A"/>
    <w:rsid w:val="D75EB5F5"/>
    <w:rsid w:val="D75FACFB"/>
    <w:rsid w:val="D765CBAD"/>
    <w:rsid w:val="D76A034A"/>
    <w:rsid w:val="D777B187"/>
    <w:rsid w:val="D777C9EA"/>
    <w:rsid w:val="D77A9085"/>
    <w:rsid w:val="D77B4698"/>
    <w:rsid w:val="D77B5EA5"/>
    <w:rsid w:val="D79E18E2"/>
    <w:rsid w:val="D79FADC3"/>
    <w:rsid w:val="D7A75215"/>
    <w:rsid w:val="D7B53079"/>
    <w:rsid w:val="D7BDA9C4"/>
    <w:rsid w:val="D7BE0576"/>
    <w:rsid w:val="D7CF20A2"/>
    <w:rsid w:val="D7CF63F1"/>
    <w:rsid w:val="D7DBD119"/>
    <w:rsid w:val="D7DE1B37"/>
    <w:rsid w:val="D7DEE84A"/>
    <w:rsid w:val="D7DFEFBC"/>
    <w:rsid w:val="D7EE482B"/>
    <w:rsid w:val="D7F27D3A"/>
    <w:rsid w:val="D7F31080"/>
    <w:rsid w:val="D7F767D5"/>
    <w:rsid w:val="D7FBAB40"/>
    <w:rsid w:val="D7FD4510"/>
    <w:rsid w:val="D7FE888A"/>
    <w:rsid w:val="D7FEE9E7"/>
    <w:rsid w:val="D7FF6EE8"/>
    <w:rsid w:val="D7FF79AE"/>
    <w:rsid w:val="D7FFA0C4"/>
    <w:rsid w:val="D7FFB634"/>
    <w:rsid w:val="D7FFD08E"/>
    <w:rsid w:val="D7FFD476"/>
    <w:rsid w:val="D7FFE08B"/>
    <w:rsid w:val="D7FFE37D"/>
    <w:rsid w:val="D8BF3A2E"/>
    <w:rsid w:val="D8ECA93C"/>
    <w:rsid w:val="D8FB14DB"/>
    <w:rsid w:val="D8FB4F67"/>
    <w:rsid w:val="D9349521"/>
    <w:rsid w:val="D93FDC4A"/>
    <w:rsid w:val="D95FAFB9"/>
    <w:rsid w:val="D97709B7"/>
    <w:rsid w:val="D9A27204"/>
    <w:rsid w:val="D9F4FDB5"/>
    <w:rsid w:val="D9F611F2"/>
    <w:rsid w:val="D9F748C0"/>
    <w:rsid w:val="DA3C6466"/>
    <w:rsid w:val="DA4FB900"/>
    <w:rsid w:val="DA53FAEC"/>
    <w:rsid w:val="DA587F35"/>
    <w:rsid w:val="DA6AB36B"/>
    <w:rsid w:val="DA7761BB"/>
    <w:rsid w:val="DA7B7769"/>
    <w:rsid w:val="DA7C4DB3"/>
    <w:rsid w:val="DA7D167E"/>
    <w:rsid w:val="DA8DDBA8"/>
    <w:rsid w:val="DABDDD88"/>
    <w:rsid w:val="DAE7C334"/>
    <w:rsid w:val="DAEADBAA"/>
    <w:rsid w:val="DAF6D043"/>
    <w:rsid w:val="DAF72A87"/>
    <w:rsid w:val="DAF77C30"/>
    <w:rsid w:val="DAFFC95E"/>
    <w:rsid w:val="DB217D96"/>
    <w:rsid w:val="DB379C61"/>
    <w:rsid w:val="DB4F5133"/>
    <w:rsid w:val="DB539CA2"/>
    <w:rsid w:val="DB5E8081"/>
    <w:rsid w:val="DB5F8E96"/>
    <w:rsid w:val="DB776E5D"/>
    <w:rsid w:val="DB77CCA6"/>
    <w:rsid w:val="DB7B5762"/>
    <w:rsid w:val="DB7DAA45"/>
    <w:rsid w:val="DB9373B7"/>
    <w:rsid w:val="DB9CF11C"/>
    <w:rsid w:val="DBA628F3"/>
    <w:rsid w:val="DBA78AE0"/>
    <w:rsid w:val="DBBDE10B"/>
    <w:rsid w:val="DBBDEB2C"/>
    <w:rsid w:val="DBBEB726"/>
    <w:rsid w:val="DBBEE789"/>
    <w:rsid w:val="DBBEFF5A"/>
    <w:rsid w:val="DBBF0A34"/>
    <w:rsid w:val="DBBF484F"/>
    <w:rsid w:val="DBBF994E"/>
    <w:rsid w:val="DBC1CB8C"/>
    <w:rsid w:val="DBCF1A91"/>
    <w:rsid w:val="DBCF60D6"/>
    <w:rsid w:val="DBCF6C29"/>
    <w:rsid w:val="DBDB14D1"/>
    <w:rsid w:val="DBDD8C02"/>
    <w:rsid w:val="DBDE372A"/>
    <w:rsid w:val="DBDF11BD"/>
    <w:rsid w:val="DBDF13DF"/>
    <w:rsid w:val="DBDF302C"/>
    <w:rsid w:val="DBE795B5"/>
    <w:rsid w:val="DBEEA15B"/>
    <w:rsid w:val="DBEEC75D"/>
    <w:rsid w:val="DBEFCDB8"/>
    <w:rsid w:val="DBF7E89D"/>
    <w:rsid w:val="DBF99B2D"/>
    <w:rsid w:val="DBFADD8A"/>
    <w:rsid w:val="DBFB055A"/>
    <w:rsid w:val="DBFC5362"/>
    <w:rsid w:val="DBFD3118"/>
    <w:rsid w:val="DBFDCB86"/>
    <w:rsid w:val="DBFE6C30"/>
    <w:rsid w:val="DBFF2930"/>
    <w:rsid w:val="DBFFC180"/>
    <w:rsid w:val="DC4EBB2E"/>
    <w:rsid w:val="DC5DF73C"/>
    <w:rsid w:val="DC771995"/>
    <w:rsid w:val="DC8E677A"/>
    <w:rsid w:val="DC9DF3B6"/>
    <w:rsid w:val="DCA2C4E7"/>
    <w:rsid w:val="DCBD08E4"/>
    <w:rsid w:val="DCBE35A9"/>
    <w:rsid w:val="DCBE6768"/>
    <w:rsid w:val="DCC40782"/>
    <w:rsid w:val="DCDE61FA"/>
    <w:rsid w:val="DCDF082E"/>
    <w:rsid w:val="DCE55F85"/>
    <w:rsid w:val="DCE77B0C"/>
    <w:rsid w:val="DCF6BF6D"/>
    <w:rsid w:val="DCF6D5A9"/>
    <w:rsid w:val="DCFD8CAB"/>
    <w:rsid w:val="DCFFC465"/>
    <w:rsid w:val="DD355AB8"/>
    <w:rsid w:val="DD3E41CB"/>
    <w:rsid w:val="DD5F7BA7"/>
    <w:rsid w:val="DD5FB54C"/>
    <w:rsid w:val="DD6F6348"/>
    <w:rsid w:val="DD6F89A5"/>
    <w:rsid w:val="DD773737"/>
    <w:rsid w:val="DD79017E"/>
    <w:rsid w:val="DD7B5B04"/>
    <w:rsid w:val="DD7BEACC"/>
    <w:rsid w:val="DD95719C"/>
    <w:rsid w:val="DDA32299"/>
    <w:rsid w:val="DDA74F3A"/>
    <w:rsid w:val="DDAB016C"/>
    <w:rsid w:val="DDAB2531"/>
    <w:rsid w:val="DDB950B0"/>
    <w:rsid w:val="DDBB45A0"/>
    <w:rsid w:val="DDBBCCD6"/>
    <w:rsid w:val="DDBD2B20"/>
    <w:rsid w:val="DDBF260C"/>
    <w:rsid w:val="DDBF9B2F"/>
    <w:rsid w:val="DDBFD85E"/>
    <w:rsid w:val="DDD53E14"/>
    <w:rsid w:val="DDD7E481"/>
    <w:rsid w:val="DDDADC7D"/>
    <w:rsid w:val="DDDC70FC"/>
    <w:rsid w:val="DDDCEF2D"/>
    <w:rsid w:val="DDDD6F43"/>
    <w:rsid w:val="DDDF5584"/>
    <w:rsid w:val="DDDF6A80"/>
    <w:rsid w:val="DDDFC9CB"/>
    <w:rsid w:val="DDDFDFC2"/>
    <w:rsid w:val="DDE403B6"/>
    <w:rsid w:val="DDEE5E00"/>
    <w:rsid w:val="DDEEA796"/>
    <w:rsid w:val="DDEF8D25"/>
    <w:rsid w:val="DDF744B8"/>
    <w:rsid w:val="DDF7B5F5"/>
    <w:rsid w:val="DDF7F81B"/>
    <w:rsid w:val="DDFD48CD"/>
    <w:rsid w:val="DDFD96DF"/>
    <w:rsid w:val="DDFE3E1A"/>
    <w:rsid w:val="DDFE693D"/>
    <w:rsid w:val="DDFF0CE4"/>
    <w:rsid w:val="DDFF141F"/>
    <w:rsid w:val="DDFF2118"/>
    <w:rsid w:val="DDFF393C"/>
    <w:rsid w:val="DDFF5CD9"/>
    <w:rsid w:val="DDFF9FDD"/>
    <w:rsid w:val="DDFFCA1C"/>
    <w:rsid w:val="DDFFE037"/>
    <w:rsid w:val="DDFFEF80"/>
    <w:rsid w:val="DE3FC335"/>
    <w:rsid w:val="DE6F00B5"/>
    <w:rsid w:val="DE76AA5A"/>
    <w:rsid w:val="DE77DCD4"/>
    <w:rsid w:val="DE7A8C8D"/>
    <w:rsid w:val="DE7F2B47"/>
    <w:rsid w:val="DE7F5203"/>
    <w:rsid w:val="DE7FE395"/>
    <w:rsid w:val="DEA5D3E7"/>
    <w:rsid w:val="DEB3213C"/>
    <w:rsid w:val="DEB63CE7"/>
    <w:rsid w:val="DEBB8B66"/>
    <w:rsid w:val="DEBDF432"/>
    <w:rsid w:val="DEBFC2FE"/>
    <w:rsid w:val="DEBFD23E"/>
    <w:rsid w:val="DEC7AF86"/>
    <w:rsid w:val="DECFB61F"/>
    <w:rsid w:val="DED783B1"/>
    <w:rsid w:val="DED921ED"/>
    <w:rsid w:val="DEDA525E"/>
    <w:rsid w:val="DEDF546E"/>
    <w:rsid w:val="DEE63F6C"/>
    <w:rsid w:val="DEEBFF2A"/>
    <w:rsid w:val="DEEC0368"/>
    <w:rsid w:val="DEEE6350"/>
    <w:rsid w:val="DEEEBF2A"/>
    <w:rsid w:val="DEEF16DA"/>
    <w:rsid w:val="DEEF262B"/>
    <w:rsid w:val="DEF51D00"/>
    <w:rsid w:val="DEF69F5D"/>
    <w:rsid w:val="DEF7A939"/>
    <w:rsid w:val="DEF8E493"/>
    <w:rsid w:val="DEFB699E"/>
    <w:rsid w:val="DEFBC061"/>
    <w:rsid w:val="DEFC52DC"/>
    <w:rsid w:val="DEFCF114"/>
    <w:rsid w:val="DEFF5D4B"/>
    <w:rsid w:val="DEFF72A9"/>
    <w:rsid w:val="DEFF7DD4"/>
    <w:rsid w:val="DEFF8BF9"/>
    <w:rsid w:val="DEFFB916"/>
    <w:rsid w:val="DEFFDBF0"/>
    <w:rsid w:val="DEFFDDBA"/>
    <w:rsid w:val="DEFFF07E"/>
    <w:rsid w:val="DEFFF394"/>
    <w:rsid w:val="DF1E506F"/>
    <w:rsid w:val="DF1FE890"/>
    <w:rsid w:val="DF27C113"/>
    <w:rsid w:val="DF36B214"/>
    <w:rsid w:val="DF3770F4"/>
    <w:rsid w:val="DF3E9B2A"/>
    <w:rsid w:val="DF3EB206"/>
    <w:rsid w:val="DF3F23DC"/>
    <w:rsid w:val="DF3F4FF5"/>
    <w:rsid w:val="DF3F7A1D"/>
    <w:rsid w:val="DF3F95AE"/>
    <w:rsid w:val="DF3F9D5B"/>
    <w:rsid w:val="DF3FD525"/>
    <w:rsid w:val="DF3FE7F3"/>
    <w:rsid w:val="DF4E0C48"/>
    <w:rsid w:val="DF4ED3F5"/>
    <w:rsid w:val="DF576B70"/>
    <w:rsid w:val="DF585415"/>
    <w:rsid w:val="DF5AB602"/>
    <w:rsid w:val="DF5B9F1C"/>
    <w:rsid w:val="DF5F6586"/>
    <w:rsid w:val="DF5FEF20"/>
    <w:rsid w:val="DF6549A4"/>
    <w:rsid w:val="DF6FCFA4"/>
    <w:rsid w:val="DF70C19F"/>
    <w:rsid w:val="DF718007"/>
    <w:rsid w:val="DF73ECFA"/>
    <w:rsid w:val="DF77B18A"/>
    <w:rsid w:val="DF783C61"/>
    <w:rsid w:val="DF797A0F"/>
    <w:rsid w:val="DF7A9834"/>
    <w:rsid w:val="DF7ABE97"/>
    <w:rsid w:val="DF7B399A"/>
    <w:rsid w:val="DF7BCABA"/>
    <w:rsid w:val="DF7CC0F4"/>
    <w:rsid w:val="DF7E7F8F"/>
    <w:rsid w:val="DF7EA091"/>
    <w:rsid w:val="DF7F4B0B"/>
    <w:rsid w:val="DF7F88D3"/>
    <w:rsid w:val="DF7F92BC"/>
    <w:rsid w:val="DF7F9330"/>
    <w:rsid w:val="DF890305"/>
    <w:rsid w:val="DF9B99F9"/>
    <w:rsid w:val="DF9E8E46"/>
    <w:rsid w:val="DFA766EC"/>
    <w:rsid w:val="DFAE4179"/>
    <w:rsid w:val="DFAF51EA"/>
    <w:rsid w:val="DFB6BBAA"/>
    <w:rsid w:val="DFB74ADC"/>
    <w:rsid w:val="DFB91192"/>
    <w:rsid w:val="DFBB81D8"/>
    <w:rsid w:val="DFBBA3CB"/>
    <w:rsid w:val="DFBC98DD"/>
    <w:rsid w:val="DFBCB6D9"/>
    <w:rsid w:val="DFBDA95A"/>
    <w:rsid w:val="DFBE1FC2"/>
    <w:rsid w:val="DFBF1EFF"/>
    <w:rsid w:val="DFBFF578"/>
    <w:rsid w:val="DFBFFBCF"/>
    <w:rsid w:val="DFC36E44"/>
    <w:rsid w:val="DFCF5457"/>
    <w:rsid w:val="DFCFD90E"/>
    <w:rsid w:val="DFD47D9B"/>
    <w:rsid w:val="DFD5CE35"/>
    <w:rsid w:val="DFD66B43"/>
    <w:rsid w:val="DFD66B86"/>
    <w:rsid w:val="DFD723A8"/>
    <w:rsid w:val="DFD79B19"/>
    <w:rsid w:val="DFD79FC6"/>
    <w:rsid w:val="DFD7C768"/>
    <w:rsid w:val="DFDA7768"/>
    <w:rsid w:val="DFDBD5C8"/>
    <w:rsid w:val="DFDDD02C"/>
    <w:rsid w:val="DFDF02C3"/>
    <w:rsid w:val="DFDF1290"/>
    <w:rsid w:val="DFDF9CEF"/>
    <w:rsid w:val="DFDFB103"/>
    <w:rsid w:val="DFDFDC7D"/>
    <w:rsid w:val="DFE5BF34"/>
    <w:rsid w:val="DFE90E61"/>
    <w:rsid w:val="DFEABEB0"/>
    <w:rsid w:val="DFEB4492"/>
    <w:rsid w:val="DFED494D"/>
    <w:rsid w:val="DFEE514A"/>
    <w:rsid w:val="DFEE9F2A"/>
    <w:rsid w:val="DFEF0B81"/>
    <w:rsid w:val="DFEF60DD"/>
    <w:rsid w:val="DFEF9C78"/>
    <w:rsid w:val="DFEFCCCF"/>
    <w:rsid w:val="DFF22B04"/>
    <w:rsid w:val="DFF2766B"/>
    <w:rsid w:val="DFF29BB5"/>
    <w:rsid w:val="DFF2CAF3"/>
    <w:rsid w:val="DFF2CFE5"/>
    <w:rsid w:val="DFF37DC0"/>
    <w:rsid w:val="DFF45F3B"/>
    <w:rsid w:val="DFF4752C"/>
    <w:rsid w:val="DFF5C2B9"/>
    <w:rsid w:val="DFF670A2"/>
    <w:rsid w:val="DFF6952E"/>
    <w:rsid w:val="DFF7114E"/>
    <w:rsid w:val="DFF75675"/>
    <w:rsid w:val="DFF76721"/>
    <w:rsid w:val="DFF76A77"/>
    <w:rsid w:val="DFF795EA"/>
    <w:rsid w:val="DFF7AFE3"/>
    <w:rsid w:val="DFF7EB54"/>
    <w:rsid w:val="DFF7FA60"/>
    <w:rsid w:val="DFF9002D"/>
    <w:rsid w:val="DFF9F6D4"/>
    <w:rsid w:val="DFFAFA0B"/>
    <w:rsid w:val="DFFB07A4"/>
    <w:rsid w:val="DFFB1A01"/>
    <w:rsid w:val="DFFB7B14"/>
    <w:rsid w:val="DFFB94D4"/>
    <w:rsid w:val="DFFBC3F9"/>
    <w:rsid w:val="DFFBD980"/>
    <w:rsid w:val="DFFBED3A"/>
    <w:rsid w:val="DFFC1B84"/>
    <w:rsid w:val="DFFC9787"/>
    <w:rsid w:val="DFFD511F"/>
    <w:rsid w:val="DFFDF838"/>
    <w:rsid w:val="DFFDFEBA"/>
    <w:rsid w:val="DFFE2A1C"/>
    <w:rsid w:val="DFFE7AEB"/>
    <w:rsid w:val="DFFE89B8"/>
    <w:rsid w:val="DFFE8B75"/>
    <w:rsid w:val="DFFEA3B0"/>
    <w:rsid w:val="DFFEE7A3"/>
    <w:rsid w:val="DFFEE8A9"/>
    <w:rsid w:val="DFFF1B45"/>
    <w:rsid w:val="DFFF1BF5"/>
    <w:rsid w:val="DFFF29D8"/>
    <w:rsid w:val="DFFF3C27"/>
    <w:rsid w:val="DFFF43BD"/>
    <w:rsid w:val="DFFF89B7"/>
    <w:rsid w:val="DFFF916A"/>
    <w:rsid w:val="DFFFA000"/>
    <w:rsid w:val="DFFFBC18"/>
    <w:rsid w:val="DFFFC6C0"/>
    <w:rsid w:val="DFFFE8CD"/>
    <w:rsid w:val="E0BFDBCD"/>
    <w:rsid w:val="E17E9EF9"/>
    <w:rsid w:val="E1DC7094"/>
    <w:rsid w:val="E1EBD530"/>
    <w:rsid w:val="E1FB03C6"/>
    <w:rsid w:val="E1FD3F31"/>
    <w:rsid w:val="E2BFF9A3"/>
    <w:rsid w:val="E2EF669B"/>
    <w:rsid w:val="E2FB8F19"/>
    <w:rsid w:val="E313841D"/>
    <w:rsid w:val="E31B8536"/>
    <w:rsid w:val="E376C14F"/>
    <w:rsid w:val="E38F0D91"/>
    <w:rsid w:val="E3921FC7"/>
    <w:rsid w:val="E3955A01"/>
    <w:rsid w:val="E3F3B953"/>
    <w:rsid w:val="E3F9A543"/>
    <w:rsid w:val="E3FB49A6"/>
    <w:rsid w:val="E3FCF393"/>
    <w:rsid w:val="E3FF22F9"/>
    <w:rsid w:val="E3FF4688"/>
    <w:rsid w:val="E46BD648"/>
    <w:rsid w:val="E47A0D98"/>
    <w:rsid w:val="E4BF8048"/>
    <w:rsid w:val="E4DEAC4E"/>
    <w:rsid w:val="E4F53F71"/>
    <w:rsid w:val="E4FD6960"/>
    <w:rsid w:val="E50FA48D"/>
    <w:rsid w:val="E51344FD"/>
    <w:rsid w:val="E51D08E3"/>
    <w:rsid w:val="E5308035"/>
    <w:rsid w:val="E57060D5"/>
    <w:rsid w:val="E575B463"/>
    <w:rsid w:val="E58F3163"/>
    <w:rsid w:val="E59F91D6"/>
    <w:rsid w:val="E5BC9152"/>
    <w:rsid w:val="E5BE39B1"/>
    <w:rsid w:val="E5BFB417"/>
    <w:rsid w:val="E5ED0FAC"/>
    <w:rsid w:val="E5F7695A"/>
    <w:rsid w:val="E5F7D17D"/>
    <w:rsid w:val="E5FD8866"/>
    <w:rsid w:val="E5FEAB59"/>
    <w:rsid w:val="E5FF8443"/>
    <w:rsid w:val="E5FFAC22"/>
    <w:rsid w:val="E63DA690"/>
    <w:rsid w:val="E65ADF7C"/>
    <w:rsid w:val="E67B4947"/>
    <w:rsid w:val="E69369AA"/>
    <w:rsid w:val="E6DD3C5B"/>
    <w:rsid w:val="E6DEA833"/>
    <w:rsid w:val="E6DFF962"/>
    <w:rsid w:val="E6ED3F37"/>
    <w:rsid w:val="E6EF5821"/>
    <w:rsid w:val="E6EFB74D"/>
    <w:rsid w:val="E6EFE3F7"/>
    <w:rsid w:val="E6FE0985"/>
    <w:rsid w:val="E6FE2DA0"/>
    <w:rsid w:val="E6FEF5A2"/>
    <w:rsid w:val="E6FF980C"/>
    <w:rsid w:val="E6FFCCA0"/>
    <w:rsid w:val="E72E104F"/>
    <w:rsid w:val="E73EC2C5"/>
    <w:rsid w:val="E745215B"/>
    <w:rsid w:val="E7574AAA"/>
    <w:rsid w:val="E76CA1DD"/>
    <w:rsid w:val="E76F554D"/>
    <w:rsid w:val="E77F5161"/>
    <w:rsid w:val="E77FE625"/>
    <w:rsid w:val="E78F9AE6"/>
    <w:rsid w:val="E797D3F2"/>
    <w:rsid w:val="E7A95A50"/>
    <w:rsid w:val="E7AEE95D"/>
    <w:rsid w:val="E7B1D340"/>
    <w:rsid w:val="E7B7C552"/>
    <w:rsid w:val="E7BB6EC5"/>
    <w:rsid w:val="E7BF317A"/>
    <w:rsid w:val="E7BF7F8C"/>
    <w:rsid w:val="E7C6FDC7"/>
    <w:rsid w:val="E7CB67A2"/>
    <w:rsid w:val="E7D760AA"/>
    <w:rsid w:val="E7D96C12"/>
    <w:rsid w:val="E7DB6E98"/>
    <w:rsid w:val="E7DDDD88"/>
    <w:rsid w:val="E7DF0389"/>
    <w:rsid w:val="E7DF171F"/>
    <w:rsid w:val="E7DF72B5"/>
    <w:rsid w:val="E7E303FA"/>
    <w:rsid w:val="E7E3D232"/>
    <w:rsid w:val="E7F197D8"/>
    <w:rsid w:val="E7F1B6F5"/>
    <w:rsid w:val="E7F1BC14"/>
    <w:rsid w:val="E7F3393B"/>
    <w:rsid w:val="E7F76BA4"/>
    <w:rsid w:val="E7F96E00"/>
    <w:rsid w:val="E7FBE4E1"/>
    <w:rsid w:val="E7FD6338"/>
    <w:rsid w:val="E7FD7983"/>
    <w:rsid w:val="E7FE5C5D"/>
    <w:rsid w:val="E7FEB14B"/>
    <w:rsid w:val="E7FED25F"/>
    <w:rsid w:val="E7FEDF3D"/>
    <w:rsid w:val="E7FF7F39"/>
    <w:rsid w:val="E7FF9A60"/>
    <w:rsid w:val="E7FFA20F"/>
    <w:rsid w:val="E7FFC335"/>
    <w:rsid w:val="E7FFEE8A"/>
    <w:rsid w:val="E7FFF09B"/>
    <w:rsid w:val="E7FFF837"/>
    <w:rsid w:val="E85FBE85"/>
    <w:rsid w:val="E87F72BC"/>
    <w:rsid w:val="E89FFAE4"/>
    <w:rsid w:val="E8BE48A0"/>
    <w:rsid w:val="E8DF504B"/>
    <w:rsid w:val="E8EF0EA8"/>
    <w:rsid w:val="E8F19F54"/>
    <w:rsid w:val="E8F964E7"/>
    <w:rsid w:val="E8FD9B5B"/>
    <w:rsid w:val="E8FEFA17"/>
    <w:rsid w:val="E9158FAC"/>
    <w:rsid w:val="E98EA62E"/>
    <w:rsid w:val="E9A3DD74"/>
    <w:rsid w:val="E9AF865A"/>
    <w:rsid w:val="E9CE220B"/>
    <w:rsid w:val="E9F76B70"/>
    <w:rsid w:val="E9F97F8B"/>
    <w:rsid w:val="E9FEABF6"/>
    <w:rsid w:val="E9FF0196"/>
    <w:rsid w:val="E9FF257C"/>
    <w:rsid w:val="E9FF6E41"/>
    <w:rsid w:val="E9FF797B"/>
    <w:rsid w:val="E9FFBD03"/>
    <w:rsid w:val="EA2F152C"/>
    <w:rsid w:val="EA374734"/>
    <w:rsid w:val="EA3B9F49"/>
    <w:rsid w:val="EA4F9678"/>
    <w:rsid w:val="EA6FA146"/>
    <w:rsid w:val="EA7F1009"/>
    <w:rsid w:val="EA99E865"/>
    <w:rsid w:val="EABDEC77"/>
    <w:rsid w:val="EADB75F7"/>
    <w:rsid w:val="EADFBA64"/>
    <w:rsid w:val="EAED3467"/>
    <w:rsid w:val="EAFB5F05"/>
    <w:rsid w:val="EB1FEDC7"/>
    <w:rsid w:val="EB3EB52F"/>
    <w:rsid w:val="EB3FE333"/>
    <w:rsid w:val="EB4FFFDB"/>
    <w:rsid w:val="EB570410"/>
    <w:rsid w:val="EB5B9736"/>
    <w:rsid w:val="EB65F65F"/>
    <w:rsid w:val="EB66FB79"/>
    <w:rsid w:val="EB6B90FE"/>
    <w:rsid w:val="EB7B17DB"/>
    <w:rsid w:val="EB7B8370"/>
    <w:rsid w:val="EB7C6D9C"/>
    <w:rsid w:val="EB7DE0AF"/>
    <w:rsid w:val="EB7E2B9F"/>
    <w:rsid w:val="EB9F6652"/>
    <w:rsid w:val="EB9FBAAE"/>
    <w:rsid w:val="EBA79913"/>
    <w:rsid w:val="EBAF142A"/>
    <w:rsid w:val="EBBF4CDB"/>
    <w:rsid w:val="EBC6DBD4"/>
    <w:rsid w:val="EBCF3C67"/>
    <w:rsid w:val="EBCF6FE0"/>
    <w:rsid w:val="EBD39B28"/>
    <w:rsid w:val="EBD778D7"/>
    <w:rsid w:val="EBDBE8E7"/>
    <w:rsid w:val="EBDCE462"/>
    <w:rsid w:val="EBDDC655"/>
    <w:rsid w:val="EBDE9B86"/>
    <w:rsid w:val="EBDFBD7B"/>
    <w:rsid w:val="EBDFFA30"/>
    <w:rsid w:val="EBE135E2"/>
    <w:rsid w:val="EBE6CFC5"/>
    <w:rsid w:val="EBE7A547"/>
    <w:rsid w:val="EBEBDA3B"/>
    <w:rsid w:val="EBED29C9"/>
    <w:rsid w:val="EBED2B84"/>
    <w:rsid w:val="EBED58D4"/>
    <w:rsid w:val="EBEDD12D"/>
    <w:rsid w:val="EBEFA514"/>
    <w:rsid w:val="EBF1C11F"/>
    <w:rsid w:val="EBF50642"/>
    <w:rsid w:val="EBF518BD"/>
    <w:rsid w:val="EBF61A9B"/>
    <w:rsid w:val="EBF6274D"/>
    <w:rsid w:val="EBF7AF63"/>
    <w:rsid w:val="EBF7F8AC"/>
    <w:rsid w:val="EBFA090F"/>
    <w:rsid w:val="EBFB4AFE"/>
    <w:rsid w:val="EBFB6BAA"/>
    <w:rsid w:val="EBFC6C30"/>
    <w:rsid w:val="EBFD2529"/>
    <w:rsid w:val="EBFD2B85"/>
    <w:rsid w:val="EBFD473E"/>
    <w:rsid w:val="EBFDDABA"/>
    <w:rsid w:val="EBFEC7B1"/>
    <w:rsid w:val="EBFF0DFB"/>
    <w:rsid w:val="EBFF4FD6"/>
    <w:rsid w:val="EBFF5829"/>
    <w:rsid w:val="EBFF81E2"/>
    <w:rsid w:val="EBFFA3D5"/>
    <w:rsid w:val="EBFFE242"/>
    <w:rsid w:val="EC263ABD"/>
    <w:rsid w:val="EC2F1656"/>
    <w:rsid w:val="EC2FCA90"/>
    <w:rsid w:val="EC3B8636"/>
    <w:rsid w:val="EC5FC7C0"/>
    <w:rsid w:val="EC66482B"/>
    <w:rsid w:val="EC774E08"/>
    <w:rsid w:val="EC7D8E04"/>
    <w:rsid w:val="ECBBF6A2"/>
    <w:rsid w:val="ECC72E20"/>
    <w:rsid w:val="ECCBF281"/>
    <w:rsid w:val="ECDBED40"/>
    <w:rsid w:val="ECDF2473"/>
    <w:rsid w:val="ECDF5039"/>
    <w:rsid w:val="ECDFB581"/>
    <w:rsid w:val="ECE3DB5B"/>
    <w:rsid w:val="ECE6AB99"/>
    <w:rsid w:val="ECF3F5B6"/>
    <w:rsid w:val="ECF54D3B"/>
    <w:rsid w:val="ECF7097B"/>
    <w:rsid w:val="ECF76BEB"/>
    <w:rsid w:val="ECFBD256"/>
    <w:rsid w:val="ECFD7093"/>
    <w:rsid w:val="ECFDDE81"/>
    <w:rsid w:val="ECFEF005"/>
    <w:rsid w:val="ECFF1EF9"/>
    <w:rsid w:val="ED579E3E"/>
    <w:rsid w:val="ED5D73CE"/>
    <w:rsid w:val="ED5F95C4"/>
    <w:rsid w:val="ED6A1E80"/>
    <w:rsid w:val="ED7A2AB3"/>
    <w:rsid w:val="ED7B4CED"/>
    <w:rsid w:val="ED7CEA13"/>
    <w:rsid w:val="ED7F682C"/>
    <w:rsid w:val="ED9FC5B1"/>
    <w:rsid w:val="EDA6FE2D"/>
    <w:rsid w:val="EDA7EE8E"/>
    <w:rsid w:val="EDA873F4"/>
    <w:rsid w:val="EDAFD69E"/>
    <w:rsid w:val="EDBEA186"/>
    <w:rsid w:val="EDBF11D7"/>
    <w:rsid w:val="EDBF5CF2"/>
    <w:rsid w:val="EDCB0FA6"/>
    <w:rsid w:val="EDCC782E"/>
    <w:rsid w:val="EDCD2F88"/>
    <w:rsid w:val="EDCF45B6"/>
    <w:rsid w:val="EDD72A05"/>
    <w:rsid w:val="EDDB91D5"/>
    <w:rsid w:val="EDDDC614"/>
    <w:rsid w:val="EDDF21ED"/>
    <w:rsid w:val="EDEDAF7B"/>
    <w:rsid w:val="EDEDC3F8"/>
    <w:rsid w:val="EDEE2DD5"/>
    <w:rsid w:val="EDEE9CC5"/>
    <w:rsid w:val="EDEF1A24"/>
    <w:rsid w:val="EDEFA091"/>
    <w:rsid w:val="EDEFDB0D"/>
    <w:rsid w:val="EDF13E95"/>
    <w:rsid w:val="EDF6CC12"/>
    <w:rsid w:val="EDF723A1"/>
    <w:rsid w:val="EDF77BCF"/>
    <w:rsid w:val="EDF7D5F5"/>
    <w:rsid w:val="EDF97E60"/>
    <w:rsid w:val="EDFB0917"/>
    <w:rsid w:val="EDFB0EAA"/>
    <w:rsid w:val="EDFC5B52"/>
    <w:rsid w:val="EDFD9766"/>
    <w:rsid w:val="EDFE6B23"/>
    <w:rsid w:val="EDFE8218"/>
    <w:rsid w:val="EDFEC965"/>
    <w:rsid w:val="EDFF14BC"/>
    <w:rsid w:val="EDFF7C95"/>
    <w:rsid w:val="EDFF9A0E"/>
    <w:rsid w:val="EDFFBDEC"/>
    <w:rsid w:val="EDFFD908"/>
    <w:rsid w:val="EDFFDE47"/>
    <w:rsid w:val="EDFFE0F5"/>
    <w:rsid w:val="EDFFF886"/>
    <w:rsid w:val="EE1D1C08"/>
    <w:rsid w:val="EE3A7529"/>
    <w:rsid w:val="EE57B6E0"/>
    <w:rsid w:val="EE5C77F0"/>
    <w:rsid w:val="EE5D0AA7"/>
    <w:rsid w:val="EE674811"/>
    <w:rsid w:val="EE6DBADD"/>
    <w:rsid w:val="EE749E52"/>
    <w:rsid w:val="EE7D6191"/>
    <w:rsid w:val="EE7FE617"/>
    <w:rsid w:val="EE9E6B55"/>
    <w:rsid w:val="EE9EAE42"/>
    <w:rsid w:val="EE9FAAC8"/>
    <w:rsid w:val="EEA71143"/>
    <w:rsid w:val="EEA80887"/>
    <w:rsid w:val="EEAE132A"/>
    <w:rsid w:val="EEBED430"/>
    <w:rsid w:val="EEBFAEB6"/>
    <w:rsid w:val="EEBFF10A"/>
    <w:rsid w:val="EECB7577"/>
    <w:rsid w:val="EECC6576"/>
    <w:rsid w:val="EECF27E7"/>
    <w:rsid w:val="EED588BE"/>
    <w:rsid w:val="EED7CF1E"/>
    <w:rsid w:val="EEEBAC54"/>
    <w:rsid w:val="EEEF02A2"/>
    <w:rsid w:val="EEEF43DD"/>
    <w:rsid w:val="EEEF63DD"/>
    <w:rsid w:val="EEEF7397"/>
    <w:rsid w:val="EEEF9221"/>
    <w:rsid w:val="EEEFF62D"/>
    <w:rsid w:val="EEF21ADB"/>
    <w:rsid w:val="EEF5A752"/>
    <w:rsid w:val="EEF662C9"/>
    <w:rsid w:val="EEF75B5B"/>
    <w:rsid w:val="EEF79FFF"/>
    <w:rsid w:val="EEF7D380"/>
    <w:rsid w:val="EEF9A099"/>
    <w:rsid w:val="EEF9E1A6"/>
    <w:rsid w:val="EEFA42C0"/>
    <w:rsid w:val="EEFD1C8D"/>
    <w:rsid w:val="EEFD2D1B"/>
    <w:rsid w:val="EEFD5B66"/>
    <w:rsid w:val="EEFE05CC"/>
    <w:rsid w:val="EEFE11C5"/>
    <w:rsid w:val="EEFE3A46"/>
    <w:rsid w:val="EEFF77BB"/>
    <w:rsid w:val="EEFF9724"/>
    <w:rsid w:val="EEFFDE96"/>
    <w:rsid w:val="EEFFDEE3"/>
    <w:rsid w:val="EEFFE1C4"/>
    <w:rsid w:val="EEFFE1FA"/>
    <w:rsid w:val="EEFFE512"/>
    <w:rsid w:val="EF13B762"/>
    <w:rsid w:val="EF1C2C92"/>
    <w:rsid w:val="EF2E1C23"/>
    <w:rsid w:val="EF3626D5"/>
    <w:rsid w:val="EF36A465"/>
    <w:rsid w:val="EF3B8108"/>
    <w:rsid w:val="EF3D5B90"/>
    <w:rsid w:val="EF3ED11D"/>
    <w:rsid w:val="EF3FD10B"/>
    <w:rsid w:val="EF4F6B74"/>
    <w:rsid w:val="EF53A167"/>
    <w:rsid w:val="EF5A27A4"/>
    <w:rsid w:val="EF5BA856"/>
    <w:rsid w:val="EF5D51CB"/>
    <w:rsid w:val="EF5F17DF"/>
    <w:rsid w:val="EF66A0A1"/>
    <w:rsid w:val="EF6A4E86"/>
    <w:rsid w:val="EF6B68CF"/>
    <w:rsid w:val="EF6BA41C"/>
    <w:rsid w:val="EF6FA210"/>
    <w:rsid w:val="EF6FCD23"/>
    <w:rsid w:val="EF73EA23"/>
    <w:rsid w:val="EF757653"/>
    <w:rsid w:val="EF7643AB"/>
    <w:rsid w:val="EF7789A6"/>
    <w:rsid w:val="EF77BC45"/>
    <w:rsid w:val="EF7D4348"/>
    <w:rsid w:val="EF7D9627"/>
    <w:rsid w:val="EF7EAD41"/>
    <w:rsid w:val="EF7F3C99"/>
    <w:rsid w:val="EF7F726F"/>
    <w:rsid w:val="EF7FCDCF"/>
    <w:rsid w:val="EF7FD386"/>
    <w:rsid w:val="EF7FE2B1"/>
    <w:rsid w:val="EF8744C0"/>
    <w:rsid w:val="EF8B1F63"/>
    <w:rsid w:val="EF97B3FE"/>
    <w:rsid w:val="EF9E15E4"/>
    <w:rsid w:val="EF9F91AD"/>
    <w:rsid w:val="EFA591E0"/>
    <w:rsid w:val="EFAC57FC"/>
    <w:rsid w:val="EFAF204C"/>
    <w:rsid w:val="EFB2CFE8"/>
    <w:rsid w:val="EFB7AB6A"/>
    <w:rsid w:val="EFB99A0D"/>
    <w:rsid w:val="EFBBDC48"/>
    <w:rsid w:val="EFBDDEDE"/>
    <w:rsid w:val="EFBF7414"/>
    <w:rsid w:val="EFBFCC52"/>
    <w:rsid w:val="EFC51FEC"/>
    <w:rsid w:val="EFCD08E4"/>
    <w:rsid w:val="EFCF78EA"/>
    <w:rsid w:val="EFD512AA"/>
    <w:rsid w:val="EFD51F08"/>
    <w:rsid w:val="EFD7174A"/>
    <w:rsid w:val="EFD7F5FE"/>
    <w:rsid w:val="EFD92C2F"/>
    <w:rsid w:val="EFDA2729"/>
    <w:rsid w:val="EFDB7EAC"/>
    <w:rsid w:val="EFDBDA5F"/>
    <w:rsid w:val="EFDC31E8"/>
    <w:rsid w:val="EFDCE0CD"/>
    <w:rsid w:val="EFDD6B1F"/>
    <w:rsid w:val="EFDD741D"/>
    <w:rsid w:val="EFDDA42F"/>
    <w:rsid w:val="EFDF0D0A"/>
    <w:rsid w:val="EFDF28D6"/>
    <w:rsid w:val="EFDF5B5C"/>
    <w:rsid w:val="EFDF5CFA"/>
    <w:rsid w:val="EFDF829D"/>
    <w:rsid w:val="EFDFAE9B"/>
    <w:rsid w:val="EFDFFB97"/>
    <w:rsid w:val="EFE51DC3"/>
    <w:rsid w:val="EFE729BE"/>
    <w:rsid w:val="EFE7BF42"/>
    <w:rsid w:val="EFE88754"/>
    <w:rsid w:val="EFECCD76"/>
    <w:rsid w:val="EFED4026"/>
    <w:rsid w:val="EFEEC030"/>
    <w:rsid w:val="EFEFA711"/>
    <w:rsid w:val="EFEFDD97"/>
    <w:rsid w:val="EFF002DD"/>
    <w:rsid w:val="EFF02452"/>
    <w:rsid w:val="EFF190AC"/>
    <w:rsid w:val="EFF36872"/>
    <w:rsid w:val="EFF5E60E"/>
    <w:rsid w:val="EFF61A68"/>
    <w:rsid w:val="EFF6E3B2"/>
    <w:rsid w:val="EFF73006"/>
    <w:rsid w:val="EFF735A8"/>
    <w:rsid w:val="EFF785AB"/>
    <w:rsid w:val="EFF78C53"/>
    <w:rsid w:val="EFF7E4C3"/>
    <w:rsid w:val="EFF889CC"/>
    <w:rsid w:val="EFF8E789"/>
    <w:rsid w:val="EFF9C5FB"/>
    <w:rsid w:val="EFF9ECDE"/>
    <w:rsid w:val="EFFB411F"/>
    <w:rsid w:val="EFFB8805"/>
    <w:rsid w:val="EFFBA707"/>
    <w:rsid w:val="EFFBAD2B"/>
    <w:rsid w:val="EFFD1AA4"/>
    <w:rsid w:val="EFFD21C8"/>
    <w:rsid w:val="EFFD2A46"/>
    <w:rsid w:val="EFFD4D88"/>
    <w:rsid w:val="EFFD5F7F"/>
    <w:rsid w:val="EFFDAD97"/>
    <w:rsid w:val="EFFE539A"/>
    <w:rsid w:val="EFFEC9CB"/>
    <w:rsid w:val="EFFEE7B5"/>
    <w:rsid w:val="EFFEEF01"/>
    <w:rsid w:val="EFFEFAFB"/>
    <w:rsid w:val="EFFF2DE9"/>
    <w:rsid w:val="EFFF3A24"/>
    <w:rsid w:val="EFFF3D02"/>
    <w:rsid w:val="EFFF4972"/>
    <w:rsid w:val="EFFF4C84"/>
    <w:rsid w:val="EFFF81E9"/>
    <w:rsid w:val="EFFF8C4A"/>
    <w:rsid w:val="EFFFAFDC"/>
    <w:rsid w:val="EFFFB2F7"/>
    <w:rsid w:val="EFFFBD8D"/>
    <w:rsid w:val="EFFFCB3A"/>
    <w:rsid w:val="EFFFCCCD"/>
    <w:rsid w:val="EFFFD8BE"/>
    <w:rsid w:val="EFFFE585"/>
    <w:rsid w:val="EFFFE6B0"/>
    <w:rsid w:val="EFFFE77F"/>
    <w:rsid w:val="F07AFBAF"/>
    <w:rsid w:val="F0BEFA4C"/>
    <w:rsid w:val="F0F65465"/>
    <w:rsid w:val="F0FBE442"/>
    <w:rsid w:val="F0FF84FF"/>
    <w:rsid w:val="F1070636"/>
    <w:rsid w:val="F11B4AF4"/>
    <w:rsid w:val="F12E92AD"/>
    <w:rsid w:val="F1598742"/>
    <w:rsid w:val="F16B264E"/>
    <w:rsid w:val="F17F2236"/>
    <w:rsid w:val="F1AC4CFC"/>
    <w:rsid w:val="F1BFE27C"/>
    <w:rsid w:val="F1D63104"/>
    <w:rsid w:val="F1DB6D69"/>
    <w:rsid w:val="F1DE113C"/>
    <w:rsid w:val="F1ED1CFE"/>
    <w:rsid w:val="F1EDD172"/>
    <w:rsid w:val="F1EEA5C9"/>
    <w:rsid w:val="F1EFD457"/>
    <w:rsid w:val="F1F3F820"/>
    <w:rsid w:val="F1FE4932"/>
    <w:rsid w:val="F1FF010C"/>
    <w:rsid w:val="F1FF102B"/>
    <w:rsid w:val="F1FF1BB4"/>
    <w:rsid w:val="F237C002"/>
    <w:rsid w:val="F2550CAA"/>
    <w:rsid w:val="F27E8EF6"/>
    <w:rsid w:val="F28E717B"/>
    <w:rsid w:val="F2B0DEA8"/>
    <w:rsid w:val="F2D9B334"/>
    <w:rsid w:val="F2DE952A"/>
    <w:rsid w:val="F2DFE952"/>
    <w:rsid w:val="F2E6BE55"/>
    <w:rsid w:val="F2EBFDDE"/>
    <w:rsid w:val="F2ED0715"/>
    <w:rsid w:val="F2F2F864"/>
    <w:rsid w:val="F2FF2D73"/>
    <w:rsid w:val="F2FF6B1D"/>
    <w:rsid w:val="F2FFAE3B"/>
    <w:rsid w:val="F362C8FB"/>
    <w:rsid w:val="F367AD0F"/>
    <w:rsid w:val="F37291DC"/>
    <w:rsid w:val="F3757D8D"/>
    <w:rsid w:val="F376B666"/>
    <w:rsid w:val="F37E445B"/>
    <w:rsid w:val="F37EFD34"/>
    <w:rsid w:val="F37F1211"/>
    <w:rsid w:val="F37F945A"/>
    <w:rsid w:val="F38D5F02"/>
    <w:rsid w:val="F39716F0"/>
    <w:rsid w:val="F39EF283"/>
    <w:rsid w:val="F39F4D4E"/>
    <w:rsid w:val="F3AB8CF8"/>
    <w:rsid w:val="F3ADB710"/>
    <w:rsid w:val="F3B73D45"/>
    <w:rsid w:val="F3B75B9E"/>
    <w:rsid w:val="F3BED3D7"/>
    <w:rsid w:val="F3BFB2F0"/>
    <w:rsid w:val="F3BFE15F"/>
    <w:rsid w:val="F3BFF59A"/>
    <w:rsid w:val="F3D3620E"/>
    <w:rsid w:val="F3D7E6F8"/>
    <w:rsid w:val="F3D9DF74"/>
    <w:rsid w:val="F3DBC30F"/>
    <w:rsid w:val="F3DF429D"/>
    <w:rsid w:val="F3DF9F8D"/>
    <w:rsid w:val="F3EB47ED"/>
    <w:rsid w:val="F3EB95F7"/>
    <w:rsid w:val="F3ED43CD"/>
    <w:rsid w:val="F3EDF79C"/>
    <w:rsid w:val="F3EF41FD"/>
    <w:rsid w:val="F3EF5EE3"/>
    <w:rsid w:val="F3EFC5AC"/>
    <w:rsid w:val="F3F18C39"/>
    <w:rsid w:val="F3F4EAA5"/>
    <w:rsid w:val="F3F62702"/>
    <w:rsid w:val="F3F91FB4"/>
    <w:rsid w:val="F3F98A82"/>
    <w:rsid w:val="F3F9A411"/>
    <w:rsid w:val="F3FB99BC"/>
    <w:rsid w:val="F3FD37EA"/>
    <w:rsid w:val="F3FD9016"/>
    <w:rsid w:val="F3FE7EC5"/>
    <w:rsid w:val="F3FF17C7"/>
    <w:rsid w:val="F3FF4509"/>
    <w:rsid w:val="F3FF851B"/>
    <w:rsid w:val="F3FF8929"/>
    <w:rsid w:val="F3FFA17E"/>
    <w:rsid w:val="F3FFD5FE"/>
    <w:rsid w:val="F3FFF544"/>
    <w:rsid w:val="F4631C34"/>
    <w:rsid w:val="F4761792"/>
    <w:rsid w:val="F48BED08"/>
    <w:rsid w:val="F49F0746"/>
    <w:rsid w:val="F4BEB117"/>
    <w:rsid w:val="F4BFF642"/>
    <w:rsid w:val="F4D63BC7"/>
    <w:rsid w:val="F4D71821"/>
    <w:rsid w:val="F4D735B9"/>
    <w:rsid w:val="F4DF366D"/>
    <w:rsid w:val="F4E3E7BC"/>
    <w:rsid w:val="F4EB4B93"/>
    <w:rsid w:val="F4EF3366"/>
    <w:rsid w:val="F4F5A1E0"/>
    <w:rsid w:val="F4F7A887"/>
    <w:rsid w:val="F4F88563"/>
    <w:rsid w:val="F4FF4577"/>
    <w:rsid w:val="F4FFCCAA"/>
    <w:rsid w:val="F50E5B21"/>
    <w:rsid w:val="F513C86B"/>
    <w:rsid w:val="F53BA464"/>
    <w:rsid w:val="F53BE195"/>
    <w:rsid w:val="F5434360"/>
    <w:rsid w:val="F5458229"/>
    <w:rsid w:val="F5733E90"/>
    <w:rsid w:val="F57C3932"/>
    <w:rsid w:val="F57CFDC4"/>
    <w:rsid w:val="F57E8986"/>
    <w:rsid w:val="F57F1157"/>
    <w:rsid w:val="F58BBA35"/>
    <w:rsid w:val="F59E9473"/>
    <w:rsid w:val="F5AFC49C"/>
    <w:rsid w:val="F5AFE7A9"/>
    <w:rsid w:val="F5B6283B"/>
    <w:rsid w:val="F5B6DF42"/>
    <w:rsid w:val="F5B77D5A"/>
    <w:rsid w:val="F5BB9301"/>
    <w:rsid w:val="F5BE4A73"/>
    <w:rsid w:val="F5BF1177"/>
    <w:rsid w:val="F5BFDB5B"/>
    <w:rsid w:val="F5BFE7BE"/>
    <w:rsid w:val="F5C7C612"/>
    <w:rsid w:val="F5CF804E"/>
    <w:rsid w:val="F5DF4B04"/>
    <w:rsid w:val="F5E745F9"/>
    <w:rsid w:val="F5ED469F"/>
    <w:rsid w:val="F5EE4E3C"/>
    <w:rsid w:val="F5EF1801"/>
    <w:rsid w:val="F5EF5799"/>
    <w:rsid w:val="F5EF5DE9"/>
    <w:rsid w:val="F5EFAB43"/>
    <w:rsid w:val="F5EFC733"/>
    <w:rsid w:val="F5F3E4C2"/>
    <w:rsid w:val="F5F4C52A"/>
    <w:rsid w:val="F5F78559"/>
    <w:rsid w:val="F5F78D21"/>
    <w:rsid w:val="F5F7F8B8"/>
    <w:rsid w:val="F5FD37F0"/>
    <w:rsid w:val="F5FDED87"/>
    <w:rsid w:val="F5FE2DF1"/>
    <w:rsid w:val="F5FE93D8"/>
    <w:rsid w:val="F5FF3250"/>
    <w:rsid w:val="F5FF865F"/>
    <w:rsid w:val="F5FFC7E5"/>
    <w:rsid w:val="F5FFD13F"/>
    <w:rsid w:val="F5FFD86D"/>
    <w:rsid w:val="F6318F7C"/>
    <w:rsid w:val="F633ACAF"/>
    <w:rsid w:val="F63D026C"/>
    <w:rsid w:val="F63F7815"/>
    <w:rsid w:val="F64BA021"/>
    <w:rsid w:val="F65CCC0F"/>
    <w:rsid w:val="F66F8BE4"/>
    <w:rsid w:val="F673A9E2"/>
    <w:rsid w:val="F67978C7"/>
    <w:rsid w:val="F67B32A1"/>
    <w:rsid w:val="F67FD0F0"/>
    <w:rsid w:val="F67FD3DF"/>
    <w:rsid w:val="F699AC0B"/>
    <w:rsid w:val="F69B9D1C"/>
    <w:rsid w:val="F69FE9E7"/>
    <w:rsid w:val="F6AF0377"/>
    <w:rsid w:val="F6AF45A4"/>
    <w:rsid w:val="F6BBBF9C"/>
    <w:rsid w:val="F6D78DA0"/>
    <w:rsid w:val="F6DBCDE7"/>
    <w:rsid w:val="F6DE611A"/>
    <w:rsid w:val="F6DF5D26"/>
    <w:rsid w:val="F6E7083E"/>
    <w:rsid w:val="F6EF0CCC"/>
    <w:rsid w:val="F6EF9CF8"/>
    <w:rsid w:val="F6EFB891"/>
    <w:rsid w:val="F6F6C13E"/>
    <w:rsid w:val="F6F79DA9"/>
    <w:rsid w:val="F6FAC53E"/>
    <w:rsid w:val="F6FBBFF3"/>
    <w:rsid w:val="F6FBE541"/>
    <w:rsid w:val="F6FCD4E2"/>
    <w:rsid w:val="F6FED8A7"/>
    <w:rsid w:val="F6FF30F5"/>
    <w:rsid w:val="F6FF5083"/>
    <w:rsid w:val="F6FF5B08"/>
    <w:rsid w:val="F6FF6D0A"/>
    <w:rsid w:val="F6FF978E"/>
    <w:rsid w:val="F6FF9EE5"/>
    <w:rsid w:val="F6FFBABF"/>
    <w:rsid w:val="F6FFE5DF"/>
    <w:rsid w:val="F6FFF522"/>
    <w:rsid w:val="F6FFF7F3"/>
    <w:rsid w:val="F71F697E"/>
    <w:rsid w:val="F71F9D00"/>
    <w:rsid w:val="F71FC150"/>
    <w:rsid w:val="F71FE15D"/>
    <w:rsid w:val="F72F116A"/>
    <w:rsid w:val="F737D970"/>
    <w:rsid w:val="F73D6A9C"/>
    <w:rsid w:val="F73F3928"/>
    <w:rsid w:val="F73FDD12"/>
    <w:rsid w:val="F743EACA"/>
    <w:rsid w:val="F74F4BDA"/>
    <w:rsid w:val="F756BD47"/>
    <w:rsid w:val="F7594E1C"/>
    <w:rsid w:val="F75C4511"/>
    <w:rsid w:val="F75E3E1B"/>
    <w:rsid w:val="F7638DA0"/>
    <w:rsid w:val="F767A20C"/>
    <w:rsid w:val="F76F64D0"/>
    <w:rsid w:val="F76FDC67"/>
    <w:rsid w:val="F775D2BF"/>
    <w:rsid w:val="F77613D9"/>
    <w:rsid w:val="F7775E83"/>
    <w:rsid w:val="F77A719C"/>
    <w:rsid w:val="F77C801B"/>
    <w:rsid w:val="F77D3527"/>
    <w:rsid w:val="F77D6385"/>
    <w:rsid w:val="F77E18F2"/>
    <w:rsid w:val="F77F2FA7"/>
    <w:rsid w:val="F77F50DC"/>
    <w:rsid w:val="F77F8199"/>
    <w:rsid w:val="F78B85CE"/>
    <w:rsid w:val="F78FD1E0"/>
    <w:rsid w:val="F797E03B"/>
    <w:rsid w:val="F79B6272"/>
    <w:rsid w:val="F79BDDB6"/>
    <w:rsid w:val="F79DE80A"/>
    <w:rsid w:val="F79EB950"/>
    <w:rsid w:val="F79F1089"/>
    <w:rsid w:val="F79F1869"/>
    <w:rsid w:val="F79F8459"/>
    <w:rsid w:val="F7A27FB0"/>
    <w:rsid w:val="F7A9597C"/>
    <w:rsid w:val="F7AF6AA9"/>
    <w:rsid w:val="F7B0CE25"/>
    <w:rsid w:val="F7B4E3D3"/>
    <w:rsid w:val="F7B73F01"/>
    <w:rsid w:val="F7B795AF"/>
    <w:rsid w:val="F7B9A061"/>
    <w:rsid w:val="F7BA7E94"/>
    <w:rsid w:val="F7BBB67A"/>
    <w:rsid w:val="F7BC66D5"/>
    <w:rsid w:val="F7BE43DD"/>
    <w:rsid w:val="F7BEC649"/>
    <w:rsid w:val="F7BEE37E"/>
    <w:rsid w:val="F7BF8581"/>
    <w:rsid w:val="F7BFA97C"/>
    <w:rsid w:val="F7C10D7C"/>
    <w:rsid w:val="F7C3D011"/>
    <w:rsid w:val="F7C76ABD"/>
    <w:rsid w:val="F7C8550B"/>
    <w:rsid w:val="F7CCA960"/>
    <w:rsid w:val="F7CF48C3"/>
    <w:rsid w:val="F7CF5246"/>
    <w:rsid w:val="F7D5493D"/>
    <w:rsid w:val="F7D7B63B"/>
    <w:rsid w:val="F7D7F68C"/>
    <w:rsid w:val="F7D90E51"/>
    <w:rsid w:val="F7DB3FCD"/>
    <w:rsid w:val="F7DD3A4C"/>
    <w:rsid w:val="F7DE0A2E"/>
    <w:rsid w:val="F7DE2F99"/>
    <w:rsid w:val="F7DEFEB7"/>
    <w:rsid w:val="F7DF5193"/>
    <w:rsid w:val="F7DF7AEC"/>
    <w:rsid w:val="F7DFA41A"/>
    <w:rsid w:val="F7DFC506"/>
    <w:rsid w:val="F7DFC9D7"/>
    <w:rsid w:val="F7DFD394"/>
    <w:rsid w:val="F7E474A0"/>
    <w:rsid w:val="F7E63883"/>
    <w:rsid w:val="F7E685A5"/>
    <w:rsid w:val="F7E71CCB"/>
    <w:rsid w:val="F7E77B65"/>
    <w:rsid w:val="F7E7815A"/>
    <w:rsid w:val="F7EA33D8"/>
    <w:rsid w:val="F7EABBD5"/>
    <w:rsid w:val="F7EB8C01"/>
    <w:rsid w:val="F7EB941B"/>
    <w:rsid w:val="F7EC149E"/>
    <w:rsid w:val="F7EC831C"/>
    <w:rsid w:val="F7ECE98B"/>
    <w:rsid w:val="F7ED064A"/>
    <w:rsid w:val="F7ED1772"/>
    <w:rsid w:val="F7ED42D8"/>
    <w:rsid w:val="F7ED5489"/>
    <w:rsid w:val="F7EE699C"/>
    <w:rsid w:val="F7EF84D0"/>
    <w:rsid w:val="F7EF95B5"/>
    <w:rsid w:val="F7EF9F90"/>
    <w:rsid w:val="F7EFA936"/>
    <w:rsid w:val="F7EFAD74"/>
    <w:rsid w:val="F7EFB256"/>
    <w:rsid w:val="F7F2B28C"/>
    <w:rsid w:val="F7F39D8F"/>
    <w:rsid w:val="F7F52D25"/>
    <w:rsid w:val="F7F52F49"/>
    <w:rsid w:val="F7F5D11F"/>
    <w:rsid w:val="F7F6EAC2"/>
    <w:rsid w:val="F7F73676"/>
    <w:rsid w:val="F7F74355"/>
    <w:rsid w:val="F7F74A3B"/>
    <w:rsid w:val="F7F76F95"/>
    <w:rsid w:val="F7F7C3FB"/>
    <w:rsid w:val="F7F7DEB8"/>
    <w:rsid w:val="F7F7EFD8"/>
    <w:rsid w:val="F7F7FBFB"/>
    <w:rsid w:val="F7F9FF9A"/>
    <w:rsid w:val="F7FA08FE"/>
    <w:rsid w:val="F7FA570A"/>
    <w:rsid w:val="F7FB1F4B"/>
    <w:rsid w:val="F7FB276E"/>
    <w:rsid w:val="F7FB282E"/>
    <w:rsid w:val="F7FB28B9"/>
    <w:rsid w:val="F7FBC900"/>
    <w:rsid w:val="F7FBCDE6"/>
    <w:rsid w:val="F7FBF3CA"/>
    <w:rsid w:val="F7FD0661"/>
    <w:rsid w:val="F7FD23B0"/>
    <w:rsid w:val="F7FD5002"/>
    <w:rsid w:val="F7FD58E7"/>
    <w:rsid w:val="F7FDFB4D"/>
    <w:rsid w:val="F7FE1656"/>
    <w:rsid w:val="F7FE617B"/>
    <w:rsid w:val="F7FE9A97"/>
    <w:rsid w:val="F7FEA201"/>
    <w:rsid w:val="F7FEC1A1"/>
    <w:rsid w:val="F7FED9B6"/>
    <w:rsid w:val="F7FF050B"/>
    <w:rsid w:val="F7FF0907"/>
    <w:rsid w:val="F7FF10C9"/>
    <w:rsid w:val="F7FF19AB"/>
    <w:rsid w:val="F7FF4D37"/>
    <w:rsid w:val="F7FF503D"/>
    <w:rsid w:val="F7FF8EF7"/>
    <w:rsid w:val="F7FFA583"/>
    <w:rsid w:val="F7FFADB5"/>
    <w:rsid w:val="F7FFBFB6"/>
    <w:rsid w:val="F7FFC0E6"/>
    <w:rsid w:val="F7FFDFB6"/>
    <w:rsid w:val="F7FFE510"/>
    <w:rsid w:val="F7FFEB58"/>
    <w:rsid w:val="F7FFEBD3"/>
    <w:rsid w:val="F813AFA6"/>
    <w:rsid w:val="F859D443"/>
    <w:rsid w:val="F87B0212"/>
    <w:rsid w:val="F87FBF8A"/>
    <w:rsid w:val="F88D8308"/>
    <w:rsid w:val="F8962991"/>
    <w:rsid w:val="F8AE8AF6"/>
    <w:rsid w:val="F8B4154F"/>
    <w:rsid w:val="F8BC1155"/>
    <w:rsid w:val="F8DE60A9"/>
    <w:rsid w:val="F8DFC2A5"/>
    <w:rsid w:val="F8DFE443"/>
    <w:rsid w:val="F8E8E108"/>
    <w:rsid w:val="F8EF031E"/>
    <w:rsid w:val="F8F46EC4"/>
    <w:rsid w:val="F8FEFD6E"/>
    <w:rsid w:val="F93EA734"/>
    <w:rsid w:val="F93F8377"/>
    <w:rsid w:val="F9499A23"/>
    <w:rsid w:val="F94D821A"/>
    <w:rsid w:val="F95B08AB"/>
    <w:rsid w:val="F95E9104"/>
    <w:rsid w:val="F95EE7D2"/>
    <w:rsid w:val="F967238A"/>
    <w:rsid w:val="F9675D3A"/>
    <w:rsid w:val="F973474B"/>
    <w:rsid w:val="F9766656"/>
    <w:rsid w:val="F97ED495"/>
    <w:rsid w:val="F97F6858"/>
    <w:rsid w:val="F987F27A"/>
    <w:rsid w:val="F98BFC1D"/>
    <w:rsid w:val="F9A8BAC1"/>
    <w:rsid w:val="F9AE4152"/>
    <w:rsid w:val="F9AF2464"/>
    <w:rsid w:val="F9AF7AA8"/>
    <w:rsid w:val="F9AFB7FF"/>
    <w:rsid w:val="F9B3B8BB"/>
    <w:rsid w:val="F9B96841"/>
    <w:rsid w:val="F9BC743C"/>
    <w:rsid w:val="F9BEE902"/>
    <w:rsid w:val="F9BF939E"/>
    <w:rsid w:val="F9BF961B"/>
    <w:rsid w:val="F9C76312"/>
    <w:rsid w:val="F9D7B2A3"/>
    <w:rsid w:val="F9D7BBA3"/>
    <w:rsid w:val="F9DB79D5"/>
    <w:rsid w:val="F9DBC329"/>
    <w:rsid w:val="F9DDD60E"/>
    <w:rsid w:val="F9DE63F0"/>
    <w:rsid w:val="F9DF1919"/>
    <w:rsid w:val="F9DF228E"/>
    <w:rsid w:val="F9DF84D0"/>
    <w:rsid w:val="F9E2DD0A"/>
    <w:rsid w:val="F9EB14E1"/>
    <w:rsid w:val="F9F55C91"/>
    <w:rsid w:val="F9F72D6C"/>
    <w:rsid w:val="F9F92B81"/>
    <w:rsid w:val="F9FA10E6"/>
    <w:rsid w:val="F9FA8DAD"/>
    <w:rsid w:val="F9FB22B2"/>
    <w:rsid w:val="F9FB4662"/>
    <w:rsid w:val="F9FEE549"/>
    <w:rsid w:val="F9FF3F50"/>
    <w:rsid w:val="F9FF468E"/>
    <w:rsid w:val="F9FF7771"/>
    <w:rsid w:val="F9FF8556"/>
    <w:rsid w:val="F9FFCA02"/>
    <w:rsid w:val="F9FFFAD7"/>
    <w:rsid w:val="FA24AAC8"/>
    <w:rsid w:val="FA373E22"/>
    <w:rsid w:val="FA3799F7"/>
    <w:rsid w:val="FA3DFA59"/>
    <w:rsid w:val="FA3F6C7B"/>
    <w:rsid w:val="FA3FC927"/>
    <w:rsid w:val="FA57DDD7"/>
    <w:rsid w:val="FA5CE308"/>
    <w:rsid w:val="FA6DA67F"/>
    <w:rsid w:val="FA77F0AA"/>
    <w:rsid w:val="FA7F6304"/>
    <w:rsid w:val="FA7F9629"/>
    <w:rsid w:val="FA7FCDE9"/>
    <w:rsid w:val="FA897DC6"/>
    <w:rsid w:val="FAA68D7B"/>
    <w:rsid w:val="FAB3BD37"/>
    <w:rsid w:val="FAB7021C"/>
    <w:rsid w:val="FAB75759"/>
    <w:rsid w:val="FAB7D6FC"/>
    <w:rsid w:val="FABF0188"/>
    <w:rsid w:val="FABF1ECB"/>
    <w:rsid w:val="FABF3F6F"/>
    <w:rsid w:val="FABF5FBA"/>
    <w:rsid w:val="FABFEE6D"/>
    <w:rsid w:val="FAC7CFBC"/>
    <w:rsid w:val="FAD452C3"/>
    <w:rsid w:val="FADB20D8"/>
    <w:rsid w:val="FADB43D6"/>
    <w:rsid w:val="FADB674B"/>
    <w:rsid w:val="FADE838E"/>
    <w:rsid w:val="FADF2B8D"/>
    <w:rsid w:val="FADF40D5"/>
    <w:rsid w:val="FADF8AC8"/>
    <w:rsid w:val="FADFF210"/>
    <w:rsid w:val="FADFF57E"/>
    <w:rsid w:val="FAE37F0B"/>
    <w:rsid w:val="FAEAF5DB"/>
    <w:rsid w:val="FAEB8BA4"/>
    <w:rsid w:val="FAEE3F5E"/>
    <w:rsid w:val="FAEE5E6F"/>
    <w:rsid w:val="FAEFF369"/>
    <w:rsid w:val="FAF19E80"/>
    <w:rsid w:val="FAF1C28A"/>
    <w:rsid w:val="FAF66257"/>
    <w:rsid w:val="FAF72687"/>
    <w:rsid w:val="FAF74FC8"/>
    <w:rsid w:val="FAF79F2C"/>
    <w:rsid w:val="FAF7D5C7"/>
    <w:rsid w:val="FAFA440D"/>
    <w:rsid w:val="FAFA53B4"/>
    <w:rsid w:val="FAFB2533"/>
    <w:rsid w:val="FAFBAFA6"/>
    <w:rsid w:val="FAFEE1C4"/>
    <w:rsid w:val="FAFF076C"/>
    <w:rsid w:val="FAFF16CE"/>
    <w:rsid w:val="FAFF6959"/>
    <w:rsid w:val="FAFF933A"/>
    <w:rsid w:val="FAFF937B"/>
    <w:rsid w:val="FB178D8E"/>
    <w:rsid w:val="FB1A5FA5"/>
    <w:rsid w:val="FB2772F3"/>
    <w:rsid w:val="FB2AC2BA"/>
    <w:rsid w:val="FB2B26F3"/>
    <w:rsid w:val="FB2C31FF"/>
    <w:rsid w:val="FB397853"/>
    <w:rsid w:val="FB3ECDEA"/>
    <w:rsid w:val="FB3F4887"/>
    <w:rsid w:val="FB3F68C9"/>
    <w:rsid w:val="FB53D27C"/>
    <w:rsid w:val="FB579AA2"/>
    <w:rsid w:val="FB58BF07"/>
    <w:rsid w:val="FB5FE8C7"/>
    <w:rsid w:val="FB5FECCE"/>
    <w:rsid w:val="FB666836"/>
    <w:rsid w:val="FB6782C7"/>
    <w:rsid w:val="FB678B54"/>
    <w:rsid w:val="FB69DCA2"/>
    <w:rsid w:val="FB73D3E2"/>
    <w:rsid w:val="FB7730EF"/>
    <w:rsid w:val="FB7731F9"/>
    <w:rsid w:val="FB7A75AB"/>
    <w:rsid w:val="FB7B4F8F"/>
    <w:rsid w:val="FB7BE1C4"/>
    <w:rsid w:val="FB7D2298"/>
    <w:rsid w:val="FB7E9A84"/>
    <w:rsid w:val="FB7F9062"/>
    <w:rsid w:val="FB7FA3FF"/>
    <w:rsid w:val="FB7FF515"/>
    <w:rsid w:val="FB83E045"/>
    <w:rsid w:val="FB93A151"/>
    <w:rsid w:val="FB97790D"/>
    <w:rsid w:val="FB9826C5"/>
    <w:rsid w:val="FB9D45F3"/>
    <w:rsid w:val="FB9E2CC7"/>
    <w:rsid w:val="FBA3F3BF"/>
    <w:rsid w:val="FBA6F8BD"/>
    <w:rsid w:val="FBAAD525"/>
    <w:rsid w:val="FBB7432B"/>
    <w:rsid w:val="FBB9658D"/>
    <w:rsid w:val="FBBB5F1D"/>
    <w:rsid w:val="FBBB61B0"/>
    <w:rsid w:val="FBBB9B37"/>
    <w:rsid w:val="FBBBBE06"/>
    <w:rsid w:val="FBBD24C2"/>
    <w:rsid w:val="FBBE723B"/>
    <w:rsid w:val="FBBE7BCA"/>
    <w:rsid w:val="FBBEEE81"/>
    <w:rsid w:val="FBBF0AC8"/>
    <w:rsid w:val="FBBF427D"/>
    <w:rsid w:val="FBBF82D9"/>
    <w:rsid w:val="FBBF82FF"/>
    <w:rsid w:val="FBBF88D7"/>
    <w:rsid w:val="FBBFEFF8"/>
    <w:rsid w:val="FBBFFA6E"/>
    <w:rsid w:val="FBC571BA"/>
    <w:rsid w:val="FBCDDBA6"/>
    <w:rsid w:val="FBCF6026"/>
    <w:rsid w:val="FBCF8155"/>
    <w:rsid w:val="FBCFDCB6"/>
    <w:rsid w:val="FBD64319"/>
    <w:rsid w:val="FBD7B878"/>
    <w:rsid w:val="FBD8C512"/>
    <w:rsid w:val="FBD921C0"/>
    <w:rsid w:val="FBD9C7CB"/>
    <w:rsid w:val="FBDA2095"/>
    <w:rsid w:val="FBDAB454"/>
    <w:rsid w:val="FBDC6A20"/>
    <w:rsid w:val="FBDE08A8"/>
    <w:rsid w:val="FBDF1E42"/>
    <w:rsid w:val="FBDF49B6"/>
    <w:rsid w:val="FBDF5464"/>
    <w:rsid w:val="FBDF5619"/>
    <w:rsid w:val="FBDF7B5B"/>
    <w:rsid w:val="FBDF9B3C"/>
    <w:rsid w:val="FBDFAF58"/>
    <w:rsid w:val="FBE3C3C2"/>
    <w:rsid w:val="FBE5DC0B"/>
    <w:rsid w:val="FBE76B25"/>
    <w:rsid w:val="FBE788B8"/>
    <w:rsid w:val="FBEBA42B"/>
    <w:rsid w:val="FBEDCF1D"/>
    <w:rsid w:val="FBEE7193"/>
    <w:rsid w:val="FBEE9C24"/>
    <w:rsid w:val="FBEF0707"/>
    <w:rsid w:val="FBEF26D0"/>
    <w:rsid w:val="FBEF4B74"/>
    <w:rsid w:val="FBEF6003"/>
    <w:rsid w:val="FBEF7049"/>
    <w:rsid w:val="FBEF94D1"/>
    <w:rsid w:val="FBEFC6CE"/>
    <w:rsid w:val="FBF3FE4F"/>
    <w:rsid w:val="FBF51532"/>
    <w:rsid w:val="FBF547C1"/>
    <w:rsid w:val="FBF56B8E"/>
    <w:rsid w:val="FBF60490"/>
    <w:rsid w:val="FBF6079B"/>
    <w:rsid w:val="FBF72564"/>
    <w:rsid w:val="FBF73940"/>
    <w:rsid w:val="FBF765C2"/>
    <w:rsid w:val="FBF7AFA5"/>
    <w:rsid w:val="FBF7CE13"/>
    <w:rsid w:val="FBF7E81E"/>
    <w:rsid w:val="FBF95F6B"/>
    <w:rsid w:val="FBF9E8F0"/>
    <w:rsid w:val="FBFB0E4A"/>
    <w:rsid w:val="FBFB0EAA"/>
    <w:rsid w:val="FBFB31C2"/>
    <w:rsid w:val="FBFB6C22"/>
    <w:rsid w:val="FBFB7653"/>
    <w:rsid w:val="FBFBB8C1"/>
    <w:rsid w:val="FBFBBBC5"/>
    <w:rsid w:val="FBFD4B6E"/>
    <w:rsid w:val="FBFD5266"/>
    <w:rsid w:val="FBFD6595"/>
    <w:rsid w:val="FBFD85C0"/>
    <w:rsid w:val="FBFDC867"/>
    <w:rsid w:val="FBFDF2F7"/>
    <w:rsid w:val="FBFE30E1"/>
    <w:rsid w:val="FBFE53ED"/>
    <w:rsid w:val="FBFE707B"/>
    <w:rsid w:val="FBFE9125"/>
    <w:rsid w:val="FBFEAD5E"/>
    <w:rsid w:val="FBFEDA98"/>
    <w:rsid w:val="FBFF3FD3"/>
    <w:rsid w:val="FBFF4140"/>
    <w:rsid w:val="FBFF4FE2"/>
    <w:rsid w:val="FBFF5C1C"/>
    <w:rsid w:val="FBFF6865"/>
    <w:rsid w:val="FBFF6CA8"/>
    <w:rsid w:val="FBFF728C"/>
    <w:rsid w:val="FBFF7538"/>
    <w:rsid w:val="FBFFA321"/>
    <w:rsid w:val="FBFFA824"/>
    <w:rsid w:val="FBFFBA9B"/>
    <w:rsid w:val="FBFFD993"/>
    <w:rsid w:val="FC1F9D8C"/>
    <w:rsid w:val="FC3E0C91"/>
    <w:rsid w:val="FC3F88F3"/>
    <w:rsid w:val="FC4553D5"/>
    <w:rsid w:val="FC4D35D2"/>
    <w:rsid w:val="FC4FEAAB"/>
    <w:rsid w:val="FC5AEDE7"/>
    <w:rsid w:val="FC5E6B6F"/>
    <w:rsid w:val="FC5F1BC6"/>
    <w:rsid w:val="FC66F84B"/>
    <w:rsid w:val="FC6F3844"/>
    <w:rsid w:val="FC777622"/>
    <w:rsid w:val="FC7AE754"/>
    <w:rsid w:val="FC7B0A95"/>
    <w:rsid w:val="FC7D1252"/>
    <w:rsid w:val="FC7E1843"/>
    <w:rsid w:val="FC7F4E77"/>
    <w:rsid w:val="FC7F97D6"/>
    <w:rsid w:val="FC7FB1D1"/>
    <w:rsid w:val="FCA79EC4"/>
    <w:rsid w:val="FCAF6740"/>
    <w:rsid w:val="FCAFD82A"/>
    <w:rsid w:val="FCB35D57"/>
    <w:rsid w:val="FCB7499B"/>
    <w:rsid w:val="FCB9C713"/>
    <w:rsid w:val="FCB9E014"/>
    <w:rsid w:val="FCBAE868"/>
    <w:rsid w:val="FCBB2829"/>
    <w:rsid w:val="FCBC77F7"/>
    <w:rsid w:val="FCBD550F"/>
    <w:rsid w:val="FCBE9E89"/>
    <w:rsid w:val="FCBF17BE"/>
    <w:rsid w:val="FCBF2A01"/>
    <w:rsid w:val="FCBF4936"/>
    <w:rsid w:val="FCCF101D"/>
    <w:rsid w:val="FCCF7F78"/>
    <w:rsid w:val="FCCFE671"/>
    <w:rsid w:val="FCCFFFAB"/>
    <w:rsid w:val="FCD6FEC4"/>
    <w:rsid w:val="FCDC1F0C"/>
    <w:rsid w:val="FCDC2F15"/>
    <w:rsid w:val="FCDD1031"/>
    <w:rsid w:val="FCDEB074"/>
    <w:rsid w:val="FCE5D322"/>
    <w:rsid w:val="FCEB1D25"/>
    <w:rsid w:val="FCEBDF6F"/>
    <w:rsid w:val="FCEC3091"/>
    <w:rsid w:val="FCEEF931"/>
    <w:rsid w:val="FCEEFCA6"/>
    <w:rsid w:val="FCEF0D3D"/>
    <w:rsid w:val="FCEF8075"/>
    <w:rsid w:val="FCEF9013"/>
    <w:rsid w:val="FCF74CF4"/>
    <w:rsid w:val="FCF79ACB"/>
    <w:rsid w:val="FCF98C96"/>
    <w:rsid w:val="FCFA759F"/>
    <w:rsid w:val="FCFB2943"/>
    <w:rsid w:val="FCFBA77A"/>
    <w:rsid w:val="FCFBBB53"/>
    <w:rsid w:val="FCFD10CD"/>
    <w:rsid w:val="FCFDDCC1"/>
    <w:rsid w:val="FCFF6F33"/>
    <w:rsid w:val="FCFFFECC"/>
    <w:rsid w:val="FD2ACFF4"/>
    <w:rsid w:val="FD2B5D9B"/>
    <w:rsid w:val="FD2F748E"/>
    <w:rsid w:val="FD3A8A1E"/>
    <w:rsid w:val="FD3D2DAF"/>
    <w:rsid w:val="FD3FB1F9"/>
    <w:rsid w:val="FD41347D"/>
    <w:rsid w:val="FD4B482B"/>
    <w:rsid w:val="FD4F12FC"/>
    <w:rsid w:val="FD551B59"/>
    <w:rsid w:val="FD570592"/>
    <w:rsid w:val="FD57BEFC"/>
    <w:rsid w:val="FD5B0033"/>
    <w:rsid w:val="FD5F18AC"/>
    <w:rsid w:val="FD5F83B4"/>
    <w:rsid w:val="FD669BD1"/>
    <w:rsid w:val="FD6A8BB5"/>
    <w:rsid w:val="FD6E738F"/>
    <w:rsid w:val="FD6FDE7D"/>
    <w:rsid w:val="FD710121"/>
    <w:rsid w:val="FD713A06"/>
    <w:rsid w:val="FD7243F5"/>
    <w:rsid w:val="FD7542A5"/>
    <w:rsid w:val="FD75C8EE"/>
    <w:rsid w:val="FD76EF57"/>
    <w:rsid w:val="FD770ECB"/>
    <w:rsid w:val="FD77C6B7"/>
    <w:rsid w:val="FD79305B"/>
    <w:rsid w:val="FD793BAC"/>
    <w:rsid w:val="FD7B6344"/>
    <w:rsid w:val="FD7BAC24"/>
    <w:rsid w:val="FD7BAC7B"/>
    <w:rsid w:val="FD7D2ABB"/>
    <w:rsid w:val="FD7D2B47"/>
    <w:rsid w:val="FD7DB2AD"/>
    <w:rsid w:val="FD7DE9C2"/>
    <w:rsid w:val="FD7E27AF"/>
    <w:rsid w:val="FD7EC5F3"/>
    <w:rsid w:val="FD7F135E"/>
    <w:rsid w:val="FD7F1C62"/>
    <w:rsid w:val="FD7F23C0"/>
    <w:rsid w:val="FD7FAA78"/>
    <w:rsid w:val="FD7FCCCB"/>
    <w:rsid w:val="FD7FF018"/>
    <w:rsid w:val="FD7FF7CD"/>
    <w:rsid w:val="FD8E06CF"/>
    <w:rsid w:val="FD934FCE"/>
    <w:rsid w:val="FD994436"/>
    <w:rsid w:val="FD9EE815"/>
    <w:rsid w:val="FD9FDD73"/>
    <w:rsid w:val="FDA3C3F6"/>
    <w:rsid w:val="FDAD674E"/>
    <w:rsid w:val="FDAD851F"/>
    <w:rsid w:val="FDB1071E"/>
    <w:rsid w:val="FDB54195"/>
    <w:rsid w:val="FDB92A63"/>
    <w:rsid w:val="FDB9A4B2"/>
    <w:rsid w:val="FDBB2428"/>
    <w:rsid w:val="FDBB4F7D"/>
    <w:rsid w:val="FDBCAB76"/>
    <w:rsid w:val="FDBD2BE4"/>
    <w:rsid w:val="FDBD3C6F"/>
    <w:rsid w:val="FDBDCCB6"/>
    <w:rsid w:val="FDBE5611"/>
    <w:rsid w:val="FDBE7D04"/>
    <w:rsid w:val="FDBF4C5E"/>
    <w:rsid w:val="FDBF4E7A"/>
    <w:rsid w:val="FDBF5B88"/>
    <w:rsid w:val="FDBF8B4C"/>
    <w:rsid w:val="FDBFF55C"/>
    <w:rsid w:val="FDCB0E2F"/>
    <w:rsid w:val="FDCDB3EA"/>
    <w:rsid w:val="FDCDED9C"/>
    <w:rsid w:val="FDCED802"/>
    <w:rsid w:val="FDCF33BB"/>
    <w:rsid w:val="FDD7ACC9"/>
    <w:rsid w:val="FDDB6F1C"/>
    <w:rsid w:val="FDDB6F75"/>
    <w:rsid w:val="FDDBFD03"/>
    <w:rsid w:val="FDDC5EB2"/>
    <w:rsid w:val="FDDD1159"/>
    <w:rsid w:val="FDDD368F"/>
    <w:rsid w:val="FDDD6766"/>
    <w:rsid w:val="FDDE799B"/>
    <w:rsid w:val="FDDE7C7D"/>
    <w:rsid w:val="FDDEC13F"/>
    <w:rsid w:val="FDDF1022"/>
    <w:rsid w:val="FDDF4794"/>
    <w:rsid w:val="FDDFA581"/>
    <w:rsid w:val="FDE4C159"/>
    <w:rsid w:val="FDE5DE90"/>
    <w:rsid w:val="FDE621E5"/>
    <w:rsid w:val="FDE66493"/>
    <w:rsid w:val="FDE70A92"/>
    <w:rsid w:val="FDE78462"/>
    <w:rsid w:val="FDE7BEC2"/>
    <w:rsid w:val="FDE85390"/>
    <w:rsid w:val="FDEB548E"/>
    <w:rsid w:val="FDEB5CC2"/>
    <w:rsid w:val="FDEB655D"/>
    <w:rsid w:val="FDED2BD5"/>
    <w:rsid w:val="FDEDA077"/>
    <w:rsid w:val="FDEDA0EC"/>
    <w:rsid w:val="FDEE5BE9"/>
    <w:rsid w:val="FDEEB58F"/>
    <w:rsid w:val="FDEF31DD"/>
    <w:rsid w:val="FDEFAFBB"/>
    <w:rsid w:val="FDEFBD9F"/>
    <w:rsid w:val="FDEFD7CC"/>
    <w:rsid w:val="FDF0BA44"/>
    <w:rsid w:val="FDF33808"/>
    <w:rsid w:val="FDF35FA0"/>
    <w:rsid w:val="FDF3EE6C"/>
    <w:rsid w:val="FDF42612"/>
    <w:rsid w:val="FDF5015E"/>
    <w:rsid w:val="FDF54DCA"/>
    <w:rsid w:val="FDF5ADC3"/>
    <w:rsid w:val="FDF625A0"/>
    <w:rsid w:val="FDF631BE"/>
    <w:rsid w:val="FDF66AF9"/>
    <w:rsid w:val="FDF71820"/>
    <w:rsid w:val="FDF77F7E"/>
    <w:rsid w:val="FDF78C00"/>
    <w:rsid w:val="FDF79FE3"/>
    <w:rsid w:val="FDF7C0A6"/>
    <w:rsid w:val="FDF7CE2B"/>
    <w:rsid w:val="FDF7E9C2"/>
    <w:rsid w:val="FDF7FE00"/>
    <w:rsid w:val="FDF87D7E"/>
    <w:rsid w:val="FDF96FC0"/>
    <w:rsid w:val="FDFA461A"/>
    <w:rsid w:val="FDFABA42"/>
    <w:rsid w:val="FDFAE208"/>
    <w:rsid w:val="FDFAFC03"/>
    <w:rsid w:val="FDFB1F96"/>
    <w:rsid w:val="FDFB52A0"/>
    <w:rsid w:val="FDFCD598"/>
    <w:rsid w:val="FDFD1725"/>
    <w:rsid w:val="FDFD647A"/>
    <w:rsid w:val="FDFD92E4"/>
    <w:rsid w:val="FDFDCCB0"/>
    <w:rsid w:val="FDFDEC1D"/>
    <w:rsid w:val="FDFDF127"/>
    <w:rsid w:val="FDFE19E0"/>
    <w:rsid w:val="FDFE1BF3"/>
    <w:rsid w:val="FDFE2259"/>
    <w:rsid w:val="FDFE27B0"/>
    <w:rsid w:val="FDFEBA40"/>
    <w:rsid w:val="FDFEBA93"/>
    <w:rsid w:val="FDFEF44C"/>
    <w:rsid w:val="FDFF109F"/>
    <w:rsid w:val="FDFF3805"/>
    <w:rsid w:val="FDFF4E92"/>
    <w:rsid w:val="FDFF51E7"/>
    <w:rsid w:val="FDFF66ED"/>
    <w:rsid w:val="FDFF7A19"/>
    <w:rsid w:val="FDFF9052"/>
    <w:rsid w:val="FDFFA799"/>
    <w:rsid w:val="FDFFAA14"/>
    <w:rsid w:val="FDFFBED2"/>
    <w:rsid w:val="FDFFC059"/>
    <w:rsid w:val="FDFFC226"/>
    <w:rsid w:val="FDFFC678"/>
    <w:rsid w:val="FDFFE187"/>
    <w:rsid w:val="FDFFF5B4"/>
    <w:rsid w:val="FDFFFB8A"/>
    <w:rsid w:val="FE2F1C20"/>
    <w:rsid w:val="FE2F62F5"/>
    <w:rsid w:val="FE35B545"/>
    <w:rsid w:val="FE3A03DB"/>
    <w:rsid w:val="FE3B0DFC"/>
    <w:rsid w:val="FE3BA390"/>
    <w:rsid w:val="FE3E0AAF"/>
    <w:rsid w:val="FE3E7EC6"/>
    <w:rsid w:val="FE3EB407"/>
    <w:rsid w:val="FE3FC385"/>
    <w:rsid w:val="FE4BE077"/>
    <w:rsid w:val="FE4D90D1"/>
    <w:rsid w:val="FE4F98EA"/>
    <w:rsid w:val="FE4FD178"/>
    <w:rsid w:val="FE57792A"/>
    <w:rsid w:val="FE5E3DDB"/>
    <w:rsid w:val="FE5FD008"/>
    <w:rsid w:val="FE5FE310"/>
    <w:rsid w:val="FE5FE908"/>
    <w:rsid w:val="FE673079"/>
    <w:rsid w:val="FE6B3135"/>
    <w:rsid w:val="FE6F9FE2"/>
    <w:rsid w:val="FE754A1E"/>
    <w:rsid w:val="FE77AB2B"/>
    <w:rsid w:val="FE7ABD77"/>
    <w:rsid w:val="FE7B0F8B"/>
    <w:rsid w:val="FE7B3099"/>
    <w:rsid w:val="FE7B4BFB"/>
    <w:rsid w:val="FE7DA8E0"/>
    <w:rsid w:val="FE7E6183"/>
    <w:rsid w:val="FE7E9F24"/>
    <w:rsid w:val="FE7EA393"/>
    <w:rsid w:val="FE7EE8AC"/>
    <w:rsid w:val="FE7EED3F"/>
    <w:rsid w:val="FE7F1CC6"/>
    <w:rsid w:val="FE7F218E"/>
    <w:rsid w:val="FE7F48E7"/>
    <w:rsid w:val="FE7F4C44"/>
    <w:rsid w:val="FE7F82C0"/>
    <w:rsid w:val="FE7F9F6A"/>
    <w:rsid w:val="FE8BBEB6"/>
    <w:rsid w:val="FE8C3F34"/>
    <w:rsid w:val="FE8F245D"/>
    <w:rsid w:val="FE97D540"/>
    <w:rsid w:val="FE98E86F"/>
    <w:rsid w:val="FE9D055F"/>
    <w:rsid w:val="FE9D31DA"/>
    <w:rsid w:val="FE9DAE6A"/>
    <w:rsid w:val="FE9EC2AC"/>
    <w:rsid w:val="FE9F4D6D"/>
    <w:rsid w:val="FE9FDBDD"/>
    <w:rsid w:val="FEA6BC61"/>
    <w:rsid w:val="FEA96656"/>
    <w:rsid w:val="FEA9B325"/>
    <w:rsid w:val="FEADC14F"/>
    <w:rsid w:val="FEAE6912"/>
    <w:rsid w:val="FEAF7D13"/>
    <w:rsid w:val="FEAFD12C"/>
    <w:rsid w:val="FEAFD59B"/>
    <w:rsid w:val="FEB133EF"/>
    <w:rsid w:val="FEB6BFD6"/>
    <w:rsid w:val="FEB6D676"/>
    <w:rsid w:val="FEB7057A"/>
    <w:rsid w:val="FEB74002"/>
    <w:rsid w:val="FEBA1174"/>
    <w:rsid w:val="FEBBCEC7"/>
    <w:rsid w:val="FEBD1578"/>
    <w:rsid w:val="FEBD42FD"/>
    <w:rsid w:val="FEBDD97E"/>
    <w:rsid w:val="FEBE1332"/>
    <w:rsid w:val="FEBF3268"/>
    <w:rsid w:val="FEBF4570"/>
    <w:rsid w:val="FEBFB370"/>
    <w:rsid w:val="FEBFC699"/>
    <w:rsid w:val="FEBFE8D2"/>
    <w:rsid w:val="FEC708BF"/>
    <w:rsid w:val="FECF82C0"/>
    <w:rsid w:val="FED703DF"/>
    <w:rsid w:val="FED7E368"/>
    <w:rsid w:val="FED99AA7"/>
    <w:rsid w:val="FEDA6A61"/>
    <w:rsid w:val="FEDB8988"/>
    <w:rsid w:val="FEDC8ED8"/>
    <w:rsid w:val="FEDDBDE3"/>
    <w:rsid w:val="FEDDC935"/>
    <w:rsid w:val="FEDDE8C8"/>
    <w:rsid w:val="FEDEA6E5"/>
    <w:rsid w:val="FEDF0160"/>
    <w:rsid w:val="FEDF44F8"/>
    <w:rsid w:val="FEDF75CD"/>
    <w:rsid w:val="FEDF87F4"/>
    <w:rsid w:val="FEDFBFE6"/>
    <w:rsid w:val="FEDFF716"/>
    <w:rsid w:val="FEE44621"/>
    <w:rsid w:val="FEE713A4"/>
    <w:rsid w:val="FEE7210B"/>
    <w:rsid w:val="FEEDE8B1"/>
    <w:rsid w:val="FEEEA432"/>
    <w:rsid w:val="FEEEFBA7"/>
    <w:rsid w:val="FEEF52B4"/>
    <w:rsid w:val="FEEFB093"/>
    <w:rsid w:val="FEEFD732"/>
    <w:rsid w:val="FEEFEE44"/>
    <w:rsid w:val="FEF3125F"/>
    <w:rsid w:val="FEF3DDA7"/>
    <w:rsid w:val="FEF47397"/>
    <w:rsid w:val="FEF507CD"/>
    <w:rsid w:val="FEF5F3CD"/>
    <w:rsid w:val="FEF73061"/>
    <w:rsid w:val="FEF75B26"/>
    <w:rsid w:val="FEF7956C"/>
    <w:rsid w:val="FEF7A38F"/>
    <w:rsid w:val="FEF7D382"/>
    <w:rsid w:val="FEF7E646"/>
    <w:rsid w:val="FEF8307E"/>
    <w:rsid w:val="FEF984DD"/>
    <w:rsid w:val="FEFACC24"/>
    <w:rsid w:val="FEFB25E3"/>
    <w:rsid w:val="FEFB3895"/>
    <w:rsid w:val="FEFB5E24"/>
    <w:rsid w:val="FEFB9E2E"/>
    <w:rsid w:val="FEFBF4CE"/>
    <w:rsid w:val="FEFC14CD"/>
    <w:rsid w:val="FEFC6D0F"/>
    <w:rsid w:val="FEFD356B"/>
    <w:rsid w:val="FEFD60AA"/>
    <w:rsid w:val="FEFD9ED6"/>
    <w:rsid w:val="FEFDD3F1"/>
    <w:rsid w:val="FEFDF605"/>
    <w:rsid w:val="FEFE0029"/>
    <w:rsid w:val="FEFE4104"/>
    <w:rsid w:val="FEFEB314"/>
    <w:rsid w:val="FEFEE3E1"/>
    <w:rsid w:val="FEFF019D"/>
    <w:rsid w:val="FEFF0461"/>
    <w:rsid w:val="FEFF09D9"/>
    <w:rsid w:val="FEFF1E0B"/>
    <w:rsid w:val="FEFF49C1"/>
    <w:rsid w:val="FEFF6825"/>
    <w:rsid w:val="FEFF8391"/>
    <w:rsid w:val="FEFFCAD8"/>
    <w:rsid w:val="FEFFE83E"/>
    <w:rsid w:val="FF10DCAE"/>
    <w:rsid w:val="FF1AFE0C"/>
    <w:rsid w:val="FF1F7524"/>
    <w:rsid w:val="FF2AC3B8"/>
    <w:rsid w:val="FF2D84A6"/>
    <w:rsid w:val="FF2F9792"/>
    <w:rsid w:val="FF2F9B98"/>
    <w:rsid w:val="FF3557EC"/>
    <w:rsid w:val="FF3701B4"/>
    <w:rsid w:val="FF3745FD"/>
    <w:rsid w:val="FF3A40D1"/>
    <w:rsid w:val="FF3B8E1E"/>
    <w:rsid w:val="FF3BFDE5"/>
    <w:rsid w:val="FF3DFF4D"/>
    <w:rsid w:val="FF3EABC3"/>
    <w:rsid w:val="FF3EED4D"/>
    <w:rsid w:val="FF3EF3BD"/>
    <w:rsid w:val="FF3F41B0"/>
    <w:rsid w:val="FF3F469B"/>
    <w:rsid w:val="FF3F5E13"/>
    <w:rsid w:val="FF3F7FCA"/>
    <w:rsid w:val="FF471C18"/>
    <w:rsid w:val="FF4738CF"/>
    <w:rsid w:val="FF473A1F"/>
    <w:rsid w:val="FF487D5C"/>
    <w:rsid w:val="FF4DEDAB"/>
    <w:rsid w:val="FF4E877E"/>
    <w:rsid w:val="FF4F1667"/>
    <w:rsid w:val="FF53AE95"/>
    <w:rsid w:val="FF551379"/>
    <w:rsid w:val="FF56BD77"/>
    <w:rsid w:val="FF56BF0D"/>
    <w:rsid w:val="FF58E249"/>
    <w:rsid w:val="FF5A7EBF"/>
    <w:rsid w:val="FF5AF4A0"/>
    <w:rsid w:val="FF5B1724"/>
    <w:rsid w:val="FF5B7DC9"/>
    <w:rsid w:val="FF5BFB70"/>
    <w:rsid w:val="FF5CE6EA"/>
    <w:rsid w:val="FF5E3B66"/>
    <w:rsid w:val="FF5EECEC"/>
    <w:rsid w:val="FF5F0510"/>
    <w:rsid w:val="FF5F30A2"/>
    <w:rsid w:val="FF5F3A2B"/>
    <w:rsid w:val="FF5F49FE"/>
    <w:rsid w:val="FF5F4DFE"/>
    <w:rsid w:val="FF5FA060"/>
    <w:rsid w:val="FF5FA69A"/>
    <w:rsid w:val="FF5FCA92"/>
    <w:rsid w:val="FF5FD7AE"/>
    <w:rsid w:val="FF613A63"/>
    <w:rsid w:val="FF663E62"/>
    <w:rsid w:val="FF666CD0"/>
    <w:rsid w:val="FF6714F5"/>
    <w:rsid w:val="FF675DD4"/>
    <w:rsid w:val="FF676E57"/>
    <w:rsid w:val="FF68D340"/>
    <w:rsid w:val="FF690C01"/>
    <w:rsid w:val="FF6AD71D"/>
    <w:rsid w:val="FF6ADE0C"/>
    <w:rsid w:val="FF6AFA94"/>
    <w:rsid w:val="FF6B59B4"/>
    <w:rsid w:val="FF6BEA13"/>
    <w:rsid w:val="FF6BEFA7"/>
    <w:rsid w:val="FF6D0EC4"/>
    <w:rsid w:val="FF6D15D7"/>
    <w:rsid w:val="FF6D66D9"/>
    <w:rsid w:val="FF6D7065"/>
    <w:rsid w:val="FF6E2473"/>
    <w:rsid w:val="FF6E49B7"/>
    <w:rsid w:val="FF6F462E"/>
    <w:rsid w:val="FF6F465E"/>
    <w:rsid w:val="FF6F6762"/>
    <w:rsid w:val="FF6F704F"/>
    <w:rsid w:val="FF6F9538"/>
    <w:rsid w:val="FF6FAA44"/>
    <w:rsid w:val="FF6FB543"/>
    <w:rsid w:val="FF702466"/>
    <w:rsid w:val="FF70EAA4"/>
    <w:rsid w:val="FF73B116"/>
    <w:rsid w:val="FF7532D9"/>
    <w:rsid w:val="FF7603A2"/>
    <w:rsid w:val="FF770C5C"/>
    <w:rsid w:val="FF77CC76"/>
    <w:rsid w:val="FF77E83F"/>
    <w:rsid w:val="FF77E87A"/>
    <w:rsid w:val="FF79F024"/>
    <w:rsid w:val="FF7A359E"/>
    <w:rsid w:val="FF7A874D"/>
    <w:rsid w:val="FF7B190F"/>
    <w:rsid w:val="FF7B56CC"/>
    <w:rsid w:val="FF7B6C36"/>
    <w:rsid w:val="FF7B7433"/>
    <w:rsid w:val="FF7BB9BE"/>
    <w:rsid w:val="FF7BCF97"/>
    <w:rsid w:val="FF7BDD38"/>
    <w:rsid w:val="FF7BF31F"/>
    <w:rsid w:val="FF7CFD4B"/>
    <w:rsid w:val="FF7D0516"/>
    <w:rsid w:val="FF7D31E5"/>
    <w:rsid w:val="FF7D3277"/>
    <w:rsid w:val="FF7D59C1"/>
    <w:rsid w:val="FF7D8ED4"/>
    <w:rsid w:val="FF7DE55F"/>
    <w:rsid w:val="FF7DF90D"/>
    <w:rsid w:val="FF7E2E13"/>
    <w:rsid w:val="FF7E37B8"/>
    <w:rsid w:val="FF7EC335"/>
    <w:rsid w:val="FF7ED7AA"/>
    <w:rsid w:val="FF7F13FE"/>
    <w:rsid w:val="FF7F21D1"/>
    <w:rsid w:val="FF7F3500"/>
    <w:rsid w:val="FF7F4F72"/>
    <w:rsid w:val="FF7F7372"/>
    <w:rsid w:val="FF7FA963"/>
    <w:rsid w:val="FF7FB1AF"/>
    <w:rsid w:val="FF7FBC09"/>
    <w:rsid w:val="FF7FC1BA"/>
    <w:rsid w:val="FF7FC7AB"/>
    <w:rsid w:val="FF7FE3A3"/>
    <w:rsid w:val="FF7FEBCE"/>
    <w:rsid w:val="FF7FFAB1"/>
    <w:rsid w:val="FF8B3303"/>
    <w:rsid w:val="FF8BB659"/>
    <w:rsid w:val="FF8EA12F"/>
    <w:rsid w:val="FF8EA567"/>
    <w:rsid w:val="FF8EC89A"/>
    <w:rsid w:val="FF8FBF62"/>
    <w:rsid w:val="FF92E4F0"/>
    <w:rsid w:val="FF939FCD"/>
    <w:rsid w:val="FF93E6F0"/>
    <w:rsid w:val="FF977294"/>
    <w:rsid w:val="FF97FE4C"/>
    <w:rsid w:val="FF98B03A"/>
    <w:rsid w:val="FF9AF871"/>
    <w:rsid w:val="FF9B62A0"/>
    <w:rsid w:val="FF9BC542"/>
    <w:rsid w:val="FF9C9E81"/>
    <w:rsid w:val="FF9CEE75"/>
    <w:rsid w:val="FF9DE78F"/>
    <w:rsid w:val="FF9DE7E3"/>
    <w:rsid w:val="FF9F21CE"/>
    <w:rsid w:val="FF9F4A7C"/>
    <w:rsid w:val="FF9F8CD3"/>
    <w:rsid w:val="FF9FAB3E"/>
    <w:rsid w:val="FF9FC13B"/>
    <w:rsid w:val="FFA1D108"/>
    <w:rsid w:val="FFA24761"/>
    <w:rsid w:val="FFA5D050"/>
    <w:rsid w:val="FFA696EB"/>
    <w:rsid w:val="FFAA5C08"/>
    <w:rsid w:val="FFAD91A7"/>
    <w:rsid w:val="FFAEC7C6"/>
    <w:rsid w:val="FFAF27F8"/>
    <w:rsid w:val="FFAF5721"/>
    <w:rsid w:val="FFAFA229"/>
    <w:rsid w:val="FFB4BD66"/>
    <w:rsid w:val="FFB5F321"/>
    <w:rsid w:val="FFB6214F"/>
    <w:rsid w:val="FFB68509"/>
    <w:rsid w:val="FFB70F41"/>
    <w:rsid w:val="FFB71C2D"/>
    <w:rsid w:val="FFB7344B"/>
    <w:rsid w:val="FFB9134A"/>
    <w:rsid w:val="FFB9757E"/>
    <w:rsid w:val="FFB9BD32"/>
    <w:rsid w:val="FFBA40E0"/>
    <w:rsid w:val="FFBA4784"/>
    <w:rsid w:val="FFBA5AD3"/>
    <w:rsid w:val="FFBB74C9"/>
    <w:rsid w:val="FFBBAB6A"/>
    <w:rsid w:val="FFBBCE05"/>
    <w:rsid w:val="FFBD9FFC"/>
    <w:rsid w:val="FFBDA467"/>
    <w:rsid w:val="FFBDDBA7"/>
    <w:rsid w:val="FFBDE0BB"/>
    <w:rsid w:val="FFBEFAD0"/>
    <w:rsid w:val="FFBEFDAE"/>
    <w:rsid w:val="FFBF0F77"/>
    <w:rsid w:val="FFBF1B43"/>
    <w:rsid w:val="FFBF4CA5"/>
    <w:rsid w:val="FFBF4D9B"/>
    <w:rsid w:val="FFBF6537"/>
    <w:rsid w:val="FFBF7627"/>
    <w:rsid w:val="FFBF78E0"/>
    <w:rsid w:val="FFBF7E05"/>
    <w:rsid w:val="FFBFACE3"/>
    <w:rsid w:val="FFBFB76F"/>
    <w:rsid w:val="FFBFBB37"/>
    <w:rsid w:val="FFBFCEA5"/>
    <w:rsid w:val="FFBFDCCD"/>
    <w:rsid w:val="FFBFE800"/>
    <w:rsid w:val="FFBFEA9C"/>
    <w:rsid w:val="FFBFF64C"/>
    <w:rsid w:val="FFBFFA78"/>
    <w:rsid w:val="FFC19BEF"/>
    <w:rsid w:val="FFC507E9"/>
    <w:rsid w:val="FFC58A88"/>
    <w:rsid w:val="FFC72CA1"/>
    <w:rsid w:val="FFC8F6CF"/>
    <w:rsid w:val="FFC9F0F5"/>
    <w:rsid w:val="FFCD098F"/>
    <w:rsid w:val="FFCD616F"/>
    <w:rsid w:val="FFCDD520"/>
    <w:rsid w:val="FFCE2BE6"/>
    <w:rsid w:val="FFCF0879"/>
    <w:rsid w:val="FFCF2ABA"/>
    <w:rsid w:val="FFCF2B03"/>
    <w:rsid w:val="FFCFB3F2"/>
    <w:rsid w:val="FFCFBD6A"/>
    <w:rsid w:val="FFCFF998"/>
    <w:rsid w:val="FFD33355"/>
    <w:rsid w:val="FFD44F56"/>
    <w:rsid w:val="FFD5DA88"/>
    <w:rsid w:val="FFD5DAB9"/>
    <w:rsid w:val="FFD5E970"/>
    <w:rsid w:val="FFD74F89"/>
    <w:rsid w:val="FFD76AB6"/>
    <w:rsid w:val="FFD77170"/>
    <w:rsid w:val="FFD7EB57"/>
    <w:rsid w:val="FFD7F5E8"/>
    <w:rsid w:val="FFD80499"/>
    <w:rsid w:val="FFD81BEE"/>
    <w:rsid w:val="FFD87C59"/>
    <w:rsid w:val="FFD91356"/>
    <w:rsid w:val="FFD9F516"/>
    <w:rsid w:val="FFDA4116"/>
    <w:rsid w:val="FFDAADE6"/>
    <w:rsid w:val="FFDB2AB6"/>
    <w:rsid w:val="FFDB6969"/>
    <w:rsid w:val="FFDB6E62"/>
    <w:rsid w:val="FFDB9B79"/>
    <w:rsid w:val="FFDBA219"/>
    <w:rsid w:val="FFDBC305"/>
    <w:rsid w:val="FFDC130F"/>
    <w:rsid w:val="FFDC2802"/>
    <w:rsid w:val="FFDCE932"/>
    <w:rsid w:val="FFDCEF4B"/>
    <w:rsid w:val="FFDD2A8F"/>
    <w:rsid w:val="FFDD3927"/>
    <w:rsid w:val="FFDD3A2E"/>
    <w:rsid w:val="FFDDEE77"/>
    <w:rsid w:val="FFDDF6A0"/>
    <w:rsid w:val="FFDE9F47"/>
    <w:rsid w:val="FFDEA254"/>
    <w:rsid w:val="FFDEB9E4"/>
    <w:rsid w:val="FFDED58F"/>
    <w:rsid w:val="FFDEF9C1"/>
    <w:rsid w:val="FFDF0ABC"/>
    <w:rsid w:val="FFDF167A"/>
    <w:rsid w:val="FFDF168A"/>
    <w:rsid w:val="FFDF316E"/>
    <w:rsid w:val="FFDF432A"/>
    <w:rsid w:val="FFDF5436"/>
    <w:rsid w:val="FFDF6044"/>
    <w:rsid w:val="FFDF73F6"/>
    <w:rsid w:val="FFDF74E4"/>
    <w:rsid w:val="FFDF7BF2"/>
    <w:rsid w:val="FFDF7FD7"/>
    <w:rsid w:val="FFDF88A4"/>
    <w:rsid w:val="FFDF8CD3"/>
    <w:rsid w:val="FFDF999A"/>
    <w:rsid w:val="FFDF99A2"/>
    <w:rsid w:val="FFDFA769"/>
    <w:rsid w:val="FFDFB082"/>
    <w:rsid w:val="FFDFB32A"/>
    <w:rsid w:val="FFDFC5E8"/>
    <w:rsid w:val="FFDFFDE6"/>
    <w:rsid w:val="FFE12F4A"/>
    <w:rsid w:val="FFE1831D"/>
    <w:rsid w:val="FFE30C01"/>
    <w:rsid w:val="FFE391CF"/>
    <w:rsid w:val="FFE39C15"/>
    <w:rsid w:val="FFE50F63"/>
    <w:rsid w:val="FFE56DFF"/>
    <w:rsid w:val="FFE5CD42"/>
    <w:rsid w:val="FFE73E95"/>
    <w:rsid w:val="FFE7A1EE"/>
    <w:rsid w:val="FFE7A994"/>
    <w:rsid w:val="FFE7B4F9"/>
    <w:rsid w:val="FFE7D552"/>
    <w:rsid w:val="FFE7DD7C"/>
    <w:rsid w:val="FFE93BC4"/>
    <w:rsid w:val="FFEAC2AD"/>
    <w:rsid w:val="FFEAE14B"/>
    <w:rsid w:val="FFEB120E"/>
    <w:rsid w:val="FFEBDAEE"/>
    <w:rsid w:val="FFEBF0CE"/>
    <w:rsid w:val="FFEC6755"/>
    <w:rsid w:val="FFEC6933"/>
    <w:rsid w:val="FFEC786C"/>
    <w:rsid w:val="FFED059F"/>
    <w:rsid w:val="FFED55AE"/>
    <w:rsid w:val="FFED887F"/>
    <w:rsid w:val="FFED95DD"/>
    <w:rsid w:val="FFEE6538"/>
    <w:rsid w:val="FFEEB727"/>
    <w:rsid w:val="FFEF0039"/>
    <w:rsid w:val="FFEF196B"/>
    <w:rsid w:val="FFEF325A"/>
    <w:rsid w:val="FFEF3DC6"/>
    <w:rsid w:val="FFEF434D"/>
    <w:rsid w:val="FFEF53A9"/>
    <w:rsid w:val="FFEF5E21"/>
    <w:rsid w:val="FFEF6AA9"/>
    <w:rsid w:val="FFEF88BB"/>
    <w:rsid w:val="FFEF8A5F"/>
    <w:rsid w:val="FFEF8B3D"/>
    <w:rsid w:val="FFEFB4C1"/>
    <w:rsid w:val="FFEFBA9B"/>
    <w:rsid w:val="FFEFC28F"/>
    <w:rsid w:val="FFEFC77B"/>
    <w:rsid w:val="FFEFD875"/>
    <w:rsid w:val="FFEFEAA6"/>
    <w:rsid w:val="FFEFEB84"/>
    <w:rsid w:val="FFEFF46E"/>
    <w:rsid w:val="FFF087F5"/>
    <w:rsid w:val="FFF0C899"/>
    <w:rsid w:val="FFF16B1E"/>
    <w:rsid w:val="FFF1B564"/>
    <w:rsid w:val="FFF1D97F"/>
    <w:rsid w:val="FFF1EA8A"/>
    <w:rsid w:val="FFF1EC12"/>
    <w:rsid w:val="FFF30466"/>
    <w:rsid w:val="FFF33A73"/>
    <w:rsid w:val="FFF38DCF"/>
    <w:rsid w:val="FFF3B642"/>
    <w:rsid w:val="FFF436ED"/>
    <w:rsid w:val="FFF4D039"/>
    <w:rsid w:val="FFF5233E"/>
    <w:rsid w:val="FFF528FD"/>
    <w:rsid w:val="FFF55CE1"/>
    <w:rsid w:val="FFF56473"/>
    <w:rsid w:val="FFF57F05"/>
    <w:rsid w:val="FFF5830C"/>
    <w:rsid w:val="FFF59774"/>
    <w:rsid w:val="FFF5B255"/>
    <w:rsid w:val="FFF5CB06"/>
    <w:rsid w:val="FFF5CD81"/>
    <w:rsid w:val="FFF5F6DD"/>
    <w:rsid w:val="FFF5FDF7"/>
    <w:rsid w:val="FFF63FBF"/>
    <w:rsid w:val="FFF665F5"/>
    <w:rsid w:val="FFF678FB"/>
    <w:rsid w:val="FFF71871"/>
    <w:rsid w:val="FFF7219E"/>
    <w:rsid w:val="FFF72B74"/>
    <w:rsid w:val="FFF72F6C"/>
    <w:rsid w:val="FFF74AA6"/>
    <w:rsid w:val="FFF74B49"/>
    <w:rsid w:val="FFF75834"/>
    <w:rsid w:val="FFF7651A"/>
    <w:rsid w:val="FFF766B8"/>
    <w:rsid w:val="FFF76E8B"/>
    <w:rsid w:val="FFF7771A"/>
    <w:rsid w:val="FFF798EC"/>
    <w:rsid w:val="FFF79C96"/>
    <w:rsid w:val="FFF7B6CC"/>
    <w:rsid w:val="FFF9509A"/>
    <w:rsid w:val="FFF95548"/>
    <w:rsid w:val="FFFA20AE"/>
    <w:rsid w:val="FFFA6B52"/>
    <w:rsid w:val="FFFA6F3A"/>
    <w:rsid w:val="FFFA82D3"/>
    <w:rsid w:val="FFFAA497"/>
    <w:rsid w:val="FFFAA743"/>
    <w:rsid w:val="FFFAC68C"/>
    <w:rsid w:val="FFFACA3D"/>
    <w:rsid w:val="FFFAF448"/>
    <w:rsid w:val="FFFB2144"/>
    <w:rsid w:val="FFFB232F"/>
    <w:rsid w:val="FFFB5195"/>
    <w:rsid w:val="FFFB5666"/>
    <w:rsid w:val="FFFB5D2F"/>
    <w:rsid w:val="FFFB9A43"/>
    <w:rsid w:val="FFFBA012"/>
    <w:rsid w:val="FFFBA222"/>
    <w:rsid w:val="FFFBB75C"/>
    <w:rsid w:val="FFFBBA1A"/>
    <w:rsid w:val="FFFBD455"/>
    <w:rsid w:val="FFFBE95F"/>
    <w:rsid w:val="FFFBEDD2"/>
    <w:rsid w:val="FFFBEE90"/>
    <w:rsid w:val="FFFC17C1"/>
    <w:rsid w:val="FFFC2EB3"/>
    <w:rsid w:val="FFFC513E"/>
    <w:rsid w:val="FFFC5DEA"/>
    <w:rsid w:val="FFFCC940"/>
    <w:rsid w:val="FFFCCF87"/>
    <w:rsid w:val="FFFCEE08"/>
    <w:rsid w:val="FFFD2546"/>
    <w:rsid w:val="FFFD306C"/>
    <w:rsid w:val="FFFD5ED7"/>
    <w:rsid w:val="FFFD6B0A"/>
    <w:rsid w:val="FFFD73EB"/>
    <w:rsid w:val="FFFD975D"/>
    <w:rsid w:val="FFFDB355"/>
    <w:rsid w:val="FFFE1103"/>
    <w:rsid w:val="FFFE25F0"/>
    <w:rsid w:val="FFFE2E9F"/>
    <w:rsid w:val="FFFE3120"/>
    <w:rsid w:val="FFFE4777"/>
    <w:rsid w:val="FFFE4A69"/>
    <w:rsid w:val="FFFE7CAD"/>
    <w:rsid w:val="FFFE7CB4"/>
    <w:rsid w:val="FFFE87FE"/>
    <w:rsid w:val="FFFE89B2"/>
    <w:rsid w:val="FFFE92D9"/>
    <w:rsid w:val="FFFE9E40"/>
    <w:rsid w:val="FFFEA443"/>
    <w:rsid w:val="FFFEA8AA"/>
    <w:rsid w:val="FFFEB461"/>
    <w:rsid w:val="FFFEBCEF"/>
    <w:rsid w:val="FFFEC9E6"/>
    <w:rsid w:val="FFFED195"/>
    <w:rsid w:val="FFFED1CB"/>
    <w:rsid w:val="FFFED56D"/>
    <w:rsid w:val="FFFED6DA"/>
    <w:rsid w:val="FFFEED7D"/>
    <w:rsid w:val="FFFEF53B"/>
    <w:rsid w:val="FFFF2194"/>
    <w:rsid w:val="FFFF22AA"/>
    <w:rsid w:val="FFFF2B54"/>
    <w:rsid w:val="FFFF2D50"/>
    <w:rsid w:val="FFFF38D4"/>
    <w:rsid w:val="FFFF4005"/>
    <w:rsid w:val="FFFF4866"/>
    <w:rsid w:val="FFFF4892"/>
    <w:rsid w:val="FFFF4E5B"/>
    <w:rsid w:val="FFFF5AF2"/>
    <w:rsid w:val="FFFF5D42"/>
    <w:rsid w:val="FFFF6253"/>
    <w:rsid w:val="FFFF66B3"/>
    <w:rsid w:val="FFFF6806"/>
    <w:rsid w:val="FFFF6C61"/>
    <w:rsid w:val="FFFF6CD5"/>
    <w:rsid w:val="FFFF71E5"/>
    <w:rsid w:val="FFFF7590"/>
    <w:rsid w:val="FFFF7B56"/>
    <w:rsid w:val="FFFF8A3C"/>
    <w:rsid w:val="FFFF97DD"/>
    <w:rsid w:val="FFFF99B3"/>
    <w:rsid w:val="FFFFA74E"/>
    <w:rsid w:val="FFFFAA2D"/>
    <w:rsid w:val="FFFFAE4C"/>
    <w:rsid w:val="FFFFC5EE"/>
    <w:rsid w:val="FFFFC8B3"/>
    <w:rsid w:val="FFFFCB52"/>
    <w:rsid w:val="FFFFD066"/>
    <w:rsid w:val="FFFFD143"/>
    <w:rsid w:val="FFFFD94F"/>
    <w:rsid w:val="FFFFDC11"/>
    <w:rsid w:val="FFFFDD2A"/>
    <w:rsid w:val="FFFFE77C"/>
    <w:rsid w:val="FFFFEA9E"/>
    <w:rsid w:val="FFFFF81E"/>
    <w:rsid w:val="FFFFF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overflowPunct w:val="0"/>
      <w:adjustRightInd w:val="0"/>
      <w:snapToGrid w:val="0"/>
      <w:spacing w:line="600" w:lineRule="exact"/>
      <w:ind w:firstLine="880" w:firstLineChars="200"/>
      <w:jc w:val="both"/>
    </w:pPr>
    <w:rPr>
      <w:rFonts w:ascii="仿宋_GB2312" w:hAnsi="仿宋_GB2312" w:eastAsia="仿宋_GB2312" w:cs="仿宋_GB2312"/>
      <w:sz w:val="32"/>
      <w:szCs w:val="22"/>
      <w:lang w:val="en-US" w:eastAsia="zh-CN" w:bidi="ar-SA"/>
    </w:rPr>
  </w:style>
  <w:style w:type="paragraph" w:styleId="2">
    <w:name w:val="heading 1"/>
    <w:basedOn w:val="1"/>
    <w:next w:val="1"/>
    <w:qFormat/>
    <w:uiPriority w:val="0"/>
    <w:pPr>
      <w:keepNext w:val="0"/>
      <w:keepLines w:val="0"/>
      <w:spacing w:beforeLines="0" w:beforeAutospacing="0" w:afterLines="0" w:afterAutospacing="0" w:line="600" w:lineRule="exact"/>
      <w:outlineLvl w:val="0"/>
    </w:pPr>
    <w:rPr>
      <w:rFonts w:eastAsia="黑体"/>
      <w:kern w:val="44"/>
      <w:sz w:val="32"/>
    </w:rPr>
  </w:style>
  <w:style w:type="paragraph" w:styleId="3">
    <w:name w:val="heading 2"/>
    <w:basedOn w:val="1"/>
    <w:next w:val="1"/>
    <w:link w:val="20"/>
    <w:unhideWhenUsed/>
    <w:qFormat/>
    <w:uiPriority w:val="0"/>
    <w:pPr>
      <w:keepNext w:val="0"/>
      <w:keepLines w:val="0"/>
      <w:spacing w:beforeLines="0" w:beforeAutospacing="0" w:afterLines="0" w:afterAutospacing="0" w:line="600" w:lineRule="exact"/>
      <w:outlineLvl w:val="1"/>
    </w:pPr>
    <w:rPr>
      <w:rFonts w:ascii="Arial" w:hAnsi="Arial" w:eastAsia="楷体_GB2312"/>
    </w:rPr>
  </w:style>
  <w:style w:type="paragraph" w:styleId="4">
    <w:name w:val="heading 3"/>
    <w:basedOn w:val="1"/>
    <w:next w:val="1"/>
    <w:unhideWhenUsed/>
    <w:qFormat/>
    <w:uiPriority w:val="0"/>
    <w:pPr>
      <w:keepNext w:val="0"/>
      <w:keepLines w:val="0"/>
      <w:spacing w:beforeLines="0" w:beforeAutospacing="0" w:afterLines="0" w:afterAutospacing="0" w:line="600" w:lineRule="exact"/>
      <w:jc w:val="both"/>
      <w:outlineLvl w:val="2"/>
    </w:p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unhideWhenUsed/>
    <w:qFormat/>
    <w:uiPriority w:val="99"/>
    <w:pPr>
      <w:spacing w:after="120" w:line="360" w:lineRule="auto"/>
      <w:ind w:firstLine="420" w:firstLineChars="200"/>
    </w:pPr>
    <w:rPr>
      <w:rFonts w:ascii="Times New Roman" w:hAnsi="Times New Roman" w:cs="黑体"/>
      <w:spacing w:val="0"/>
      <w:szCs w:val="24"/>
      <w:lang w:bidi="ar-SA"/>
    </w:rPr>
  </w:style>
  <w:style w:type="paragraph" w:styleId="7">
    <w:name w:val="Body Text Indent"/>
    <w:basedOn w:val="1"/>
    <w:next w:val="8"/>
    <w:qFormat/>
    <w:uiPriority w:val="99"/>
    <w:pPr>
      <w:spacing w:after="120"/>
      <w:ind w:left="420" w:leftChars="200"/>
    </w:pPr>
    <w:rPr>
      <w:rFonts w:eastAsia="宋体"/>
      <w:sz w:val="21"/>
    </w:rPr>
  </w:style>
  <w:style w:type="paragraph" w:styleId="8">
    <w:name w:val="Body Text First Indent 2"/>
    <w:basedOn w:val="1"/>
    <w:next w:val="1"/>
    <w:qFormat/>
    <w:uiPriority w:val="99"/>
    <w:pPr>
      <w:ind w:firstLine="420"/>
    </w:pPr>
    <w:rPr>
      <w:szCs w:val="22"/>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toc 2"/>
    <w:basedOn w:val="1"/>
    <w:next w:val="1"/>
    <w:unhideWhenUsed/>
    <w:qFormat/>
    <w:uiPriority w:val="0"/>
    <w:pPr>
      <w:widowControl w:val="0"/>
      <w:tabs>
        <w:tab w:val="right" w:leader="dot" w:pos="9060"/>
      </w:tabs>
      <w:overflowPunct w:val="0"/>
      <w:spacing w:line="600" w:lineRule="exact"/>
      <w:ind w:firstLine="707" w:firstLineChars="221"/>
      <w:jc w:val="both"/>
    </w:pPr>
    <w:rPr>
      <w:rFonts w:ascii="MV Boli" w:hAnsi="MV Boli" w:eastAsia="宋体" w:cs="Times New Roman"/>
      <w:kern w:val="2"/>
      <w:sz w:val="21"/>
      <w:szCs w:val="22"/>
      <w:lang w:val="en-US" w:eastAsia="zh-CN" w:bidi="ar-SA"/>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1"/>
    <w:unhideWhenUsed/>
    <w:qFormat/>
    <w:uiPriority w:val="99"/>
    <w:pPr>
      <w:autoSpaceDE w:val="0"/>
      <w:autoSpaceDN w:val="0"/>
      <w:adjustRightInd w:val="0"/>
      <w:spacing w:after="0" w:line="600" w:lineRule="atLeast"/>
      <w:ind w:firstLine="652"/>
      <w:textAlignment w:val="baseline"/>
    </w:pPr>
    <w:rPr>
      <w:kern w:val="0"/>
      <w:szCs w:val="32"/>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Emphasis"/>
    <w:basedOn w:val="17"/>
    <w:qFormat/>
    <w:uiPriority w:val="0"/>
    <w:rPr>
      <w:i/>
    </w:rPr>
  </w:style>
  <w:style w:type="character" w:customStyle="1" w:styleId="20">
    <w:name w:val="标题 2 Char"/>
    <w:link w:val="3"/>
    <w:qFormat/>
    <w:uiPriority w:val="0"/>
    <w:rPr>
      <w:rFonts w:ascii="Arial" w:hAnsi="Arial" w:eastAsia="楷体_GB2312"/>
    </w:rPr>
  </w:style>
  <w:style w:type="paragraph" w:customStyle="1" w:styleId="21">
    <w:name w:val="Default"/>
    <w:next w:val="10"/>
    <w:qFormat/>
    <w:uiPriority w:val="0"/>
    <w:pPr>
      <w:widowControl w:val="0"/>
      <w:autoSpaceDE w:val="0"/>
      <w:autoSpaceDN w:val="0"/>
      <w:adjustRightInd w:val="0"/>
    </w:pPr>
    <w:rPr>
      <w:rFonts w:ascii="..ì." w:hAnsi="..ì." w:eastAsia="..ì." w:cs="..ì."/>
      <w:color w:val="000000"/>
      <w:sz w:val="24"/>
      <w:szCs w:val="24"/>
      <w:lang w:val="en-US" w:eastAsia="zh-CN" w:bidi="ar-SA"/>
    </w:rPr>
  </w:style>
  <w:style w:type="character" w:customStyle="1" w:styleId="22">
    <w:name w:val="font11"/>
    <w:qFormat/>
    <w:uiPriority w:val="0"/>
    <w:rPr>
      <w:rFonts w:hint="eastAsia" w:ascii="黑体" w:hAnsi="宋体" w:eastAsia="黑体" w:cs="黑体"/>
      <w:color w:val="000000"/>
      <w:sz w:val="21"/>
      <w:szCs w:val="21"/>
      <w:u w:val="none"/>
    </w:rPr>
  </w:style>
  <w:style w:type="table" w:customStyle="1" w:styleId="2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15411</Words>
  <Characters>15638</Characters>
  <Lines>0</Lines>
  <Paragraphs>0</Paragraphs>
  <TotalTime>32</TotalTime>
  <ScaleCrop>false</ScaleCrop>
  <LinksUpToDate>false</LinksUpToDate>
  <CharactersWithSpaces>15980</CharactersWithSpaces>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2025-12-04T02:18:00Z</dcterms:created>
  <dc:creator>健康君</dc:creator>
  <cp:lastModifiedBy>普雅</cp:lastModifiedBy>
  <cp:lastPrinted>2026-05-04T00:36:00Z</cp:lastPrinted>
  <dcterms:modified xsi:type="dcterms:W3CDTF">2026-09-02T10:12:19Z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A4DF8E829D5E43729F4347BD2107E031_13</vt:lpwstr>
  </property>
  <property fmtid="{D5CDD505-2E9C-101B-9397-08002B2CF9AE}" pid="4" name="KSOTemplateDocerSaveRecord">
    <vt:lpwstr>eyJoZGlkIjoiNDUwMTFkMDI3ZjBmZjczM2Q3M2EwOGI5M2VjYzUzMDkiLCJ1c2VySWQiOiIyNzQwNTIzODEifQ==</vt:lpwstr>
  </property>
</Properties>
</file>